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  <w:t xml:space="preserve">Проект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Контракт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 №</w:t>
      </w:r>
      <w:r>
        <w:rPr>
          <w:rFonts w:ascii="Tinos" w:hAnsi="Tinos" w:cs="Tinos"/>
          <w:sz w:val="24"/>
          <w:szCs w:val="24"/>
          <w:highlight w:val="none"/>
        </w:rPr>
        <w:t xml:space="preserve"> 47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tbl>
      <w:tblPr>
        <w:tblStyle w:val="93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09"/>
        <w:gridCol w:w="8636"/>
      </w:tblGrid>
      <w:tr>
        <w:tblPrEx/>
        <w:trPr>
          <w:trHeight w:val="298"/>
        </w:trPr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ИКЗ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261532110069453210100100310000000000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КБК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32104125440190020244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</w:tbl>
    <w:p>
      <w:pPr>
        <w:contextualSpacing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г.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Великий Новгород               </w:t>
      </w:r>
      <w:bookmarkStart w:id="0" w:name="_GoBack"/>
      <w:r>
        <w:rPr>
          <w:rFonts w:ascii="Tinos" w:hAnsi="Tinos" w:eastAsia="Tinos" w:cs="Tinos"/>
          <w:sz w:val="24"/>
          <w:szCs w:val="24"/>
          <w:highlight w:val="none"/>
        </w:rPr>
      </w:r>
      <w:bookmarkEnd w:id="0"/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«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___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» _________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2026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г.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Cs/>
          <w:sz w:val="24"/>
          <w:szCs w:val="24"/>
        </w:rPr>
        <w:outlineLvl w:val="0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по Новгородской области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(далее - Управление), именуемое в дальнейшем «Заказчик», в лице заместителя руководителя Управления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Смирновой Ольги Олеговны,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действующей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на основании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доверенности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Управления Федеральной службы государственной ре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гистрации, кадастра и картограф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ии по Новгородской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области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№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016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-Д от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17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.0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.202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4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с одной стороны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____________, в лице ________________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действующей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на основании 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 имен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уемое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в дальнейшем «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», с другой стороны (далее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- Стороны), в соответствии с п.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4 ч.1 ст.93 Федерального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</w:t>
      </w:r>
      <w:r>
        <w:rPr>
          <w:rFonts w:ascii="Tinos" w:hAnsi="Tinos" w:eastAsia="Tinos" w:cs="Tinos"/>
          <w:bCs/>
          <w:sz w:val="24"/>
          <w:szCs w:val="24"/>
          <w:lang w:val="en-US" w:eastAsia="ru-RU"/>
        </w:rPr>
        <w:t xml:space="preserve">c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учетом итогов закупочной сессии №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____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(статус закупки: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состоялась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/не состоялась), проведенной на ЕАТ «Берёзка»,  заключили настоящий контракт о нижеследующем: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1. Предмет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1.1. В соответствии с настоящим контрактом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обязуется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оказать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4"/>
          <w:szCs w:val="24"/>
          <w:highlight w:val="none"/>
        </w:rPr>
        <w:t xml:space="preserve">услуги по обязательному страхованию гражданской ответственности владельца опасного объекта (подъёмная платформа для инвалидов) за причинение вреда в результате аварии на опасном объекте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соответствии с приложением № 1 к контрак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ту (далее –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услуга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), а Заказчик принять и оплатить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оказанную услугу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в соответствии с настоящим контрактом.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1.2. Сроки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оказания услуг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: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оформление страхового полиса на опасный объект осу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ществляется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с 26 января 2027 г. по 25 января 2028 г.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2. Сумма контракта и порядок расчетов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2.1.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Цена оказанных по настоящему контракту услуг стр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ахования не может превышать  </w:t>
      </w:r>
      <w:r>
        <w:rPr>
          <w:rFonts w:ascii="Tinos" w:hAnsi="Tinos" w:eastAsia="Tinos" w:cs="Tinos"/>
          <w:sz w:val="24"/>
          <w:szCs w:val="24"/>
          <w:u w:val="single"/>
          <w:lang w:eastAsia="ru-RU"/>
        </w:rPr>
        <w:t xml:space="preserve">                  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рублей и формируется в соответствии с ч.1 ст.7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Федерального закона от 27.07.2010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г. № 225-ФЗ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(далее – Закон № 225-ФЗ)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 уменьшается, на размер налогов, сборов и 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ых обязательных платежей в бюджет, связанных с оплатой контракта, если такие платежи подлежат уплате в бюджет заказчиком.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2.2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Оплата оказанной услуги производится в соответствии с п.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п. «в» п.18 раздела </w:t>
      </w:r>
      <w:r>
        <w:rPr>
          <w:rFonts w:ascii="Tinos" w:hAnsi="Tinos" w:eastAsia="Tinos" w:cs="Tinos"/>
          <w:sz w:val="24"/>
          <w:szCs w:val="24"/>
          <w:lang w:val="en-US" w:eastAsia="ru-RU"/>
        </w:rPr>
        <w:t xml:space="preserve">II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Требования к срокам и порядку утверждения,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распределения, изменения, доведения лимитов бюджетных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обязательств и принятия бюджетных обязательств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» Постановления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Правительства РФ от 09.12.2017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 1496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мерах по обеспечению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исполнения федерального бюджета» (вместе с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Положением о мерах по обеспечению исполн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ения федерального бюджета»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путём перечисления денежных средств на счёт Исполнителя, указанного в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разделе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10 контракта, в размере 100% от суммы предоставленного счёта, не позднее 7 (семи) рабочих дней  с момента предоставления счёта.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Основанием для оплаты услуг является представленный Исполнителем счет на сумму страховой премии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случ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аях, предусмотренных п.6 ст.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161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«Бюджетный кодекс Российской Федерации» от 31.07.1998 г. №145-ФЗ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оплата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осуществляется Заказчиком в порядке,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установленном п.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2.2 контракта, после доведения до него согласованных лимито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бюджетных ассигнований на 202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7 год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Доставка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исполнительных документов (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счёт-фактура,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осуществляется в электронном виде, все представленные документы должны быть подписаны ЭЦП. В случае обмена электронными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исполнительными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документами, такие документы признаются официальными, имеющими юридическую силу и без последующего представления бумажных оригиналов этих документов.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При отсутствии технической возможности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исполнительные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документы доставляются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своими силами за свой счёт по юридическому адресу Заказчика. 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Исполнительные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документы, оформленные не в соответствии с действующим законодательством и(или) закл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юченным между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Заказчиком контрактом, считаются непредставленными.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2.3. В стоимость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оказываемых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по настоящему контракту входят расходы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необходимые для оказания услуг в полном объеме и надлежащего качества, все подлежащие к уплате налоги, сборы и другие обязательные платежи и иные расходы, связанные с оказанием услуг.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предусмотренных настоящим контрактом (п.8.2.) и законодательством.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2.5. В случае неисполнения или ненадлежащего исполнения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обязательства, предусмотренного контрактом, Заказчик вправе осуществить взыскание неустойки (штрафа, пени) в бесспорном порядке без согласия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путем удержания суммы неустойки (штрафа, пени), начисленной в соответствии с разделом 5 настоящего Контракта, при окончательном расчете с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 При этом оплата осу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ществляется на основании счета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счёт-фактуры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 подписанного сторонами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(Приложение №2),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неустойки; итоговая сумма, подлежащая оплате.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2.6. Обязательства Заказчика по оплате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прекращаются зачетом суммы неустойки (штрафа, пени), начисленной Заказчиком в соответствии с разделом 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2.7. Банковское сопровождение контракта, предусмотренное ст.35 Закона №44-ФЗ, к настоящему контракту не применяется.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3. Права и обязанности сторон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3.1. Исполнитель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3.1.1.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Оказать услуги своевременно и с надлежащим качеством. 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3.1.2. Оказать услуги в соответствии с требованиями, установленными Приложением № 1 к настоящему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3.1.3. Устранить   недостатки, возникшие вследствие   отступления   от контракта, за свой счет.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3.1.4.  Предупредить Заказчика при обнаружении возможных неблагоприятных последствий, которые могут возникнуть в результате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3.1.5. 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432" w:leader="none"/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3.2. Заказчик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ar-SA"/>
        </w:rPr>
        <w:t xml:space="preserve">3.2.1. П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ринять и оплатить оказанные услуги в соответствии с условиями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3.3. Заказчик вправе: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3.3.1. Запрашивать у Исполнителя информацию о ходе исполнения настоящего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3.3.2. В любое 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зумное время проверить качество оказываемых услуг и в случае обнаружения существенных отступлений, предъявить Исполнителю письменную претензию. В случае ее признания Исполнитель обязан в сроки, согласованные с Заказчиком, за свой счет устранить недостатки.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4. Порядок сдачи-приемки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4.1.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По завершении оказания услуг Исполнитель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 в течение 2 (двух) рабочих дней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представляет Заказчику подписанный со своей стороны акт оказанных услуг в 2-х экземплярах. Заказчик в течение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5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пяти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) рабочих дней после передачи ему акта оказанных услуг подписывает его со своей стороны и передает Исполнителю или заявляет в письменном виде мотивированный отказ от приемки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Приёмка и оценка оказанных услуг осуществляется в соответствии с требованиями, установленными гражданским законодательством Российской Федерации, Законом № 225-ФЗ,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Положение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м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Банка России от 28.12.2016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г.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574-П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«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»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4.2. В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случае несоответствия оказываемых услуг условиям контракта составляется акт устранения недостатков, при этом, Исполнитель обязан устранить   недостатки, возникшие вследствие   отступления   от контракта за свой счет в течение 5 (пяти) рабочих дней с момен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та поступления требования от Заказчика либо составления акта. Некачественно оказанные услуги считаются не выполненными. Срок устранения недостатков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1"/>
          <w:numId w:val="29"/>
        </w:numPr>
        <w:contextualSpacing/>
        <w:ind w:firstLine="720"/>
        <w:jc w:val="both"/>
        <w:spacing w:after="0" w:afterAutospacing="0" w:line="240" w:lineRule="auto"/>
        <w:tabs>
          <w:tab w:val="num" w:pos="7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4.3. Датой приемки результатов оказания услуг считается дата подписания с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торонами (или их представителями) акта оказанных услуг. При этом, если услуги приняты Заказчиком без замечаний, то срок с даты оказания услуг Исполнителем до даты подписания Заказчиком акта приемки оказанных услуг не входит в срок просрочки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4.4. Для проверки предоставленных Исполнителем результатов, предусмотрен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4.5. Выбор эксперта (экспертной организации) осуществляется Заказчиком без согласования с Исполнителем.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4.6. Срок проведения экспертизы не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4.7. Исполнитель имеет право присутствовать при проводимых в ходе экспертизы осмотрах результатов оказания услуг или иных аналогичных исследованиях.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4.8. Исполнитель, если возникнет так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ая необходимость, обязан в кратчайшие сроки предоставлять эксперту (экспертной организации), с которой Заказчиком заключен договор на проведение экспертизы, дополнительные материалы, относящиеся к условиям контракта и отдельным этапам исполнения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4.9. После завершения экспертизы Заказчик направляет Исполнителю копию экспертного заключения.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4.10. При получении копии экспертного заключения Исполнитель принимает решение, описанн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ое в п.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4.2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after="0" w:afterAutospacing="0" w:line="240" w:lineRule="auto"/>
        <w:tabs>
          <w:tab w:val="left" w:pos="1080" w:leader="none"/>
          <w:tab w:val="left" w:pos="12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4.11. В случае выявления экспертом недостатков, несоответствия оказанных услуг требованиям технического задания Исполнитель возмещает Заказчику стоимость произведенной экспертизы и устраняет недостатки и своими силами и за свой счёт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pacing w:val="-8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5. Ответственность сторон</w:t>
      </w:r>
      <w:r>
        <w:rPr>
          <w:rFonts w:ascii="Tinos" w:hAnsi="Tinos" w:cs="Tinos"/>
          <w:spacing w:val="-8"/>
          <w:sz w:val="24"/>
          <w:szCs w:val="24"/>
        </w:rPr>
      </w:r>
      <w:r>
        <w:rPr>
          <w:rFonts w:ascii="Tinos" w:hAnsi="Tinos" w:cs="Tinos"/>
          <w:spacing w:val="-8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льств, предусмотренных контрактом (за исключением просрочки исполнения обязательств заказчиком, поставщиком и размера пени, начисляемой за каждый день просрочки исполнения поставщиком обязательства, предусмотренного контрактом, утвержденными постановлением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Правительства Российской Федерации от 30 августа 2017 г. N 1042 (далее - Правила определения размера штрафа).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фов, пеней) и направить Заказчику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.5.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.6. В случае нарушения Поставщиком срока представления документов, предусмотренного пунктом 9.3 Контракта, Заказчик не несет ответственность, установленную пунктами 11.3 - 11.5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.8.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к направляет Поставщику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.9.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ой на сумму, пропорциональную объему обязательств, предусмотренных Контрактом и фактически исполненных Поставщиком.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 процентов цены Контракта (этапа) в случае, если цена Контракта (этапа)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0,5 процента цены Контракта (этапа) в случае, если цена Контракта (этапа) составляет от 100 млн. рублей до 500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и) 0,1 процента цены Контракта (этапа) в случае, если цена Контракта (этапа) превышает 10 млрд.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.11.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 контрактной системе), предл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в случае, если цена контракта не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начальной (максимальной)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в случае, если цена контракта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цены контракта, если цена контракта составляет от 50 млн. рублей до 100 млн. рублей (включительно).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15.14. Заказчик обязан оплатить штраф, пени Поставщику в срок не позднее 20 (Двадцати) календарных дней после получения требования Поставщика об уплате штрафа, пеней.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.15. Поставщик обязан оплатить Заказчику штраф, пени в срок не позднее 20 (Двадцати) календарных дней после получения требования Заказчика об уплате штраф, пеней.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6. Действие обстоятельств непреодолимой силы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6.1. Ни   одна  из  сторон   не   несет  ответственность   перед  другой   стороной   за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t xml:space="preserve">неисполнение обязательств по настоящему контракту, обусловленное</w:t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действием обстоятельств непреодолимой силы, т.е. чрезвычайных и непредотвратимых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при данных условиях обстоятельств, в том числе объявленная или фактическая война,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t xml:space="preserve">гражданские волнения, эпидемии, блокада, эмбарго, пожары, землетрясения, наводнения и</w:t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другие природные стихийные бедствия, а также издание актов государственных органов.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силы.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6.3. Сторона, которая не исполняет обязательств по настоящему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контракту вследствие действия непреодолимой силы, должна незамедлительно известить 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другую Сторону о таких обстоятельствах и их влиянии на исполнение обязательств по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контракту.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6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7. Порядок разрешения споров</w:t>
      </w:r>
      <w:r>
        <w:rPr>
          <w:rFonts w:ascii="Tinos" w:hAnsi="Tinos" w:cs="Tinos"/>
          <w:spacing w:val="6"/>
          <w:sz w:val="24"/>
          <w:szCs w:val="24"/>
        </w:rPr>
      </w:r>
      <w:r>
        <w:rPr>
          <w:rFonts w:ascii="Tinos" w:hAnsi="Tinos" w:cs="Tinos"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ru-RU"/>
        </w:rPr>
        <w:t xml:space="preserve">7.1. Все споры или разногласия, возникающие между сторонами по настоящему 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контракту или в связи с ним, разрешаются путем переговоров между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ними.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7.2. В   случае  невозможности  разрешения  разногласий   путем   переговоров  они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подлежат рассмотрению в арбитражном суде Новгородской области согласно порядку,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установленному законодательством Российской Федерации.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8. Порядок изменения и расторжения контракта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8.1. Любые изменения и дополнения к настоящему контракту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имеют силу только в том случае, если они оформлены в письменном виде и подписаны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обеими сторонами.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8.2. Изменение существенных условий контракта допускается по соглашению сторон в случаях, предусмотренных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Федеральным законом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ст. 95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Федерального закона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14"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  <w:tab w:val="left" w:pos="341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9. Прочие условия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7"/>
          <w:sz w:val="24"/>
          <w:szCs w:val="24"/>
          <w:lang w:eastAsia="ru-RU"/>
        </w:rPr>
        <w:t xml:space="preserve">9.1.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Настоящий контракт вступает в действие со дня подписания и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действует до исполнения Сторонами своих обязательств.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9.2.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случае изменения у к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9.3. Следующие    приложения    являются    неотъемлемой    частью    настоящего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контракта: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1 -спецификация;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2 - форма акта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8"/>
          <w:sz w:val="24"/>
          <w:szCs w:val="24"/>
          <w:lang w:eastAsia="ru-RU"/>
        </w:rPr>
        <w:t xml:space="preserve">9.4.</w:t>
      </w:r>
      <w:r>
        <w:rPr>
          <w:rFonts w:ascii="Tinos" w:hAnsi="Tinos" w:eastAsia="Tinos" w:cs="Tinos"/>
          <w:sz w:val="24"/>
          <w:szCs w:val="24"/>
          <w:lang w:eastAsia="ru-RU"/>
        </w:rPr>
        <w:tab/>
        <w:t xml:space="preserve">Вопросы, не   урегулированные   настоящим     контрактом,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разрешаются в соответствии с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9.5. Настоящий контракт действует до полного исполнения обязательств.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10. Местонахождение и банковские реквизиты сторон</w:t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tbl>
      <w:tblPr>
        <w:tblW w:w="95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870"/>
      </w:tblGrid>
      <w:tr>
        <w:tblPrEx/>
        <w:trPr>
          <w:trHeight w:val="70"/>
        </w:trPr>
        <w:tc>
          <w:tcPr>
            <w:tcW w:w="4711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W w:w="4870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Управление Федеральной службы государственной регистрации, кадастра и картографии по Новгородской области (Управление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Росреестра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по Новгородской области)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>
          <w:trHeight w:val="875"/>
        </w:trPr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Адрес: 173002, Россия, г. Великий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Новгород,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ул. Октябрьская, д. 17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Телефон: (8162) 943-000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Факс: (8162) 770-366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Э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л.почта: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53_upr@rosreestr.ru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/>
              <w:spacing w:after="0" w:line="276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ИНН 5321100694       КПП 532101001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УФК по Нижегородской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т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03501А39310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ОКЦ №1 Волго-Вятского ГУ Банка России//УФК по Нижегородской области г. Нижний Новгород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БИК 012202102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Казначейский счет № 03211643000000013213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Единый казначейский счет № 40102810745370000024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ОГРН 1045300293411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ОКВЭД 84.11.12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ОКТМО 49701000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ОКПО 74991578</w:t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Банковские реквизиты для уплаты неустоек (штрафов, пеней)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77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УФК по Новгородской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04501А39310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7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ОКЦ №1 Волго-Вятского ГУ Банка России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//УФК по Новгородской области </w:t>
              <w:br/>
              <w:t xml:space="preserve">г.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Великий Новгород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7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БИК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42202100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7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03100643000000015000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contextualSpacing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Единый 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40102810245370000100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</w:tbl>
    <w:p>
      <w:pPr>
        <w:contextualSpacing/>
        <w:ind w:firstLine="709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3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                                      </w:t>
      </w: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bCs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риложение №1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к контракту от «</w:t>
      </w:r>
      <w:r>
        <w:rPr>
          <w:rFonts w:ascii="Tinos" w:hAnsi="Tinos" w:eastAsia="Tinos" w:cs="Tinos"/>
          <w:sz w:val="24"/>
          <w:szCs w:val="24"/>
        </w:rPr>
        <w:t xml:space="preserve">___» </w:t>
      </w:r>
      <w:r>
        <w:rPr>
          <w:rFonts w:ascii="Tinos" w:hAnsi="Tinos" w:eastAsia="Tinos" w:cs="Tinos"/>
          <w:sz w:val="24"/>
          <w:szCs w:val="24"/>
        </w:rPr>
        <w:t xml:space="preserve">________ </w:t>
      </w:r>
      <w:r>
        <w:rPr>
          <w:rFonts w:ascii="Tinos" w:hAnsi="Tinos" w:eastAsia="Tinos" w:cs="Tinos"/>
          <w:sz w:val="24"/>
          <w:szCs w:val="24"/>
        </w:rPr>
        <w:t xml:space="preserve">2026</w:t>
      </w:r>
      <w:r>
        <w:rPr>
          <w:rFonts w:ascii="Tinos" w:hAnsi="Tinos" w:eastAsia="Tinos" w:cs="Tinos"/>
          <w:sz w:val="24"/>
          <w:szCs w:val="24"/>
        </w:rPr>
        <w:t xml:space="preserve"> г. №</w:t>
      </w:r>
      <w:r>
        <w:rPr>
          <w:rFonts w:ascii="Tinos" w:hAnsi="Tinos" w:cs="Tinos"/>
          <w:sz w:val="24"/>
          <w:szCs w:val="24"/>
          <w:highlight w:val="none"/>
        </w:rPr>
        <w:t xml:space="preserve">47</w:t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</w:rPr>
        <w:t xml:space="preserve">1.Расчет стоимости</w:t>
      </w:r>
      <w:r>
        <w:rPr>
          <w:rFonts w:ascii="Tinos" w:hAnsi="Tinos" w:eastAsia="Tinos" w:cs="Tinos"/>
          <w:b/>
          <w:sz w:val="22"/>
          <w:szCs w:val="22"/>
        </w:rPr>
        <w:t xml:space="preserve"> услуг</w:t>
      </w:r>
      <w:r>
        <w:rPr>
          <w:rFonts w:ascii="Tinos" w:hAnsi="Tinos" w:eastAsia="Tinos" w:cs="Tinos"/>
          <w:sz w:val="22"/>
          <w:szCs w:val="22"/>
        </w:rPr>
        <w:t xml:space="preserve">: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center"/>
        <w:spacing w:before="0" w:line="240" w:lineRule="auto"/>
        <w:widowControl/>
        <w:rPr>
          <w:rFonts w:ascii="Tinos" w:hAnsi="Tinos" w:cs="Tinos"/>
          <w:b/>
          <w:sz w:val="22"/>
          <w:szCs w:val="22"/>
          <w:highlight w:val="yellow"/>
        </w:rPr>
      </w:pPr>
      <w:r>
        <w:rPr>
          <w:rFonts w:ascii="Tinos" w:hAnsi="Tinos" w:eastAsia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</w:p>
    <w:tbl>
      <w:tblPr>
        <w:tblpPr w:horzAnchor="margin" w:tblpXSpec="left" w:vertAnchor="text" w:tblpY="-11" w:leftFromText="180" w:topFromText="0" w:rightFromText="180" w:bottomFromText="0"/>
        <w:tblW w:w="99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411"/>
        <w:gridCol w:w="707"/>
        <w:gridCol w:w="1417"/>
        <w:gridCol w:w="778"/>
        <w:gridCol w:w="1209"/>
        <w:gridCol w:w="1276"/>
      </w:tblGrid>
      <w:tr>
        <w:tblPrEx/>
        <w:trPr>
          <w:trHeight w:val="1500"/>
        </w:trPr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/п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Наименование единицы услуги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Кол-во,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усл.ед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778" w:type="dxa"/>
            <w:textDirection w:val="lrTb"/>
            <w:noWrap w:val="false"/>
          </w:tcPr>
          <w:p>
            <w:pPr>
              <w:ind w:left="-182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Размер НДС, %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09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 с НДС, руб.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Стоимость, руб. (кол-во*цену с НДС)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r/>
            <w:r/>
          </w:p>
        </w:tc>
      </w:tr>
      <w:tr>
        <w:tblPrEx/>
        <w:trPr>
          <w:trHeight w:val="506"/>
        </w:trPr>
        <w:tc>
          <w:tcPr>
            <w:shd w:val="clear" w:color="ffffff" w:fill="ffffff"/>
            <w:tcW w:w="567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6"/>
            <w:shd w:val="clear" w:color="ffffff" w:fill="ffffff"/>
            <w:tcW w:w="8081" w:type="dxa"/>
            <w:vAlign w:val="center"/>
            <w:textDirection w:val="lrTb"/>
            <w:noWrap w:val="false"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/>
        <w:ind w:firstLine="708"/>
        <w:jc w:val="left"/>
        <w:spacing w:after="20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                                     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   2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.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Техническое задание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jc w:val="center"/>
        <w:spacing w:line="276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на  </w:t>
      </w:r>
      <w:r>
        <w:rPr>
          <w:rFonts w:ascii="Tinos" w:hAnsi="Tinos" w:eastAsia="Tinos" w:cs="Tinos"/>
          <w:b/>
          <w:color w:val="000000"/>
          <w:sz w:val="24"/>
          <w:szCs w:val="24"/>
          <w:highlight w:val="none"/>
        </w:rPr>
        <w:t xml:space="preserve">оказание услуг по обязательному страхованию гражданской ответственности владельца опасного объекта (подъёмная платформа для инвалидов) за причинение вреда в результате аварии на опасном объекте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</w:p>
    <w:p>
      <w:pPr>
        <w:pStyle w:val="945"/>
        <w:contextualSpacing/>
        <w:ind w:firstLine="0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  <w:t xml:space="preserve">Объект закупки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Cs/>
          <w:sz w:val="24"/>
          <w:szCs w:val="24"/>
        </w:rPr>
        <w:t xml:space="preserve">страхование гражданской ответственности владельца опасного объекта за причинение вреда в результате аварии на опасном объекте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contextualSpacing/>
        <w:jc w:val="both"/>
        <w:tabs>
          <w:tab w:val="num" w:pos="0" w:leader="none"/>
        </w:tabs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sz w:val="24"/>
          <w:szCs w:val="24"/>
        </w:rPr>
        <w:t xml:space="preserve">КТРУ – отсутствует</w:t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Код ОКПД 2</w:t>
      </w:r>
      <w:r>
        <w:rPr>
          <w:rFonts w:ascii="Tinos" w:hAnsi="Tinos" w:eastAsia="Tinos" w:cs="Tinos"/>
          <w:sz w:val="24"/>
          <w:szCs w:val="24"/>
        </w:rPr>
        <w:t xml:space="preserve">: </w:t>
      </w:r>
      <w:r>
        <w:rPr>
          <w:rFonts w:ascii="Tinos" w:hAnsi="Tinos" w:eastAsia="Tinos" w:cs="Tinos"/>
          <w:sz w:val="24"/>
          <w:szCs w:val="24"/>
        </w:rPr>
        <w:t xml:space="preserve">65.12.50.000</w:t>
      </w:r>
      <w:r>
        <w:rPr>
          <w:rFonts w:ascii="Tinos" w:hAnsi="Tinos" w:eastAsia="Tinos" w:cs="Tinos" w:eastAsiaTheme="minorHAnsi"/>
          <w:b/>
          <w:bCs/>
          <w:sz w:val="24"/>
          <w:szCs w:val="24"/>
          <w:lang w:eastAsia="en-US"/>
        </w:rPr>
        <w:t xml:space="preserve"> </w:t>
      </w:r>
      <w:r>
        <w:rPr>
          <w:rFonts w:ascii="Tinos" w:hAnsi="Tinos" w:eastAsia="Tinos" w:cs="Tinos" w:eastAsiaTheme="minorHAnsi"/>
          <w:sz w:val="24"/>
          <w:szCs w:val="24"/>
          <w:lang w:eastAsia="en-US"/>
        </w:rPr>
        <w:t xml:space="preserve">Услуги по страхованию общей ответственности</w:t>
      </w:r>
      <w:r>
        <w:rPr>
          <w:rFonts w:ascii="Tinos" w:hAnsi="Tinos" w:eastAsia="Tinos" w:cs="Tinos" w:eastAsiaTheme="minorHAnsi"/>
          <w:sz w:val="24"/>
          <w:szCs w:val="24"/>
          <w:lang w:eastAsia="en-US"/>
        </w:rPr>
      </w:r>
      <w:r>
        <w:rPr>
          <w:rFonts w:ascii="Tinos" w:hAnsi="Tinos" w:eastAsia="Tinos" w:cs="Tinos" w:eastAsiaTheme="minorHAnsi"/>
          <w:sz w:val="24"/>
          <w:szCs w:val="24"/>
          <w:lang w:eastAsia="en-US"/>
        </w:rPr>
      </w:r>
    </w:p>
    <w:p>
      <w:pPr>
        <w:rPr>
          <w:rFonts w:ascii="Tinos" w:hAnsi="Tinos" w:cs="Tinos"/>
          <w:b/>
          <w:sz w:val="10"/>
          <w:szCs w:val="10"/>
        </w:rPr>
      </w:pPr>
      <w:r>
        <w:rPr>
          <w:rFonts w:ascii="Tinos" w:hAnsi="Tinos" w:eastAsia="Tinos" w:cs="Tinos" w:eastAsiaTheme="minorHAnsi"/>
          <w:b/>
          <w:bCs/>
          <w:sz w:val="24"/>
          <w:szCs w:val="24"/>
          <w:lang w:eastAsia="en-US"/>
        </w:rPr>
        <w:t xml:space="preserve">  </w:t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contextualSpacing/>
        <w:jc w:val="both"/>
        <w:tabs>
          <w:tab w:val="num" w:pos="0" w:leader="none"/>
        </w:tabs>
        <w:rPr>
          <w:rFonts w:ascii="Tinos" w:hAnsi="Tinos" w:cs="Tinos"/>
          <w:b/>
          <w:bCs/>
          <w:color w:val="800000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Период оказания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услуг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: с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2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6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января 20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2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7 г. по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2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5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января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20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2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8 г.</w:t>
      </w:r>
      <w:r>
        <w:rPr>
          <w:rFonts w:ascii="Tinos" w:hAnsi="Tinos" w:eastAsia="Tinos" w:cs="Tinos"/>
          <w:b/>
          <w:bCs/>
          <w:color w:val="800000"/>
          <w:sz w:val="24"/>
          <w:szCs w:val="24"/>
        </w:rPr>
      </w:r>
      <w:r>
        <w:rPr>
          <w:rFonts w:ascii="Tinos" w:hAnsi="Tinos" w:eastAsia="Tinos" w:cs="Tinos"/>
          <w:b/>
          <w:bCs/>
          <w:color w:val="800000"/>
          <w:sz w:val="24"/>
          <w:szCs w:val="24"/>
        </w:rPr>
      </w:r>
    </w:p>
    <w:p>
      <w:pPr>
        <w:jc w:val="both"/>
        <w:shd w:val="clear" w:color="auto" w:fill="ffffff"/>
        <w:tabs>
          <w:tab w:val="left" w:pos="0" w:leader="none"/>
          <w:tab w:val="left" w:pos="792" w:leader="none"/>
        </w:tabs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942"/>
        <w:numPr>
          <w:ilvl w:val="0"/>
          <w:numId w:val="31"/>
        </w:numPr>
        <w:contextualSpacing/>
        <w:jc w:val="center"/>
        <w:widowControl w:val="off"/>
        <w:tabs>
          <w:tab w:val="left" w:pos="426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b/>
          <w:sz w:val="24"/>
          <w:szCs w:val="24"/>
        </w:rPr>
        <w:t xml:space="preserve">Условия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оказания услуг: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contextualSpacing/>
        <w:ind w:firstLine="0"/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Услуги должны быть оказаны в строгом соответствии с: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946"/>
        <w:numPr>
          <w:ilvl w:val="1"/>
          <w:numId w:val="32"/>
        </w:numPr>
        <w:ind w:left="0" w:firstLine="525"/>
        <w:jc w:val="both"/>
        <w:rPr>
          <w:rFonts w:ascii="Tinos" w:hAnsi="Tinos" w:cs="Tinos"/>
          <w:spacing w:val="-4"/>
          <w:sz w:val="26"/>
          <w:szCs w:val="26"/>
        </w:rPr>
      </w:pPr>
      <w:r>
        <w:rPr>
          <w:rFonts w:ascii="Tinos" w:hAnsi="Tinos" w:eastAsia="Tinos" w:cs="Tinos"/>
          <w:bCs/>
          <w:spacing w:val="-4"/>
          <w:sz w:val="24"/>
          <w:szCs w:val="24"/>
        </w:rPr>
        <w:t xml:space="preserve">Федеральным законом </w:t>
      </w:r>
      <w:r>
        <w:rPr>
          <w:rFonts w:ascii="Tinos" w:hAnsi="Tinos" w:eastAsia="Tinos" w:cs="Tinos"/>
          <w:spacing w:val="-4"/>
          <w:sz w:val="24"/>
          <w:szCs w:val="24"/>
        </w:rPr>
        <w:t xml:space="preserve">от 27 июля 2010 г. № 225-ФЗ «Об обязательном страховании гражданской ответственности владельца опасного объекта за причинение вреда в резуль</w:t>
      </w:r>
      <w:r>
        <w:rPr>
          <w:rFonts w:ascii="Tinos" w:hAnsi="Tinos" w:eastAsia="Tinos" w:cs="Tinos"/>
          <w:spacing w:val="-4"/>
          <w:sz w:val="24"/>
          <w:szCs w:val="24"/>
        </w:rPr>
        <w:t xml:space="preserve">тате </w:t>
      </w:r>
      <w:r>
        <w:rPr>
          <w:rFonts w:ascii="Tinos" w:hAnsi="Tinos" w:eastAsia="Tinos" w:cs="Tinos"/>
          <w:spacing w:val="-4"/>
          <w:sz w:val="24"/>
          <w:szCs w:val="24"/>
        </w:rPr>
        <w:t xml:space="preserve">аварии на опасном объекте»;</w:t>
      </w:r>
      <w:r>
        <w:rPr>
          <w:rFonts w:ascii="Tinos" w:hAnsi="Tinos" w:eastAsia="Tinos" w:cs="Tinos"/>
          <w:spacing w:val="-4"/>
          <w:sz w:val="24"/>
          <w:szCs w:val="24"/>
        </w:rPr>
      </w:r>
      <w:r>
        <w:rPr>
          <w:rFonts w:ascii="Tinos" w:hAnsi="Tinos" w:eastAsia="Tinos" w:cs="Tinos"/>
          <w:spacing w:val="-4"/>
          <w:sz w:val="24"/>
          <w:szCs w:val="24"/>
        </w:rPr>
      </w:r>
    </w:p>
    <w:p>
      <w:pPr>
        <w:pStyle w:val="946"/>
        <w:numPr>
          <w:ilvl w:val="1"/>
          <w:numId w:val="30"/>
        </w:numPr>
        <w:ind w:left="0" w:firstLine="567"/>
        <w:jc w:val="both"/>
        <w:rPr>
          <w:rFonts w:ascii="Tinos" w:hAnsi="Tinos" w:cs="Tinos"/>
          <w:bCs/>
          <w:color w:val="000000"/>
          <w:spacing w:val="-4"/>
          <w:sz w:val="26"/>
          <w:szCs w:val="26"/>
        </w:rPr>
      </w:pP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  <w:t xml:space="preserve">Положение</w:t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  <w:t xml:space="preserve">м</w:t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  <w:t xml:space="preserve"> Банка России от 28.12.2016 N 574-П (ред. от 06.04.2023) "О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объекте" </w:t>
      </w:r>
      <w:r>
        <w:rPr>
          <w:rFonts w:ascii="Tinos" w:hAnsi="Tinos" w:eastAsia="Tinos" w:cs="Tinos"/>
          <w:spacing w:val="-4"/>
          <w:sz w:val="24"/>
          <w:szCs w:val="24"/>
        </w:rPr>
        <w:t xml:space="preserve">(далее по тексту «Правила страхования»)</w:t>
      </w:r>
      <w:r>
        <w:rPr>
          <w:rFonts w:ascii="Tinos" w:hAnsi="Tinos" w:eastAsia="Tinos" w:cs="Tinos"/>
          <w:spacing w:val="-4"/>
          <w:sz w:val="24"/>
          <w:szCs w:val="24"/>
        </w:rPr>
        <w:t xml:space="preserve">;</w:t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</w:r>
    </w:p>
    <w:p>
      <w:pPr>
        <w:pStyle w:val="942"/>
        <w:numPr>
          <w:ilvl w:val="1"/>
          <w:numId w:val="30"/>
        </w:numPr>
        <w:contextualSpacing/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Гражданский кодекс Российской Федерации (глава 48 «Страхование»);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946"/>
        <w:numPr>
          <w:ilvl w:val="1"/>
          <w:numId w:val="30"/>
        </w:numPr>
        <w:jc w:val="both"/>
        <w:rPr>
          <w:rFonts w:ascii="Tinos" w:hAnsi="Tinos" w:cs="Tinos"/>
          <w:bCs/>
          <w:color w:val="000000"/>
          <w:spacing w:val="-4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Закон РФ от 27.11.1992 N 4015-1 "Об организации страхового дела в Российской Федерации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</w:r>
    </w:p>
    <w:p>
      <w:pPr>
        <w:pStyle w:val="946"/>
        <w:numPr>
          <w:ilvl w:val="1"/>
          <w:numId w:val="30"/>
        </w:numPr>
        <w:ind w:left="0" w:firstLine="491"/>
        <w:jc w:val="both"/>
        <w:rPr>
          <w:rFonts w:ascii="Tinos" w:hAnsi="Tinos" w:cs="Tinos"/>
          <w:b/>
          <w:bCs/>
          <w:color w:val="000000"/>
          <w:spacing w:val="-4"/>
          <w:sz w:val="26"/>
          <w:szCs w:val="26"/>
          <w14:ligatures w14:val="none"/>
        </w:rPr>
      </w:pP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  <w:t xml:space="preserve">Страховой период по опасным объектам Заказчика составляет 1 год с момента окончания срока действия предыдущего полиса обязательного страхования, а именно</w:t>
      </w:r>
      <w:r>
        <w:rPr>
          <w:rFonts w:ascii="Tinos" w:hAnsi="Tinos" w:eastAsia="Tinos" w:cs="Tinos"/>
          <w:color w:val="000000"/>
          <w:spacing w:val="-4"/>
          <w:sz w:val="24"/>
          <w:szCs w:val="24"/>
        </w:rPr>
        <w:t xml:space="preserve">: 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с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2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6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 января 20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2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7 г. по 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2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5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 января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 20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2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8 г.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  <w14:ligatures w14:val="none"/>
        </w:rPr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  <w14:ligatures w14:val="none"/>
        </w:rPr>
      </w:r>
    </w:p>
    <w:p>
      <w:pPr>
        <w:pStyle w:val="946"/>
        <w:numPr>
          <w:ilvl w:val="0"/>
          <w:numId w:val="30"/>
        </w:numPr>
        <w:jc w:val="center"/>
        <w:spacing w:before="120" w:after="120"/>
        <w:rPr>
          <w:rFonts w:ascii="Tinos" w:hAnsi="Tinos" w:cs="Tinos"/>
          <w:b/>
          <w:bCs/>
          <w:color w:val="000000"/>
          <w:spacing w:val="-4"/>
          <w:sz w:val="26"/>
          <w:szCs w:val="26"/>
        </w:rPr>
      </w:pP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  <w:t xml:space="preserve">Требования, предъявляемые к Страховщику:</w:t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</w:r>
      <w:r>
        <w:rPr>
          <w:rFonts w:ascii="Tinos" w:hAnsi="Tinos" w:eastAsia="Tinos" w:cs="Tinos"/>
          <w:b/>
          <w:bCs/>
          <w:color w:val="000000"/>
          <w:spacing w:val="-4"/>
          <w:sz w:val="24"/>
          <w:szCs w:val="24"/>
        </w:rPr>
      </w:r>
    </w:p>
    <w:p>
      <w:pPr>
        <w:pStyle w:val="946"/>
        <w:ind w:firstLine="0"/>
        <w:jc w:val="both"/>
        <w:spacing w:before="120" w:after="120"/>
        <w:rPr>
          <w:rFonts w:ascii="Tinos" w:hAnsi="Tinos" w:cs="Tinos"/>
          <w:bCs/>
          <w:color w:val="000000"/>
          <w:spacing w:val="-4"/>
          <w:sz w:val="26"/>
          <w:szCs w:val="26"/>
        </w:rPr>
      </w:pP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  <w:t xml:space="preserve">Н</w:t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  <w:t xml:space="preserve">аличие лицензии, выданной Центральным Банком Российской Федерации, на осуществле</w:t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  <w:t xml:space="preserve">ние страхования с разрешением на обязательное страхование гражданской ответственности владельца опасного объекта за причинение вреда в результате аварии на опасном объекте, в соответствии с Федеральным законом от 04.05.2011 г. №99-ФЗ «О лицензировании отде</w:t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  <w:t xml:space="preserve">льных видов деятельности».</w:t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</w:r>
      <w:r>
        <w:rPr>
          <w:rFonts w:ascii="Tinos" w:hAnsi="Tinos" w:eastAsia="Tinos" w:cs="Tinos"/>
          <w:bCs/>
          <w:color w:val="000000"/>
          <w:spacing w:val="-4"/>
          <w:sz w:val="24"/>
          <w:szCs w:val="24"/>
        </w:rPr>
      </w:r>
    </w:p>
    <w:p>
      <w:pPr>
        <w:jc w:val="both"/>
        <w:rPr>
          <w:rFonts w:ascii="Tinos" w:hAnsi="Tinos" w:cs="Tinos"/>
          <w:bCs/>
          <w:sz w:val="10"/>
          <w:szCs w:val="10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        </w:t>
      </w:r>
      <w:r>
        <w:rPr>
          <w:rFonts w:ascii="Tinos" w:hAnsi="Tinos" w:eastAsia="Tinos" w:cs="Tinos"/>
          <w:bCs/>
          <w:sz w:val="24"/>
          <w:szCs w:val="24"/>
        </w:rPr>
      </w:r>
      <w:r>
        <w:rPr>
          <w:rFonts w:ascii="Tinos" w:hAnsi="Tinos" w:eastAsia="Tinos" w:cs="Tinos"/>
          <w:bCs/>
          <w:sz w:val="24"/>
          <w:szCs w:val="24"/>
        </w:rPr>
      </w:r>
    </w:p>
    <w:p>
      <w:pPr>
        <w:pStyle w:val="942"/>
        <w:numPr>
          <w:ilvl w:val="0"/>
          <w:numId w:val="30"/>
        </w:numPr>
        <w:jc w:val="center"/>
        <w:shd w:val="clear" w:color="auto" w:fill="ffffff"/>
        <w:tabs>
          <w:tab w:val="left" w:pos="0" w:leader="none"/>
          <w:tab w:val="left" w:pos="792" w:leader="none"/>
        </w:tabs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sz w:val="24"/>
          <w:szCs w:val="24"/>
        </w:rPr>
        <w:t xml:space="preserve">Страховщик обязан:</w:t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jc w:val="both"/>
        <w:shd w:val="clear" w:color="auto" w:fill="ffffff"/>
        <w:tabs>
          <w:tab w:val="left" w:pos="0" w:leader="none"/>
          <w:tab w:val="left" w:pos="792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2.1. О</w:t>
      </w:r>
      <w:r>
        <w:rPr>
          <w:rFonts w:ascii="Tinos" w:hAnsi="Tinos" w:eastAsia="Tinos" w:cs="Tinos"/>
          <w:sz w:val="24"/>
          <w:szCs w:val="24"/>
        </w:rPr>
        <w:t xml:space="preserve">беспечить неразглашение информации о страхователе и (или) потерпевших, которая стала ему известна в результате исполнения договора обязательного страхования (государственного контракта).  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jc w:val="both"/>
        <w:shd w:val="clear" w:color="auto" w:fill="ffffff"/>
        <w:tabs>
          <w:tab w:val="left" w:pos="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2.</w:t>
      </w:r>
      <w:r>
        <w:rPr>
          <w:rFonts w:ascii="Tinos" w:hAnsi="Tinos" w:eastAsia="Tinos" w:cs="Tinos"/>
          <w:sz w:val="24"/>
          <w:szCs w:val="24"/>
        </w:rPr>
        <w:t xml:space="preserve">2. </w:t>
      </w:r>
      <w:r>
        <w:rPr>
          <w:rFonts w:ascii="Tinos" w:hAnsi="Tinos" w:eastAsia="Tinos" w:cs="Tinos"/>
          <w:sz w:val="24"/>
          <w:szCs w:val="24"/>
        </w:rPr>
        <w:t xml:space="preserve">Разъяснять</w:t>
      </w:r>
      <w:r>
        <w:rPr>
          <w:rFonts w:ascii="Tinos" w:hAnsi="Tinos" w:eastAsia="Tinos" w:cs="Tinos"/>
          <w:sz w:val="24"/>
          <w:szCs w:val="24"/>
        </w:rPr>
        <w:t xml:space="preserve"> страхователю и потерпевшим условия обязательного страхования, проводить консультации по вопросам осуществления обязательного страхования, в том числе по оформлению документов, необходимых для страховой выплаты.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left="0" w:firstLine="0"/>
        <w:jc w:val="both"/>
        <w:shd w:val="clear" w:color="auto" w:fill="ffffff"/>
        <w:tabs>
          <w:tab w:val="left" w:pos="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pacing w:val="-1"/>
          <w:sz w:val="24"/>
          <w:szCs w:val="24"/>
        </w:rPr>
        <w:t xml:space="preserve">2.3 При заключении контракта выдать страхователю страховой полис установленного </w:t>
      </w:r>
      <w:r>
        <w:rPr>
          <w:rFonts w:ascii="Tinos" w:hAnsi="Tinos" w:eastAsia="Tinos" w:cs="Tinos"/>
          <w:sz w:val="24"/>
          <w:szCs w:val="24"/>
        </w:rPr>
        <w:t xml:space="preserve">образца на объект страхователя либо в случае его повреждения или утраты в период действия контракта по требованию страхователя бесплатно выдать дубликат страхового полиса.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left="0" w:firstLine="0"/>
        <w:jc w:val="both"/>
        <w:shd w:val="clear" w:color="auto" w:fill="ffffff"/>
        <w:tabs>
          <w:tab w:val="left" w:pos="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2.4 </w:t>
      </w:r>
      <w:r>
        <w:rPr>
          <w:rFonts w:ascii="Tinos" w:hAnsi="Tinos" w:eastAsia="Tinos" w:cs="Tinos"/>
          <w:sz w:val="24"/>
          <w:szCs w:val="24"/>
        </w:rPr>
        <w:t xml:space="preserve">При получении сообщения об аварии на опасном объекте незамедлительно направить своего представителя для участия в расследовании причин, обстоятельств и последствий аварии на опасном объекте, в том числ</w:t>
      </w:r>
      <w:r>
        <w:rPr>
          <w:rFonts w:ascii="Tinos" w:hAnsi="Tinos" w:eastAsia="Tinos" w:cs="Tinos"/>
          <w:sz w:val="24"/>
          <w:szCs w:val="24"/>
        </w:rPr>
        <w:t xml:space="preserve">е для участия в работе комиссии, созданной с участием представителя федерального органа исполнительной власти, осуществляющего в пределах своей компетенции функции по контролю и надзору в области безопасности соответствующих опасных объектов, либо его терр</w:t>
      </w:r>
      <w:r>
        <w:rPr>
          <w:rFonts w:ascii="Tinos" w:hAnsi="Tinos" w:eastAsia="Tinos" w:cs="Tinos"/>
          <w:sz w:val="24"/>
          <w:szCs w:val="24"/>
        </w:rPr>
        <w:t xml:space="preserve">иториального органа и (или) страхователя в целях технического расследования причин аварии на опасном объекте и в случае если в результате аварии возникла чрезвычайная ситуация, а также для участия в работе соответствующей комиссии по чрезвычайной ситуации.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left="0" w:firstLine="0"/>
        <w:jc w:val="both"/>
        <w:shd w:val="clear" w:color="auto" w:fill="ffffff"/>
        <w:tabs>
          <w:tab w:val="left" w:pos="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2.5 </w:t>
      </w:r>
      <w:r>
        <w:rPr>
          <w:rFonts w:ascii="Tinos" w:hAnsi="Tinos" w:eastAsia="Tinos" w:cs="Tinos"/>
          <w:spacing w:val="-20"/>
          <w:sz w:val="24"/>
          <w:szCs w:val="24"/>
        </w:rPr>
        <w:t xml:space="preserve">В</w:t>
      </w:r>
      <w:r>
        <w:rPr>
          <w:rFonts w:ascii="Tinos" w:hAnsi="Tinos" w:eastAsia="Tinos" w:cs="Tinos"/>
          <w:sz w:val="24"/>
          <w:szCs w:val="24"/>
        </w:rPr>
        <w:t xml:space="preserve"> течение 20 (двадцати) рабочих дней после получения акта о причинах и об обстоятельствах аварии, заявления потерпевшего о страховой выплате и документов, подтверждающих причинение вреда и его размер, составить страховой акт.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left="0" w:firstLine="0"/>
        <w:jc w:val="both"/>
        <w:shd w:val="clear" w:color="auto" w:fill="ffffff"/>
        <w:tabs>
          <w:tab w:val="left" w:pos="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2.6 </w:t>
      </w:r>
      <w:r>
        <w:rPr>
          <w:rFonts w:ascii="Tinos" w:hAnsi="Tinos" w:eastAsia="Tinos" w:cs="Tinos"/>
          <w:sz w:val="24"/>
          <w:szCs w:val="24"/>
        </w:rPr>
        <w:t xml:space="preserve">По требованию потерпевшего или страхователя бесплатно выдать копию страхового акта.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left="0" w:firstLine="0"/>
        <w:jc w:val="both"/>
        <w:shd w:val="clear" w:color="auto" w:fill="ffffff"/>
        <w:tabs>
          <w:tab w:val="left" w:pos="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2.7 </w:t>
      </w:r>
      <w:r>
        <w:rPr>
          <w:rFonts w:ascii="Tinos" w:hAnsi="Tinos" w:eastAsia="Tinos" w:cs="Tinos"/>
          <w:spacing w:val="-9"/>
          <w:sz w:val="24"/>
          <w:szCs w:val="24"/>
        </w:rPr>
        <w:t xml:space="preserve">Р</w:t>
      </w:r>
      <w:r>
        <w:rPr>
          <w:rFonts w:ascii="Tinos" w:hAnsi="Tinos" w:eastAsia="Tinos" w:cs="Tinos"/>
          <w:sz w:val="24"/>
          <w:szCs w:val="24"/>
        </w:rPr>
        <w:t xml:space="preserve">азъяснить потерпевшему последствия отказа предоставить персональные данные, необходимые для осуществления страховой выплаты.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left="0" w:firstLine="0"/>
        <w:jc w:val="both"/>
        <w:shd w:val="clear" w:color="auto" w:fill="ffffff"/>
        <w:tabs>
          <w:tab w:val="left" w:pos="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2.8 </w:t>
      </w:r>
      <w:r>
        <w:rPr>
          <w:rFonts w:ascii="Tinos" w:hAnsi="Tinos" w:eastAsia="Tinos" w:cs="Tinos"/>
          <w:sz w:val="24"/>
          <w:szCs w:val="24"/>
        </w:rPr>
        <w:t xml:space="preserve">В течение 25 (двадцати пяти) рабочих дней со дня установления причин аварии в соответствии с законодательством о </w:t>
      </w:r>
      <w:r>
        <w:rPr>
          <w:rFonts w:ascii="Tinos" w:hAnsi="Tinos" w:eastAsia="Tinos" w:cs="Tinos"/>
          <w:spacing w:val="-1"/>
          <w:sz w:val="24"/>
          <w:szCs w:val="24"/>
        </w:rPr>
        <w:t xml:space="preserve">промышленной безопасности опасных производственных объектов, законодательством в области защиты населения и </w:t>
      </w:r>
      <w:r>
        <w:rPr>
          <w:rFonts w:ascii="Tinos" w:hAnsi="Tinos" w:eastAsia="Tinos" w:cs="Tinos"/>
          <w:sz w:val="24"/>
          <w:szCs w:val="24"/>
        </w:rPr>
        <w:t xml:space="preserve">территорий от чрезвычайных ситуаций и получения заявления потерпевшего о</w:t>
      </w:r>
      <w:r>
        <w:rPr>
          <w:rFonts w:ascii="Tinos" w:hAnsi="Tinos" w:eastAsia="Tinos" w:cs="Tinos"/>
          <w:sz w:val="24"/>
          <w:szCs w:val="24"/>
        </w:rPr>
        <w:t xml:space="preserve"> страховой выплате, документов, подтверждающих причинение вреда и его размер, осуществить страховую выплату потерпевшему или направить лицу, обратившемуся с заявлением о страховой выплате, страховой акт, содержащий мотивированный отказ в страховой выплате.</w:t>
      </w:r>
      <w:r>
        <w:rPr>
          <w:rFonts w:ascii="Tinos" w:hAnsi="Tinos" w:eastAsia="Tinos" w:cs="Tinos"/>
          <w:spacing w:val="-20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При нарушении данного срока уплатить потерпевшему неустойку в размере одной </w:t>
      </w:r>
      <w:r>
        <w:rPr>
          <w:rFonts w:ascii="Tinos" w:hAnsi="Tinos" w:eastAsia="Tinos" w:cs="Tinos"/>
          <w:sz w:val="24"/>
          <w:szCs w:val="24"/>
        </w:rPr>
        <w:t xml:space="preserve">стопятидесятой</w:t>
      </w:r>
      <w:r>
        <w:rPr>
          <w:rFonts w:ascii="Tinos" w:hAnsi="Tinos" w:eastAsia="Tinos" w:cs="Tinos"/>
          <w:sz w:val="24"/>
          <w:szCs w:val="24"/>
        </w:rPr>
        <w:t xml:space="preserve"> ставки рефинансирования Центрального банка Российской </w:t>
      </w:r>
      <w:r>
        <w:rPr>
          <w:rFonts w:ascii="Tinos" w:hAnsi="Tinos" w:eastAsia="Tinos" w:cs="Tinos"/>
          <w:spacing w:val="-1"/>
          <w:sz w:val="24"/>
          <w:szCs w:val="24"/>
        </w:rPr>
        <w:t xml:space="preserve">Федерации, действующей на день, когда страховщик должен был исполнить эту обязанность, от предельных размеров </w:t>
      </w:r>
      <w:r>
        <w:rPr>
          <w:rFonts w:ascii="Tinos" w:hAnsi="Tinos" w:eastAsia="Tinos" w:cs="Tinos"/>
          <w:sz w:val="24"/>
          <w:szCs w:val="24"/>
        </w:rPr>
        <w:t xml:space="preserve">страховых выплат, установленных частью 2 статьи 6 ФЗ от 27 июля 2010 года № 225-ФЗ.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left="0" w:firstLine="0"/>
        <w:jc w:val="both"/>
        <w:shd w:val="clear" w:color="auto" w:fill="ffffff"/>
        <w:tabs>
          <w:tab w:val="left" w:pos="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2.9 </w:t>
      </w:r>
      <w:r>
        <w:rPr>
          <w:rFonts w:ascii="Tinos" w:hAnsi="Tinos" w:eastAsia="Tinos" w:cs="Tinos"/>
          <w:sz w:val="24"/>
          <w:szCs w:val="24"/>
        </w:rPr>
        <w:t xml:space="preserve">Возместить в соответствии со статьей 962 Гражданского кодекса Российской Федерации расходы, произведенные в целях уменьшения убытков от страхового случая, если такие расходы были необходимы или были произведены</w:t>
      </w:r>
      <w:r>
        <w:rPr>
          <w:rFonts w:ascii="Tinos" w:hAnsi="Tinos" w:eastAsia="Tinos" w:cs="Tinos"/>
          <w:sz w:val="24"/>
          <w:szCs w:val="24"/>
        </w:rPr>
        <w:t xml:space="preserve"> для выполнения указаний страховщика. В случае, если размер вреда, причиненного потерпевшим, превышает размер страховой суммы по контракту, указанные расходы возмещаются пропорционально отношению размера данной страховой суммы к размеру причиненного вреда.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left="0" w:firstLine="0"/>
        <w:jc w:val="both"/>
        <w:shd w:val="clear" w:color="auto" w:fill="ffffff"/>
        <w:tabs>
          <w:tab w:val="left" w:pos="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2.10 </w:t>
      </w:r>
      <w:r>
        <w:rPr>
          <w:rFonts w:ascii="Tinos" w:hAnsi="Tinos" w:eastAsia="Tinos" w:cs="Tinos"/>
          <w:spacing w:val="-1"/>
          <w:sz w:val="24"/>
          <w:szCs w:val="24"/>
        </w:rPr>
        <w:t xml:space="preserve">Представить страхователю копию действующей лицензии на страхование гражданской </w:t>
      </w:r>
      <w:r>
        <w:rPr>
          <w:rFonts w:ascii="Tinos" w:hAnsi="Tinos" w:eastAsia="Tinos" w:cs="Tinos"/>
          <w:spacing w:val="-2"/>
          <w:sz w:val="24"/>
          <w:szCs w:val="24"/>
        </w:rPr>
        <w:t xml:space="preserve">ответственности за причинение вреда в результате аварии на опасном объекте.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jc w:val="right"/>
        <w:tabs>
          <w:tab w:val="left" w:pos="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3.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Объект страхования и страховой случай</w:t>
      </w: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</w:r>
    </w:p>
    <w:p>
      <w:pPr>
        <w:pStyle w:val="947"/>
        <w:ind w:firstLine="0"/>
        <w:rPr>
          <w:rFonts w:ascii="Tinos" w:hAnsi="Tinos" w:cs="Tinos"/>
          <w:bCs/>
          <w:sz w:val="26"/>
          <w:szCs w:val="26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3.1</w:t>
      </w:r>
      <w:r>
        <w:rPr>
          <w:rFonts w:ascii="Tinos" w:hAnsi="Tinos" w:eastAsia="Tinos" w:cs="Tinos"/>
          <w:bCs/>
          <w:sz w:val="24"/>
          <w:szCs w:val="24"/>
        </w:rPr>
        <w:t xml:space="preserve">. Объектом страхования по </w:t>
      </w:r>
      <w:r>
        <w:rPr>
          <w:rFonts w:ascii="Tinos" w:hAnsi="Tinos" w:eastAsia="Tinos" w:cs="Tinos"/>
          <w:bCs/>
          <w:color w:val="000000"/>
          <w:sz w:val="24"/>
          <w:szCs w:val="24"/>
        </w:rPr>
        <w:t xml:space="preserve">полису обязательного страхования</w:t>
      </w:r>
      <w:r>
        <w:rPr>
          <w:rFonts w:ascii="Tinos" w:hAnsi="Tinos" w:eastAsia="Tinos" w:cs="Tinos"/>
          <w:bCs/>
          <w:sz w:val="24"/>
          <w:szCs w:val="24"/>
        </w:rPr>
        <w:t xml:space="preserve"> являются имущественные интересы Заказчика, связанные с риском гражданской ответственности владельца опасного объекта за причинение вреда в результате аварии на опасном объекте по обязательствам, возникающим вследствие </w:t>
      </w:r>
      <w:r>
        <w:rPr>
          <w:rFonts w:ascii="Tinos" w:hAnsi="Tinos" w:eastAsia="Tinos" w:cs="Tinos"/>
          <w:bCs/>
          <w:sz w:val="24"/>
          <w:szCs w:val="24"/>
        </w:rPr>
        <w:t xml:space="preserve">причинения вреда потерпевших в результате аварии на опасном объекте, указанном в приложении № 1 к настоящему контракту.</w:t>
      </w:r>
      <w:r>
        <w:rPr>
          <w:rFonts w:ascii="Tinos" w:hAnsi="Tinos" w:eastAsia="Tinos" w:cs="Tinos"/>
          <w:bCs/>
          <w:sz w:val="24"/>
          <w:szCs w:val="24"/>
        </w:rPr>
      </w:r>
      <w:r>
        <w:rPr>
          <w:rFonts w:ascii="Tinos" w:hAnsi="Tinos" w:eastAsia="Tinos" w:cs="Tinos"/>
          <w:bCs/>
          <w:sz w:val="24"/>
          <w:szCs w:val="24"/>
        </w:rPr>
      </w:r>
    </w:p>
    <w:p>
      <w:pPr>
        <w:pStyle w:val="947"/>
        <w:ind w:firstLine="0"/>
        <w:rPr>
          <w:rFonts w:ascii="Tinos" w:hAnsi="Tinos" w:cs="Tinos"/>
          <w:bCs/>
          <w:sz w:val="26"/>
          <w:szCs w:val="26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3.</w:t>
      </w:r>
      <w:r>
        <w:rPr>
          <w:rFonts w:ascii="Tinos" w:hAnsi="Tinos" w:eastAsia="Tinos" w:cs="Tinos"/>
          <w:bCs/>
          <w:sz w:val="24"/>
          <w:szCs w:val="24"/>
        </w:rPr>
        <w:t xml:space="preserve">2. Страховым случаем по полису обязательного страх</w:t>
      </w:r>
      <w:r>
        <w:rPr>
          <w:rFonts w:ascii="Tinos" w:hAnsi="Tinos" w:eastAsia="Tinos" w:cs="Tinos"/>
          <w:bCs/>
          <w:sz w:val="24"/>
          <w:szCs w:val="24"/>
        </w:rPr>
        <w:t xml:space="preserve">ования признается наступление гражданской ответственности Заказчика по обязательствам, возникающим вследствие причинения вреда потерпевшим в результате аварии на опасном объекте, которое влечет за собой обязанность Исполнителя произвести страховую выплату.</w:t>
      </w:r>
      <w:r>
        <w:rPr>
          <w:rFonts w:ascii="Tinos" w:hAnsi="Tinos" w:eastAsia="Tinos" w:cs="Tinos"/>
          <w:bCs/>
          <w:sz w:val="24"/>
          <w:szCs w:val="24"/>
        </w:rPr>
      </w:r>
      <w:r>
        <w:rPr>
          <w:rFonts w:ascii="Tinos" w:hAnsi="Tinos" w:eastAsia="Tinos" w:cs="Tinos"/>
          <w:bCs/>
          <w:sz w:val="24"/>
          <w:szCs w:val="24"/>
        </w:rPr>
      </w:r>
    </w:p>
    <w:p>
      <w:pPr>
        <w:pStyle w:val="947"/>
        <w:ind w:left="284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</w:r>
    </w:p>
    <w:p>
      <w:pPr>
        <w:pStyle w:val="942"/>
        <w:ind w:left="885"/>
        <w:jc w:val="center"/>
        <w:tabs>
          <w:tab w:val="left" w:pos="0" w:leader="none"/>
          <w:tab w:val="left" w:pos="874" w:leader="none"/>
          <w:tab w:val="left" w:pos="8098" w:leader="none"/>
        </w:tabs>
        <w:rPr>
          <w:rFonts w:ascii="Tinos" w:hAnsi="Tinos" w:cs="Tinos"/>
          <w:b/>
          <w:spacing w:val="-2"/>
          <w:sz w:val="26"/>
          <w:szCs w:val="26"/>
        </w:rPr>
      </w:pPr>
      <w:r>
        <w:rPr>
          <w:rFonts w:ascii="Tinos" w:hAnsi="Tinos" w:eastAsia="Tinos" w:cs="Tinos"/>
          <w:b/>
          <w:spacing w:val="-2"/>
          <w:sz w:val="24"/>
          <w:szCs w:val="24"/>
        </w:rPr>
        <w:t xml:space="preserve">4.</w:t>
      </w:r>
      <w:r>
        <w:rPr>
          <w:rFonts w:ascii="Tinos" w:hAnsi="Tinos" w:eastAsia="Tinos" w:cs="Tinos"/>
          <w:b/>
          <w:spacing w:val="-2"/>
          <w:sz w:val="24"/>
          <w:szCs w:val="24"/>
        </w:rPr>
        <w:t xml:space="preserve"> Перечень объектов, подлежащих страхованию</w:t>
      </w:r>
      <w:r>
        <w:rPr>
          <w:rFonts w:ascii="Tinos" w:hAnsi="Tinos" w:eastAsia="Tinos" w:cs="Tinos"/>
          <w:b/>
          <w:spacing w:val="-2"/>
          <w:sz w:val="24"/>
          <w:szCs w:val="24"/>
        </w:rPr>
      </w:r>
      <w:r>
        <w:rPr>
          <w:rFonts w:ascii="Tinos" w:hAnsi="Tinos" w:eastAsia="Tinos" w:cs="Tinos"/>
          <w:b/>
          <w:spacing w:val="-2"/>
          <w:sz w:val="24"/>
          <w:szCs w:val="24"/>
        </w:rPr>
      </w:r>
    </w:p>
    <w:p>
      <w:pPr>
        <w:jc w:val="center"/>
        <w:tabs>
          <w:tab w:val="left" w:pos="0" w:leader="none"/>
          <w:tab w:val="left" w:pos="874" w:leader="none"/>
          <w:tab w:val="left" w:pos="8098" w:leader="none"/>
        </w:tabs>
        <w:rPr>
          <w:rFonts w:ascii="Tinos" w:hAnsi="Tinos" w:cs="Tinos"/>
          <w:b/>
          <w:spacing w:val="-2"/>
          <w:sz w:val="26"/>
          <w:szCs w:val="26"/>
        </w:rPr>
      </w:pPr>
      <w:r>
        <w:rPr>
          <w:rFonts w:ascii="Tinos" w:hAnsi="Tinos" w:eastAsia="Tinos" w:cs="Tinos"/>
          <w:b/>
          <w:spacing w:val="-2"/>
          <w:sz w:val="24"/>
          <w:szCs w:val="24"/>
        </w:rPr>
      </w:r>
      <w:r>
        <w:rPr>
          <w:rFonts w:ascii="Tinos" w:hAnsi="Tinos" w:eastAsia="Tinos" w:cs="Tinos"/>
          <w:b/>
          <w:spacing w:val="-2"/>
          <w:sz w:val="24"/>
          <w:szCs w:val="24"/>
        </w:rPr>
      </w:r>
      <w:r>
        <w:rPr>
          <w:rFonts w:ascii="Tinos" w:hAnsi="Tinos" w:eastAsia="Tinos" w:cs="Tinos"/>
          <w:b/>
          <w:spacing w:val="-2"/>
          <w:sz w:val="24"/>
          <w:szCs w:val="24"/>
        </w:rPr>
      </w:r>
    </w:p>
    <w:tbl>
      <w:tblPr>
        <w:tblW w:w="9781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52"/>
        <w:gridCol w:w="1701"/>
        <w:gridCol w:w="2268"/>
        <w:gridCol w:w="992"/>
      </w:tblGrid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№ п/п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425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Наименование объекта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Заводской №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</w:r>
          </w:p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Дата изготовления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Учётный (регистрационный) номер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Количество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4252" w:type="dxa"/>
            <w:vAlign w:val="center"/>
            <w:textDirection w:val="lrTb"/>
            <w:noWrap w:val="false"/>
          </w:tcPr>
          <w:p>
            <w:pPr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Подъемная платформа для инвалидов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 наклонным перемещением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расположенная по адресу: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г.Великий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Новгород, ул. Октябрьская, 17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(ПП НП)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7804/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LC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605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Февраль 2009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48155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874" w:leader="none"/>
                <w:tab w:val="left" w:pos="809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</w:tbl>
    <w:p>
      <w:pPr>
        <w:jc w:val="center"/>
        <w:rPr>
          <w:rFonts w:ascii="Tinos" w:hAnsi="Tinos" w:cs="Tinos"/>
          <w:b/>
          <w:color w:val="000000"/>
          <w:sz w:val="24"/>
          <w:szCs w:val="24"/>
        </w:rPr>
      </w:pPr>
      <w:r>
        <w:rPr>
          <w:rFonts w:ascii="Tinos" w:hAnsi="Tinos" w:eastAsia="Tinos" w:cs="Tinos"/>
          <w:b/>
          <w:color w:val="000000"/>
          <w:sz w:val="24"/>
          <w:szCs w:val="24"/>
          <w:lang w:eastAsia="ru-RU"/>
        </w:rPr>
      </w:r>
      <w:r>
        <w:rPr>
          <w:rFonts w:ascii="Tinos" w:hAnsi="Tinos" w:eastAsia="Tinos" w:cs="Tinos"/>
          <w:b/>
          <w:color w:val="000000"/>
          <w:sz w:val="24"/>
          <w:szCs w:val="24"/>
          <w:lang w:eastAsia="ru-RU"/>
        </w:rPr>
      </w:r>
      <w:r>
        <w:rPr>
          <w:rFonts w:ascii="Tinos" w:hAnsi="Tinos" w:eastAsia="Tinos" w:cs="Tinos"/>
          <w:b/>
          <w:color w:val="000000"/>
          <w:sz w:val="24"/>
          <w:szCs w:val="24"/>
          <w:lang w:eastAsia="ru-RU"/>
        </w:rPr>
      </w:r>
    </w:p>
    <w:p>
      <w:pPr>
        <w:jc w:val="center"/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5. 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Требования к результатам оказанных услуг и иные показатели,</w:t>
      </w:r>
      <w:r>
        <w:rPr>
          <w:rFonts w:ascii="Tinos" w:hAnsi="Tinos" w:eastAsia="Tinos" w:cs="Tinos"/>
          <w:b/>
          <w:sz w:val="24"/>
          <w:szCs w:val="24"/>
          <w:lang w:eastAsia="ru-RU"/>
        </w:rPr>
      </w:r>
      <w:r>
        <w:rPr>
          <w:rFonts w:ascii="Tinos" w:hAnsi="Tinos" w:eastAsia="Tinos" w:cs="Tinos"/>
          <w:b/>
          <w:sz w:val="24"/>
          <w:szCs w:val="24"/>
          <w:lang w:eastAsia="ru-RU"/>
        </w:rPr>
      </w:r>
    </w:p>
    <w:p>
      <w:pPr>
        <w:jc w:val="center"/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связанные с определением соответствия оказанных услуг потребностям заказчика </w:t>
      </w:r>
      <w:r>
        <w:rPr>
          <w:rFonts w:ascii="Tinos" w:hAnsi="Tinos" w:eastAsia="Tinos" w:cs="Tinos"/>
          <w:b/>
          <w:sz w:val="24"/>
          <w:szCs w:val="24"/>
          <w:lang w:eastAsia="ru-RU"/>
        </w:rPr>
      </w:r>
      <w:r>
        <w:rPr>
          <w:rFonts w:ascii="Tinos" w:hAnsi="Tinos" w:eastAsia="Tinos" w:cs="Tinos"/>
          <w:b/>
          <w:sz w:val="24"/>
          <w:szCs w:val="24"/>
          <w:lang w:eastAsia="ru-RU"/>
        </w:rPr>
      </w:r>
    </w:p>
    <w:p>
      <w:pPr>
        <w:jc w:val="both"/>
        <w:rPr>
          <w:rFonts w:ascii="Tinos" w:hAnsi="Tinos" w:cs="Tinos"/>
          <w:bCs/>
          <w:sz w:val="26"/>
          <w:szCs w:val="26"/>
        </w:rPr>
      </w:pPr>
      <w:r>
        <w:rPr>
          <w:rFonts w:ascii="Tinos" w:hAnsi="Tinos" w:eastAsia="Tinos" w:cs="Tinos"/>
          <w:bCs/>
          <w:sz w:val="24"/>
          <w:szCs w:val="24"/>
          <w:lang w:eastAsia="ru-RU"/>
        </w:rPr>
      </w:r>
      <w:r>
        <w:rPr>
          <w:rFonts w:ascii="Tinos" w:hAnsi="Tinos" w:eastAsia="Tinos" w:cs="Tinos"/>
          <w:bCs/>
          <w:sz w:val="24"/>
          <w:szCs w:val="24"/>
          <w:lang w:eastAsia="ru-RU"/>
        </w:rPr>
      </w:r>
      <w:r>
        <w:rPr>
          <w:rFonts w:ascii="Tinos" w:hAnsi="Tinos" w:eastAsia="Tinos" w:cs="Tinos"/>
          <w:bCs/>
          <w:sz w:val="24"/>
          <w:szCs w:val="24"/>
          <w:lang w:eastAsia="ru-RU"/>
        </w:rPr>
      </w:r>
    </w:p>
    <w:p>
      <w:pPr>
        <w:pStyle w:val="947"/>
        <w:ind w:firstLine="0"/>
        <w:rPr>
          <w:rFonts w:ascii="Tinos" w:hAnsi="Tinos" w:cs="Tinos"/>
          <w:bCs/>
          <w:color w:val="000000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1. </w:t>
      </w:r>
      <w:r>
        <w:rPr>
          <w:rFonts w:ascii="Tinos" w:hAnsi="Tinos" w:eastAsia="Tinos" w:cs="Tinos"/>
          <w:sz w:val="24"/>
          <w:szCs w:val="24"/>
        </w:rPr>
        <w:t xml:space="preserve">Исполнитель</w:t>
      </w:r>
      <w:r>
        <w:rPr>
          <w:rFonts w:ascii="Tinos" w:hAnsi="Tinos" w:eastAsia="Tinos" w:cs="Tinos"/>
          <w:bCs/>
          <w:color w:val="000000"/>
          <w:sz w:val="24"/>
          <w:szCs w:val="24"/>
        </w:rPr>
        <w:t xml:space="preserve"> з</w:t>
      </w:r>
      <w:r>
        <w:rPr>
          <w:rFonts w:ascii="Tinos" w:hAnsi="Tinos" w:eastAsia="Tinos" w:cs="Tinos"/>
          <w:bCs/>
          <w:color w:val="000000"/>
          <w:sz w:val="24"/>
          <w:szCs w:val="24"/>
        </w:rPr>
        <w:t xml:space="preserve">аключает с Заказчиком договор обязательного страхования гражданской ответственности владельца опасного объекта за причинение вреда в результате аварии на опасном объекте Заказчика сроком на 1 год с момента начала действия полиса обязательного страхования. </w:t>
      </w:r>
      <w:r>
        <w:rPr>
          <w:rFonts w:ascii="Tinos" w:hAnsi="Tinos" w:eastAsia="Tinos" w:cs="Tinos"/>
          <w:bCs/>
          <w:color w:val="000000"/>
          <w:sz w:val="24"/>
          <w:szCs w:val="24"/>
        </w:rPr>
      </w:r>
      <w:r>
        <w:rPr>
          <w:rFonts w:ascii="Tinos" w:hAnsi="Tinos" w:eastAsia="Tinos" w:cs="Tinos"/>
          <w:bCs/>
          <w:color w:val="000000"/>
          <w:sz w:val="24"/>
          <w:szCs w:val="24"/>
        </w:rPr>
      </w:r>
    </w:p>
    <w:p>
      <w:pPr>
        <w:jc w:val="both"/>
        <w:keepLines/>
        <w:keepNext/>
        <w:widowControl w:val="off"/>
        <w:tabs>
          <w:tab w:val="left" w:pos="709" w:leader="none"/>
          <w:tab w:val="num" w:pos="1080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Сдача Исполнителем результата услуг и приемка его Заказчиком оформляется актом об оказании услуг, подписанным Сторонами.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jc w:val="center"/>
        <w:rPr>
          <w:rFonts w:ascii="Tinos" w:hAnsi="Tinos" w:cs="Tinos"/>
          <w:b/>
          <w:bCs/>
          <w:sz w:val="26"/>
          <w:szCs w:val="26"/>
        </w:rPr>
        <w:outlineLvl w:val="2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</w:p>
    <w:p>
      <w:pPr>
        <w:jc w:val="center"/>
        <w:rPr>
          <w:rFonts w:ascii="Tinos" w:hAnsi="Tinos" w:cs="Tinos"/>
          <w:b/>
          <w:bCs/>
          <w:sz w:val="26"/>
          <w:szCs w:val="26"/>
        </w:rPr>
        <w:outlineLvl w:val="2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      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6.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Требования к сроку и (или) объему предоставления гарантии качества товара, работ, услуг.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</w:p>
    <w:p>
      <w:pPr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1.Исполнитель гарантирует качество услуг в соответствии с </w:t>
      </w:r>
      <w:r>
        <w:rPr>
          <w:rFonts w:ascii="Tinos" w:hAnsi="Tinos" w:eastAsia="Tinos" w:cs="Tinos"/>
          <w:bCs/>
          <w:color w:val="000000"/>
          <w:sz w:val="24"/>
          <w:szCs w:val="24"/>
        </w:rPr>
        <w:t xml:space="preserve">нормативными  правовыми</w:t>
      </w:r>
      <w:r>
        <w:rPr>
          <w:rFonts w:ascii="Tinos" w:hAnsi="Tinos" w:eastAsia="Tinos" w:cs="Tinos"/>
          <w:bCs/>
          <w:color w:val="000000"/>
          <w:sz w:val="24"/>
          <w:szCs w:val="24"/>
        </w:rPr>
        <w:t xml:space="preserve"> актами Российской Федерации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2. Исполнитель</w:t>
      </w:r>
      <w:r>
        <w:rPr>
          <w:rFonts w:ascii="Tinos" w:hAnsi="Tinos" w:eastAsia="Tinos" w:cs="Tinos"/>
          <w:sz w:val="24"/>
          <w:szCs w:val="24"/>
        </w:rPr>
        <w:t xml:space="preserve"> гарантирует Заказчику соответствие качества оказанных услуг стандартам и требованиям, предъявляемым к результату оказываемых услуг такого рода.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В случае если качество оказанных услуг не соответствует условиям Контракта, Заказчик вправе потребовать от </w:t>
      </w:r>
      <w:r>
        <w:rPr>
          <w:rFonts w:ascii="Tinos" w:hAnsi="Tinos" w:eastAsia="Tinos" w:cs="Tinos"/>
          <w:sz w:val="24"/>
          <w:szCs w:val="24"/>
        </w:rPr>
        <w:t xml:space="preserve">Исполнителя безвозмездного устранения недостатков.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contextualSpacing/>
        <w:jc w:val="both"/>
        <w:spacing w:after="120"/>
        <w:shd w:val="clear" w:color="auto" w:fill="ffffff"/>
        <w:tabs>
          <w:tab w:val="left" w:pos="993" w:leader="none"/>
        </w:tabs>
        <w:rPr>
          <w:rFonts w:eastAsia="Lucida Sans Unicode"/>
          <w:sz w:val="24"/>
          <w:szCs w:val="24"/>
          <w:lang w:eastAsia="en-US" w:bidi="en-US"/>
        </w:rPr>
      </w:pP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</w:p>
    <w:p>
      <w:pPr>
        <w:contextualSpacing/>
        <w:jc w:val="left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tbl>
      <w:tblPr>
        <w:tblStyle w:val="93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Приложение № 2 к контракту 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                                                                    от «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___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» _________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2026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г. №47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ОБРАЗЕЦ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Акт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№____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   г.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по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контракту №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right="-1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trike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Заказчик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Управлением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Росреестра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по Новгородской области</w:t>
      </w:r>
      <w:r>
        <w:rPr>
          <w:rFonts w:ascii="Tinos" w:hAnsi="Tinos" w:cs="Tinos"/>
          <w:strike/>
          <w:sz w:val="24"/>
          <w:szCs w:val="24"/>
        </w:rPr>
      </w:r>
      <w:r>
        <w:rPr>
          <w:rFonts w:ascii="Tinos" w:hAnsi="Tinos" w:cs="Tinos"/>
          <w:strike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Заказчика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г. Великий Новгород, ул. Октябрьская, д. 17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lang w:eastAsia="ar-SA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Исполнитель: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Исполнителя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tabs>
          <w:tab w:val="left" w:pos="590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Исполнителем в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соответствии с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контракт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ом №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от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б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ыли оказаны следующие услуги: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0" w:type="auto"/>
        <w:jc w:val="center"/>
        <w:tblInd w:w="-3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331"/>
        <w:gridCol w:w="1559"/>
        <w:gridCol w:w="1967"/>
        <w:gridCol w:w="999"/>
      </w:tblGrid>
      <w:tr>
        <w:tblPrEx/>
        <w:trPr>
          <w:jc w:val="center"/>
          <w:trHeight w:val="268"/>
        </w:trPr>
        <w:tc>
          <w:tcPr>
            <w:tcW w:w="4331" w:type="dxa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Наименование услуг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Кол-во,усл.ед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Цена,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Сумма,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</w:tr>
    </w:tbl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Вышеперечисленные услуги оказаны полностью и в срок. Заказчик претензий по объему, качеству и срокам оказания услуг не имеет.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        </w:t>
      </w:r>
      <w:r>
        <w:rPr>
          <w:rFonts w:ascii="Tinos" w:hAnsi="Tinos" w:eastAsia="Tinos" w:cs="Tinos"/>
          <w:sz w:val="20"/>
          <w:szCs w:val="20"/>
          <w:lang w:eastAsia="ar-SA"/>
        </w:rPr>
        <w:t xml:space="preserve"> (*) Сумма, подлежащая оплате в соответствии с условиями контракта (итого общая стоимость оказанных услуг)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Размер неустойки, подлежащий взысканию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Основания применения и порядок расчета неустойки (штрафов)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Итоговая сумма, подлежащая оплате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u w:val="single"/>
        </w:rPr>
      </w:pPr>
      <w:r>
        <w:rPr>
          <w:rFonts w:ascii="Tinos" w:hAnsi="Tinos" w:eastAsia="Tinos" w:cs="Tinos"/>
          <w:sz w:val="24"/>
          <w:szCs w:val="24"/>
          <w:u w:val="single"/>
          <w:lang w:eastAsia="ar-SA"/>
        </w:rPr>
      </w:r>
      <w:r>
        <w:rPr>
          <w:rFonts w:ascii="Tinos" w:hAnsi="Tinos" w:cs="Tinos"/>
          <w:sz w:val="24"/>
          <w:szCs w:val="24"/>
          <w:u w:val="single"/>
        </w:rPr>
      </w:r>
      <w:r>
        <w:rPr>
          <w:rFonts w:ascii="Tinos" w:hAnsi="Tinos" w:cs="Tinos"/>
          <w:sz w:val="24"/>
          <w:szCs w:val="24"/>
          <w:u w:val="single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ar-SA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3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 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(*) Данные разде</w:t>
      </w: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лы акта заполняются Заказчиком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5020405040202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jc w:val="center"/>
    </w:pPr>
    <w:fldSimple w:instr="PAGE \* MERGEFORMAT">
      <w:r>
        <w:t xml:space="preserve">1</w:t>
      </w:r>
    </w:fldSimple>
    <w:r/>
    <w:r/>
  </w:p>
  <w:p>
    <w:pPr>
      <w:pStyle w:val="78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23" w:hanging="360"/>
        <w:tabs>
          <w:tab w:val="num" w:pos="102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4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6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8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0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2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4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6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83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34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786" w:hanging="360"/>
      </w:pPr>
      <w:rPr>
        <w:rFonts w:hint="default"/>
        <w:b w:val="0"/>
        <w:lang w:val="ru-RU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0">
    <w:multiLevelType w:val="hybridMultilevel"/>
    <w:lvl w:ilvl="0">
      <w:start w:val="2009"/>
      <w:numFmt w:val="decimal"/>
      <w:isLgl w:val="false"/>
      <w:suff w:val="tab"/>
      <w:lvlText w:val="%1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 w:val="false"/>
      <w:suff w:val="tab"/>
      <w:lvlText w:val="%2."/>
      <w:lvlJc w:val="left"/>
      <w:pPr>
        <w:ind w:left="1211" w:hanging="360"/>
        <w:tabs>
          <w:tab w:val="num" w:pos="1211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4"/>
      <w:numFmt w:val="decimal"/>
      <w:isLgl/>
      <w:suff w:val="tab"/>
      <w:lvlText w:val="%1.%2"/>
      <w:lvlJc w:val="left"/>
      <w:pPr>
        <w:ind w:left="1069" w:hanging="360"/>
      </w:pPr>
      <w:rPr>
        <w:rFonts w:hint="default" w:cs="Times New Roman"/>
        <w:color w:val="auto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 w:cs="Times New Roman"/>
        <w:color w:val="auto"/>
      </w:rPr>
    </w:lvl>
    <w:lvl w:ilvl="3">
      <w:start w:val="1"/>
      <w:numFmt w:val="decimal"/>
      <w:isLgl/>
      <w:suff w:val="tab"/>
      <w:lvlText w:val="%1.%2.%3.%4"/>
      <w:lvlJc w:val="left"/>
      <w:pPr>
        <w:ind w:left="1429" w:hanging="720"/>
      </w:pPr>
      <w:rPr>
        <w:rFonts w:hint="default" w:cs="Times New Roman"/>
        <w:color w:val="auto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 w:cs="Times New Roman"/>
        <w:color w:val="auto"/>
      </w:rPr>
    </w:lvl>
    <w:lvl w:ilvl="5">
      <w:start w:val="1"/>
      <w:numFmt w:val="decimal"/>
      <w:isLgl/>
      <w:suff w:val="tab"/>
      <w:lvlText w:val="%1.%2.%3.%4.%5.%6"/>
      <w:lvlJc w:val="left"/>
      <w:pPr>
        <w:ind w:left="1789" w:hanging="1080"/>
      </w:pPr>
      <w:rPr>
        <w:rFonts w:hint="default" w:cs="Times New Roman"/>
        <w:color w:val="auto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 w:cs="Times New Roman"/>
        <w:color w:val="auto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49" w:hanging="1440"/>
      </w:pPr>
      <w:rPr>
        <w:rFonts w:hint="default" w:cs="Times New Roman"/>
        <w:color w:val="auto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09" w:hanging="1800"/>
      </w:pPr>
      <w:rPr>
        <w:rFonts w:hint="default" w:cs="Times New Roman"/>
        <w:color w:val="auto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85" w:hanging="360"/>
      </w:pPr>
      <w:rPr>
        <w:rFonts w:hint="default"/>
        <w:color w:val="000000"/>
      </w:rPr>
    </w:lvl>
    <w:lvl w:ilvl="1">
      <w:start w:val="2"/>
      <w:numFmt w:val="decimal"/>
      <w:isLgl/>
      <w:suff w:val="tab"/>
      <w:lvlText w:val="%1.%2."/>
      <w:lvlJc w:val="left"/>
      <w:pPr>
        <w:ind w:left="885" w:hanging="36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245" w:hanging="720"/>
      </w:pPr>
      <w:rPr>
        <w:rFonts w:hint="default"/>
        <w:color w:val="auto"/>
      </w:rPr>
    </w:lvl>
    <w:lvl w:ilvl="3">
      <w:start w:val="1"/>
      <w:numFmt w:val="decimal"/>
      <w:isLgl/>
      <w:suff w:val="tab"/>
      <w:lvlText w:val="%1.%2.%3.%4."/>
      <w:lvlJc w:val="left"/>
      <w:pPr>
        <w:ind w:left="1245" w:hanging="720"/>
      </w:pPr>
      <w:rPr>
        <w:rFonts w:hint="default"/>
        <w:color w:val="auto"/>
      </w:rPr>
    </w:lvl>
    <w:lvl w:ilvl="4">
      <w:start w:val="1"/>
      <w:numFmt w:val="decimal"/>
      <w:isLgl/>
      <w:suff w:val="tab"/>
      <w:lvlText w:val="%1.%2.%3.%4.%5."/>
      <w:lvlJc w:val="left"/>
      <w:pPr>
        <w:ind w:left="1605" w:hanging="1080"/>
      </w:pPr>
      <w:rPr>
        <w:rFonts w:hint="default"/>
        <w:color w:val="auto"/>
      </w:rPr>
    </w:lvl>
    <w:lvl w:ilvl="5">
      <w:start w:val="1"/>
      <w:numFmt w:val="decimal"/>
      <w:isLgl/>
      <w:suff w:val="tab"/>
      <w:lvlText w:val="%1.%2.%3.%4.%5.%6."/>
      <w:lvlJc w:val="left"/>
      <w:pPr>
        <w:ind w:left="1605" w:hanging="1080"/>
      </w:pPr>
      <w:rPr>
        <w:rFonts w:hint="default"/>
        <w:color w:val="auto"/>
      </w:rPr>
    </w:lvl>
    <w:lvl w:ilvl="6">
      <w:start w:val="1"/>
      <w:numFmt w:val="decimal"/>
      <w:isLgl/>
      <w:suff w:val="tab"/>
      <w:lvlText w:val="%1.%2.%3.%4.%5.%6.%7."/>
      <w:lvlJc w:val="left"/>
      <w:pPr>
        <w:ind w:left="1965" w:hanging="1440"/>
      </w:pPr>
      <w:rPr>
        <w:rFonts w:hint="default"/>
        <w:color w:val="auto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965" w:hanging="1440"/>
      </w:pPr>
      <w:rPr>
        <w:rFonts w:hint="default"/>
        <w:color w:val="auto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25" w:hanging="1800"/>
      </w:pPr>
      <w:rPr>
        <w:rFonts w:hint="default"/>
        <w:color w:val="auto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4"/>
      <w:numFmt w:val="decimal"/>
      <w:isLgl/>
      <w:suff w:val="tab"/>
      <w:lvlText w:val="%1.%2"/>
      <w:lvlJc w:val="left"/>
      <w:pPr>
        <w:ind w:left="1069" w:hanging="360"/>
      </w:pPr>
      <w:rPr>
        <w:rFonts w:hint="default" w:cs="Times New Roman"/>
        <w:color w:val="auto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 w:cs="Times New Roman"/>
        <w:color w:val="auto"/>
      </w:rPr>
    </w:lvl>
    <w:lvl w:ilvl="3">
      <w:start w:val="1"/>
      <w:numFmt w:val="decimal"/>
      <w:isLgl/>
      <w:suff w:val="tab"/>
      <w:lvlText w:val="%1.%2.%3.%4"/>
      <w:lvlJc w:val="left"/>
      <w:pPr>
        <w:ind w:left="1429" w:hanging="720"/>
      </w:pPr>
      <w:rPr>
        <w:rFonts w:hint="default" w:cs="Times New Roman"/>
        <w:color w:val="auto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 w:cs="Times New Roman"/>
        <w:color w:val="auto"/>
      </w:rPr>
    </w:lvl>
    <w:lvl w:ilvl="5">
      <w:start w:val="1"/>
      <w:numFmt w:val="decimal"/>
      <w:isLgl/>
      <w:suff w:val="tab"/>
      <w:lvlText w:val="%1.%2.%3.%4.%5.%6"/>
      <w:lvlJc w:val="left"/>
      <w:pPr>
        <w:ind w:left="1789" w:hanging="1080"/>
      </w:pPr>
      <w:rPr>
        <w:rFonts w:hint="default" w:cs="Times New Roman"/>
        <w:color w:val="auto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 w:cs="Times New Roman"/>
        <w:color w:val="auto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49" w:hanging="1440"/>
      </w:pPr>
      <w:rPr>
        <w:rFonts w:hint="default" w:cs="Times New Roman"/>
        <w:color w:val="auto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09" w:hanging="1800"/>
      </w:pPr>
      <w:rPr>
        <w:rFonts w:hint="default" w:cs="Times New Roman"/>
        <w:color w:val="auto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0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14"/>
  </w:num>
  <w:num w:numId="5">
    <w:abstractNumId w:val="1"/>
  </w:num>
  <w:num w:numId="6">
    <w:abstractNumId w:val="15"/>
  </w:num>
  <w:num w:numId="7">
    <w:abstractNumId w:val="2"/>
  </w:num>
  <w:num w:numId="8">
    <w:abstractNumId w:val="13"/>
  </w:num>
  <w:num w:numId="9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8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1"/>
  </w:num>
  <w:num w:numId="18">
    <w:abstractNumId w:val="16"/>
  </w:num>
  <w:num w:numId="19">
    <w:abstractNumId w:val="17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200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7">
    <w:name w:val="Heading 1"/>
    <w:basedOn w:val="932"/>
    <w:next w:val="932"/>
    <w:link w:val="7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8">
    <w:name w:val="Heading 1 Char"/>
    <w:basedOn w:val="933"/>
    <w:link w:val="757"/>
    <w:uiPriority w:val="9"/>
    <w:rPr>
      <w:rFonts w:ascii="Arial" w:hAnsi="Arial" w:eastAsia="Arial" w:cs="Arial"/>
      <w:sz w:val="40"/>
      <w:szCs w:val="40"/>
    </w:rPr>
  </w:style>
  <w:style w:type="paragraph" w:styleId="759">
    <w:name w:val="Heading 2"/>
    <w:basedOn w:val="932"/>
    <w:next w:val="932"/>
    <w:link w:val="7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0">
    <w:name w:val="Heading 2 Char"/>
    <w:basedOn w:val="933"/>
    <w:link w:val="759"/>
    <w:uiPriority w:val="9"/>
    <w:rPr>
      <w:rFonts w:ascii="Arial" w:hAnsi="Arial" w:eastAsia="Arial" w:cs="Arial"/>
      <w:sz w:val="34"/>
    </w:rPr>
  </w:style>
  <w:style w:type="paragraph" w:styleId="761">
    <w:name w:val="Heading 3"/>
    <w:basedOn w:val="932"/>
    <w:next w:val="932"/>
    <w:link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2">
    <w:name w:val="Heading 3 Char"/>
    <w:basedOn w:val="933"/>
    <w:link w:val="761"/>
    <w:uiPriority w:val="9"/>
    <w:rPr>
      <w:rFonts w:ascii="Arial" w:hAnsi="Arial" w:eastAsia="Arial" w:cs="Arial"/>
      <w:sz w:val="30"/>
      <w:szCs w:val="30"/>
    </w:rPr>
  </w:style>
  <w:style w:type="paragraph" w:styleId="763">
    <w:name w:val="Heading 4"/>
    <w:basedOn w:val="932"/>
    <w:next w:val="932"/>
    <w:link w:val="7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4">
    <w:name w:val="Heading 4 Char"/>
    <w:basedOn w:val="933"/>
    <w:link w:val="763"/>
    <w:uiPriority w:val="9"/>
    <w:rPr>
      <w:rFonts w:ascii="Arial" w:hAnsi="Arial" w:eastAsia="Arial" w:cs="Arial"/>
      <w:b/>
      <w:bCs/>
      <w:sz w:val="26"/>
      <w:szCs w:val="26"/>
    </w:rPr>
  </w:style>
  <w:style w:type="paragraph" w:styleId="765">
    <w:name w:val="Heading 5"/>
    <w:basedOn w:val="932"/>
    <w:next w:val="932"/>
    <w:link w:val="7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6">
    <w:name w:val="Heading 5 Char"/>
    <w:basedOn w:val="933"/>
    <w:link w:val="765"/>
    <w:uiPriority w:val="9"/>
    <w:rPr>
      <w:rFonts w:ascii="Arial" w:hAnsi="Arial" w:eastAsia="Arial" w:cs="Arial"/>
      <w:b/>
      <w:bCs/>
      <w:sz w:val="24"/>
      <w:szCs w:val="24"/>
    </w:rPr>
  </w:style>
  <w:style w:type="paragraph" w:styleId="767">
    <w:name w:val="Heading 6"/>
    <w:basedOn w:val="932"/>
    <w:next w:val="932"/>
    <w:link w:val="7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8">
    <w:name w:val="Heading 6 Char"/>
    <w:basedOn w:val="933"/>
    <w:link w:val="767"/>
    <w:uiPriority w:val="9"/>
    <w:rPr>
      <w:rFonts w:ascii="Arial" w:hAnsi="Arial" w:eastAsia="Arial" w:cs="Arial"/>
      <w:b/>
      <w:bCs/>
      <w:sz w:val="22"/>
      <w:szCs w:val="22"/>
    </w:rPr>
  </w:style>
  <w:style w:type="paragraph" w:styleId="769">
    <w:name w:val="Heading 7"/>
    <w:basedOn w:val="932"/>
    <w:next w:val="932"/>
    <w:link w:val="7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>
    <w:name w:val="Heading 7 Char"/>
    <w:basedOn w:val="933"/>
    <w:link w:val="7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1">
    <w:name w:val="Heading 8"/>
    <w:basedOn w:val="932"/>
    <w:next w:val="932"/>
    <w:link w:val="7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2">
    <w:name w:val="Heading 8 Char"/>
    <w:basedOn w:val="933"/>
    <w:link w:val="771"/>
    <w:uiPriority w:val="9"/>
    <w:rPr>
      <w:rFonts w:ascii="Arial" w:hAnsi="Arial" w:eastAsia="Arial" w:cs="Arial"/>
      <w:i/>
      <w:iCs/>
      <w:sz w:val="22"/>
      <w:szCs w:val="22"/>
    </w:rPr>
  </w:style>
  <w:style w:type="paragraph" w:styleId="773">
    <w:name w:val="Heading 9"/>
    <w:basedOn w:val="932"/>
    <w:next w:val="932"/>
    <w:link w:val="7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4">
    <w:name w:val="Heading 9 Char"/>
    <w:basedOn w:val="933"/>
    <w:link w:val="773"/>
    <w:uiPriority w:val="9"/>
    <w:rPr>
      <w:rFonts w:ascii="Arial" w:hAnsi="Arial" w:eastAsia="Arial" w:cs="Arial"/>
      <w:i/>
      <w:iCs/>
      <w:sz w:val="21"/>
      <w:szCs w:val="21"/>
    </w:rPr>
  </w:style>
  <w:style w:type="paragraph" w:styleId="775">
    <w:name w:val="No Spacing"/>
    <w:uiPriority w:val="1"/>
    <w:qFormat/>
    <w:pPr>
      <w:spacing w:before="0" w:after="0" w:line="240" w:lineRule="auto"/>
    </w:pPr>
  </w:style>
  <w:style w:type="paragraph" w:styleId="776">
    <w:name w:val="Title"/>
    <w:basedOn w:val="932"/>
    <w:next w:val="932"/>
    <w:link w:val="7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7">
    <w:name w:val="Title Char"/>
    <w:basedOn w:val="933"/>
    <w:link w:val="776"/>
    <w:uiPriority w:val="10"/>
    <w:rPr>
      <w:sz w:val="48"/>
      <w:szCs w:val="48"/>
    </w:rPr>
  </w:style>
  <w:style w:type="paragraph" w:styleId="778">
    <w:name w:val="Subtitle"/>
    <w:basedOn w:val="932"/>
    <w:next w:val="932"/>
    <w:link w:val="779"/>
    <w:uiPriority w:val="11"/>
    <w:qFormat/>
    <w:pPr>
      <w:spacing w:before="200" w:after="200"/>
    </w:pPr>
    <w:rPr>
      <w:sz w:val="24"/>
      <w:szCs w:val="24"/>
    </w:rPr>
  </w:style>
  <w:style w:type="character" w:styleId="779">
    <w:name w:val="Subtitle Char"/>
    <w:basedOn w:val="933"/>
    <w:link w:val="778"/>
    <w:uiPriority w:val="11"/>
    <w:rPr>
      <w:sz w:val="24"/>
      <w:szCs w:val="24"/>
    </w:rPr>
  </w:style>
  <w:style w:type="paragraph" w:styleId="780">
    <w:name w:val="Quote"/>
    <w:basedOn w:val="932"/>
    <w:next w:val="932"/>
    <w:link w:val="781"/>
    <w:uiPriority w:val="29"/>
    <w:qFormat/>
    <w:pPr>
      <w:ind w:left="720" w:right="720"/>
    </w:pPr>
    <w:rPr>
      <w:i/>
    </w:rPr>
  </w:style>
  <w:style w:type="character" w:styleId="781">
    <w:name w:val="Quote Char"/>
    <w:link w:val="780"/>
    <w:uiPriority w:val="29"/>
    <w:rPr>
      <w:i/>
    </w:rPr>
  </w:style>
  <w:style w:type="paragraph" w:styleId="782">
    <w:name w:val="Intense Quote"/>
    <w:basedOn w:val="932"/>
    <w:next w:val="932"/>
    <w:link w:val="7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>
    <w:name w:val="Intense Quote Char"/>
    <w:link w:val="782"/>
    <w:uiPriority w:val="30"/>
    <w:rPr>
      <w:i/>
    </w:rPr>
  </w:style>
  <w:style w:type="paragraph" w:styleId="784">
    <w:name w:val="Header"/>
    <w:basedOn w:val="932"/>
    <w:link w:val="7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5">
    <w:name w:val="Header Char"/>
    <w:basedOn w:val="933"/>
    <w:link w:val="784"/>
    <w:uiPriority w:val="99"/>
  </w:style>
  <w:style w:type="paragraph" w:styleId="786">
    <w:name w:val="Footer"/>
    <w:basedOn w:val="932"/>
    <w:link w:val="7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7">
    <w:name w:val="Footer Char"/>
    <w:basedOn w:val="933"/>
    <w:link w:val="786"/>
    <w:uiPriority w:val="99"/>
  </w:style>
  <w:style w:type="paragraph" w:styleId="788">
    <w:name w:val="Caption"/>
    <w:basedOn w:val="932"/>
    <w:next w:val="9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9">
    <w:name w:val="Caption Char"/>
    <w:basedOn w:val="788"/>
    <w:link w:val="786"/>
    <w:uiPriority w:val="99"/>
  </w:style>
  <w:style w:type="table" w:styleId="790">
    <w:name w:val="Table Grid Light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>
    <w:name w:val="Plain Table 1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2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>
    <w:name w:val="Grid Table 4 - Accent 1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9">
    <w:name w:val="Grid Table 4 - Accent 2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Grid Table 4 - Accent 3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1">
    <w:name w:val="Grid Table 4 - Accent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Grid Table 4 - Accent 5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3">
    <w:name w:val="Grid Table 4 - Accent 6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4">
    <w:name w:val="Grid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31">
    <w:name w:val="Grid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2">
    <w:name w:val="Grid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3">
    <w:name w:val="Grid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4">
    <w:name w:val="Grid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5">
    <w:name w:val="Grid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6">
    <w:name w:val="Grid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7">
    <w:name w:val="Grid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8">
    <w:name w:val="Grid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3">
    <w:name w:val="List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4">
    <w:name w:val="List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5">
    <w:name w:val="List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6">
    <w:name w:val="List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7">
    <w:name w:val="List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8">
    <w:name w:val="List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1">
    <w:name w:val="List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2">
    <w:name w:val="List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3">
    <w:name w:val="List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4">
    <w:name w:val="List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5">
    <w:name w:val="List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6">
    <w:name w:val="List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7">
    <w:name w:val="List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8">
    <w:name w:val="List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9">
    <w:name w:val="List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90">
    <w:name w:val="List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91">
    <w:name w:val="List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92">
    <w:name w:val="List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93">
    <w:name w:val="List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4">
    <w:name w:val="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6">
    <w:name w:val="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7">
    <w:name w:val="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8">
    <w:name w:val="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9">
    <w:name w:val="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0">
    <w:name w:val="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1">
    <w:name w:val="Bordered &amp; 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2">
    <w:name w:val="Bordered &amp; 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3">
    <w:name w:val="Bordered &amp; 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4">
    <w:name w:val="Bordered &amp; 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5">
    <w:name w:val="Bordered &amp; 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6">
    <w:name w:val="Bordered &amp; 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7">
    <w:name w:val="Bordered &amp; 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8">
    <w:name w:val="Bordered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9">
    <w:name w:val="Bordered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0">
    <w:name w:val="Bordered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1">
    <w:name w:val="Bordered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2">
    <w:name w:val="Bordered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3">
    <w:name w:val="Bordered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4">
    <w:name w:val="Bordered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15">
    <w:name w:val="footnote text"/>
    <w:basedOn w:val="932"/>
    <w:link w:val="916"/>
    <w:uiPriority w:val="99"/>
    <w:semiHidden/>
    <w:unhideWhenUsed/>
    <w:pPr>
      <w:spacing w:after="40" w:line="240" w:lineRule="auto"/>
    </w:pPr>
    <w:rPr>
      <w:sz w:val="18"/>
    </w:rPr>
  </w:style>
  <w:style w:type="character" w:styleId="916">
    <w:name w:val="Footnote Text Char"/>
    <w:link w:val="915"/>
    <w:uiPriority w:val="99"/>
    <w:rPr>
      <w:sz w:val="18"/>
    </w:rPr>
  </w:style>
  <w:style w:type="character" w:styleId="917">
    <w:name w:val="footnote reference"/>
    <w:basedOn w:val="933"/>
    <w:uiPriority w:val="99"/>
    <w:unhideWhenUsed/>
    <w:rPr>
      <w:vertAlign w:val="superscript"/>
    </w:rPr>
  </w:style>
  <w:style w:type="paragraph" w:styleId="918">
    <w:name w:val="endnote text"/>
    <w:basedOn w:val="932"/>
    <w:link w:val="919"/>
    <w:uiPriority w:val="99"/>
    <w:semiHidden/>
    <w:unhideWhenUsed/>
    <w:pPr>
      <w:spacing w:after="0" w:line="240" w:lineRule="auto"/>
    </w:pPr>
    <w:rPr>
      <w:sz w:val="20"/>
    </w:rPr>
  </w:style>
  <w:style w:type="character" w:styleId="919">
    <w:name w:val="Endnote Text Char"/>
    <w:link w:val="918"/>
    <w:uiPriority w:val="99"/>
    <w:rPr>
      <w:sz w:val="20"/>
    </w:rPr>
  </w:style>
  <w:style w:type="character" w:styleId="920">
    <w:name w:val="endnote reference"/>
    <w:basedOn w:val="933"/>
    <w:uiPriority w:val="99"/>
    <w:semiHidden/>
    <w:unhideWhenUsed/>
    <w:rPr>
      <w:vertAlign w:val="superscript"/>
    </w:rPr>
  </w:style>
  <w:style w:type="paragraph" w:styleId="921">
    <w:name w:val="toc 1"/>
    <w:basedOn w:val="932"/>
    <w:next w:val="932"/>
    <w:uiPriority w:val="39"/>
    <w:unhideWhenUsed/>
    <w:pPr>
      <w:ind w:left="0" w:right="0" w:firstLine="0"/>
      <w:spacing w:after="57"/>
    </w:pPr>
  </w:style>
  <w:style w:type="paragraph" w:styleId="922">
    <w:name w:val="toc 2"/>
    <w:basedOn w:val="932"/>
    <w:next w:val="932"/>
    <w:uiPriority w:val="39"/>
    <w:unhideWhenUsed/>
    <w:pPr>
      <w:ind w:left="283" w:right="0" w:firstLine="0"/>
      <w:spacing w:after="57"/>
    </w:pPr>
  </w:style>
  <w:style w:type="paragraph" w:styleId="923">
    <w:name w:val="toc 3"/>
    <w:basedOn w:val="932"/>
    <w:next w:val="932"/>
    <w:uiPriority w:val="39"/>
    <w:unhideWhenUsed/>
    <w:pPr>
      <w:ind w:left="567" w:right="0" w:firstLine="0"/>
      <w:spacing w:after="57"/>
    </w:pPr>
  </w:style>
  <w:style w:type="paragraph" w:styleId="924">
    <w:name w:val="toc 4"/>
    <w:basedOn w:val="932"/>
    <w:next w:val="932"/>
    <w:uiPriority w:val="39"/>
    <w:unhideWhenUsed/>
    <w:pPr>
      <w:ind w:left="850" w:right="0" w:firstLine="0"/>
      <w:spacing w:after="57"/>
    </w:pPr>
  </w:style>
  <w:style w:type="paragraph" w:styleId="925">
    <w:name w:val="toc 5"/>
    <w:basedOn w:val="932"/>
    <w:next w:val="932"/>
    <w:uiPriority w:val="39"/>
    <w:unhideWhenUsed/>
    <w:pPr>
      <w:ind w:left="1134" w:right="0" w:firstLine="0"/>
      <w:spacing w:after="57"/>
    </w:pPr>
  </w:style>
  <w:style w:type="paragraph" w:styleId="926">
    <w:name w:val="toc 6"/>
    <w:basedOn w:val="932"/>
    <w:next w:val="932"/>
    <w:uiPriority w:val="39"/>
    <w:unhideWhenUsed/>
    <w:pPr>
      <w:ind w:left="1417" w:right="0" w:firstLine="0"/>
      <w:spacing w:after="57"/>
    </w:pPr>
  </w:style>
  <w:style w:type="paragraph" w:styleId="927">
    <w:name w:val="toc 7"/>
    <w:basedOn w:val="932"/>
    <w:next w:val="932"/>
    <w:uiPriority w:val="39"/>
    <w:unhideWhenUsed/>
    <w:pPr>
      <w:ind w:left="1701" w:right="0" w:firstLine="0"/>
      <w:spacing w:after="57"/>
    </w:pPr>
  </w:style>
  <w:style w:type="paragraph" w:styleId="928">
    <w:name w:val="toc 8"/>
    <w:basedOn w:val="932"/>
    <w:next w:val="932"/>
    <w:uiPriority w:val="39"/>
    <w:unhideWhenUsed/>
    <w:pPr>
      <w:ind w:left="1984" w:right="0" w:firstLine="0"/>
      <w:spacing w:after="57"/>
    </w:pPr>
  </w:style>
  <w:style w:type="paragraph" w:styleId="929">
    <w:name w:val="toc 9"/>
    <w:basedOn w:val="932"/>
    <w:next w:val="932"/>
    <w:uiPriority w:val="39"/>
    <w:unhideWhenUsed/>
    <w:pPr>
      <w:ind w:left="2268" w:right="0" w:firstLine="0"/>
      <w:spacing w:after="57"/>
    </w:pPr>
  </w:style>
  <w:style w:type="paragraph" w:styleId="930">
    <w:name w:val="TOC Heading"/>
    <w:uiPriority w:val="39"/>
    <w:unhideWhenUsed/>
  </w:style>
  <w:style w:type="paragraph" w:styleId="931">
    <w:name w:val="table of figures"/>
    <w:basedOn w:val="932"/>
    <w:next w:val="932"/>
    <w:uiPriority w:val="99"/>
    <w:unhideWhenUsed/>
    <w:pPr>
      <w:spacing w:after="0" w:afterAutospacing="0"/>
    </w:pPr>
  </w:style>
  <w:style w:type="paragraph" w:styleId="932" w:default="1">
    <w:name w:val="Normal"/>
    <w:qFormat/>
  </w:style>
  <w:style w:type="character" w:styleId="933" w:default="1">
    <w:name w:val="Default Paragraph Font"/>
    <w:uiPriority w:val="1"/>
    <w:semiHidden/>
    <w:unhideWhenUsed/>
  </w:style>
  <w:style w:type="table" w:styleId="9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5" w:default="1">
    <w:name w:val="No List"/>
    <w:uiPriority w:val="99"/>
    <w:semiHidden/>
    <w:unhideWhenUsed/>
  </w:style>
  <w:style w:type="table" w:styleId="936" w:customStyle="1">
    <w:name w:val="Сетка таблицы1"/>
    <w:basedOn w:val="934"/>
    <w:next w:val="93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7">
    <w:name w:val="Table Grid"/>
    <w:basedOn w:val="93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8">
    <w:name w:val="Balloon Text"/>
    <w:basedOn w:val="932"/>
    <w:link w:val="9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39" w:customStyle="1">
    <w:name w:val="Текст выноски Знак"/>
    <w:basedOn w:val="933"/>
    <w:link w:val="938"/>
    <w:uiPriority w:val="99"/>
    <w:semiHidden/>
    <w:rPr>
      <w:rFonts w:ascii="Segoe UI" w:hAnsi="Segoe UI" w:cs="Segoe UI"/>
      <w:sz w:val="18"/>
      <w:szCs w:val="18"/>
    </w:rPr>
  </w:style>
  <w:style w:type="table" w:styleId="940" w:customStyle="1">
    <w:name w:val="Сетка таблицы2"/>
    <w:basedOn w:val="934"/>
    <w:next w:val="93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1" w:customStyle="1">
    <w:name w:val="Сетка таблицы3"/>
    <w:basedOn w:val="934"/>
    <w:next w:val="93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2">
    <w:name w:val="List Paragraph"/>
    <w:basedOn w:val="932"/>
    <w:uiPriority w:val="34"/>
    <w:qFormat/>
    <w:pPr>
      <w:contextualSpacing/>
      <w:ind w:left="720"/>
    </w:pPr>
  </w:style>
  <w:style w:type="character" w:styleId="943">
    <w:name w:val="Hyperlink"/>
    <w:basedOn w:val="933"/>
    <w:uiPriority w:val="99"/>
    <w:unhideWhenUsed/>
    <w:rPr>
      <w:color w:val="0563c1" w:themeColor="hyperlink"/>
      <w:u w:val="single"/>
    </w:rPr>
  </w:style>
  <w:style w:type="paragraph" w:styleId="944" w:customStyle="1">
    <w:name w:val="Содержимое таблицы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45" w:customStyle="1">
    <w:name w:val="ConsNormal"/>
    <w:link w:val="889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46" w:customStyle="1">
    <w:name w:val="ConsPlu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47" w:customStyle="1">
    <w:name w:val="Body Text Indent"/>
    <w:basedOn w:val="881"/>
    <w:link w:val="895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shov</dc:creator>
  <cp:keywords/>
  <dc:description/>
  <cp:revision>18</cp:revision>
  <dcterms:created xsi:type="dcterms:W3CDTF">2023-10-13T09:26:00Z</dcterms:created>
  <dcterms:modified xsi:type="dcterms:W3CDTF">2026-09-04T07:02:24Z</dcterms:modified>
</cp:coreProperties>
</file>