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9B077A" w:rsidP="00737F6D">
      <w:pPr>
        <w:keepNext/>
        <w:keepLines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СНМ ИХБФМ СО РАН</w:t>
      </w:r>
    </w:p>
    <w:p w:rsidR="007658BB" w:rsidRPr="00F64913" w:rsidRDefault="00664F2A" w:rsidP="00737F6D">
      <w:pPr>
        <w:keepNext/>
        <w:keepLine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9B077A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</w:p>
    <w:p w:rsidR="007658BB" w:rsidRPr="00942662" w:rsidRDefault="00664F2A" w:rsidP="00737F6D">
      <w:pPr>
        <w:keepNext/>
        <w:keepLines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9B077A">
        <w:rPr>
          <w:b/>
          <w:sz w:val="20"/>
          <w:szCs w:val="20"/>
        </w:rPr>
        <w:t xml:space="preserve">им. Д.Г. </w:t>
      </w:r>
      <w:proofErr w:type="spellStart"/>
      <w:r w:rsidR="009B077A">
        <w:rPr>
          <w:b/>
          <w:sz w:val="20"/>
          <w:szCs w:val="20"/>
        </w:rPr>
        <w:t>Кнорре</w:t>
      </w:r>
      <w:proofErr w:type="spellEnd"/>
      <w:r w:rsidR="009B077A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 w:rsidR="009B077A">
        <w:rPr>
          <w:sz w:val="20"/>
          <w:szCs w:val="20"/>
        </w:rPr>
        <w:t>1/26</w:t>
      </w:r>
      <w:r w:rsidR="00DE6166">
        <w:rPr>
          <w:sz w:val="20"/>
          <w:szCs w:val="20"/>
        </w:rPr>
        <w:t xml:space="preserve"> от </w:t>
      </w:r>
      <w:r w:rsidR="009B077A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9B077A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64296F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  <w:r w:rsidR="00737F6D">
        <w:rPr>
          <w:sz w:val="20"/>
          <w:szCs w:val="20"/>
        </w:rPr>
        <w:t xml:space="preserve"> </w:t>
      </w:r>
      <w:r w:rsidR="0005106F" w:rsidRPr="0005106F">
        <w:rPr>
          <w:b/>
          <w:sz w:val="20"/>
          <w:szCs w:val="20"/>
        </w:rPr>
        <w:t>изготовить и</w:t>
      </w:r>
      <w:r w:rsidR="0005106F">
        <w:rPr>
          <w:sz w:val="20"/>
          <w:szCs w:val="20"/>
        </w:rPr>
        <w:t xml:space="preserve"> </w:t>
      </w:r>
      <w:r w:rsidR="009B077A">
        <w:rPr>
          <w:rFonts w:eastAsia="Calibri"/>
          <w:b/>
          <w:sz w:val="20"/>
          <w:szCs w:val="20"/>
        </w:rPr>
        <w:t xml:space="preserve">поставить </w:t>
      </w:r>
      <w:r w:rsidR="00E863DD">
        <w:rPr>
          <w:rFonts w:eastAsia="Calibri"/>
          <w:b/>
          <w:sz w:val="20"/>
          <w:szCs w:val="20"/>
        </w:rPr>
        <w:t>сувенирную продукцию</w:t>
      </w:r>
      <w:r w:rsidR="009B077A">
        <w:rPr>
          <w:rFonts w:eastAsia="Calibri"/>
          <w:b/>
          <w:sz w:val="20"/>
          <w:szCs w:val="20"/>
        </w:rPr>
        <w:t xml:space="preserve"> с символикой СНМ ИХБФМ СО РАН</w:t>
      </w:r>
      <w:r w:rsidR="0064296F" w:rsidRPr="0064296F">
        <w:rPr>
          <w:rFonts w:eastAsia="Calibri"/>
          <w:b/>
          <w:sz w:val="20"/>
          <w:szCs w:val="20"/>
        </w:rPr>
        <w:t xml:space="preserve"> </w:t>
      </w:r>
      <w:r w:rsidR="0064296F" w:rsidRPr="0064296F">
        <w:rPr>
          <w:rFonts w:eastAsia="Calibri"/>
          <w:sz w:val="20"/>
          <w:szCs w:val="20"/>
        </w:rPr>
        <w:t>(далее – Товар) в соответствии с Контрактом, техни</w:t>
      </w:r>
      <w:r w:rsidR="009B077A">
        <w:rPr>
          <w:rFonts w:eastAsia="Calibri"/>
          <w:sz w:val="20"/>
          <w:szCs w:val="20"/>
        </w:rPr>
        <w:t xml:space="preserve">ческим заданием </w:t>
      </w:r>
      <w:r w:rsidR="0064296F" w:rsidRPr="0064296F">
        <w:rPr>
          <w:rFonts w:eastAsia="Calibri"/>
          <w:sz w:val="20"/>
          <w:szCs w:val="20"/>
        </w:rPr>
        <w:t>(приложение № 1 к Контракту) и спецификацией (приложение № 2 к Контракту)</w:t>
      </w:r>
      <w:r w:rsidR="00EA0C3C" w:rsidRPr="0064296F">
        <w:rPr>
          <w:sz w:val="20"/>
          <w:szCs w:val="20"/>
        </w:rPr>
        <w:t>.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64296F">
        <w:rPr>
          <w:sz w:val="20"/>
          <w:szCs w:val="20"/>
        </w:rPr>
        <w:t>1.2. Поставщик обя</w:t>
      </w:r>
      <w:r w:rsidR="00463452" w:rsidRPr="0064296F">
        <w:rPr>
          <w:sz w:val="20"/>
          <w:szCs w:val="20"/>
        </w:rPr>
        <w:t>зуется передать в собственность</w:t>
      </w:r>
      <w:r w:rsidRPr="0064296F">
        <w:rPr>
          <w:sz w:val="20"/>
          <w:szCs w:val="20"/>
        </w:rPr>
        <w:t xml:space="preserve"> в обусловленный настоящим </w:t>
      </w:r>
      <w:r w:rsidR="00CD3038" w:rsidRPr="0064296F">
        <w:rPr>
          <w:sz w:val="20"/>
          <w:szCs w:val="20"/>
        </w:rPr>
        <w:t>контракт</w:t>
      </w:r>
      <w:r w:rsidRPr="0064296F">
        <w:rPr>
          <w:sz w:val="20"/>
          <w:szCs w:val="20"/>
        </w:rPr>
        <w:t xml:space="preserve">ом срок товар, а </w:t>
      </w:r>
      <w:r w:rsidR="00EA0C3C" w:rsidRPr="0064296F">
        <w:rPr>
          <w:sz w:val="20"/>
          <w:szCs w:val="20"/>
        </w:rPr>
        <w:t>Заказчик</w:t>
      </w:r>
      <w:r w:rsidRPr="0064296F">
        <w:rPr>
          <w:sz w:val="20"/>
          <w:szCs w:val="20"/>
        </w:rPr>
        <w:t xml:space="preserve"> обязуется</w:t>
      </w:r>
      <w:r w:rsidRPr="00F64913">
        <w:rPr>
          <w:sz w:val="20"/>
          <w:szCs w:val="20"/>
        </w:rPr>
        <w:t xml:space="preserve">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37F6D">
      <w:pPr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9B077A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737F6D">
      <w:pPr>
        <w:keepNext/>
        <w:keepLines/>
        <w:jc w:val="both"/>
        <w:rPr>
          <w:b/>
          <w:sz w:val="20"/>
          <w:szCs w:val="20"/>
        </w:rPr>
      </w:pPr>
    </w:p>
    <w:p w:rsidR="007658BB" w:rsidRPr="00004C5C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DA0FAE">
        <w:rPr>
          <w:b/>
          <w:sz w:val="20"/>
          <w:szCs w:val="20"/>
        </w:rPr>
        <w:t>в срок до 01.0</w:t>
      </w:r>
      <w:r w:rsidR="006F24D8">
        <w:rPr>
          <w:b/>
          <w:sz w:val="20"/>
          <w:szCs w:val="20"/>
        </w:rPr>
        <w:t>8</w:t>
      </w:r>
      <w:r w:rsidR="00DA0FAE">
        <w:rPr>
          <w:b/>
          <w:sz w:val="20"/>
          <w:szCs w:val="20"/>
        </w:rPr>
        <w:t>.2026г</w:t>
      </w:r>
      <w:r w:rsidR="00C229C3" w:rsidRPr="000F3652">
        <w:rPr>
          <w:b/>
          <w:sz w:val="20"/>
          <w:szCs w:val="20"/>
        </w:rPr>
        <w:t>.</w:t>
      </w:r>
    </w:p>
    <w:p w:rsidR="007658BB" w:rsidRPr="00D72838" w:rsidRDefault="007658BB" w:rsidP="00737F6D">
      <w:pPr>
        <w:keepNext/>
        <w:keepLines/>
        <w:tabs>
          <w:tab w:val="left" w:pos="540"/>
        </w:tabs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37F6D">
      <w:pPr>
        <w:pStyle w:val="a6"/>
        <w:keepNext/>
        <w:keepLines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</w:t>
      </w:r>
      <w:r w:rsidR="006F4528">
        <w:rPr>
          <w:sz w:val="20"/>
          <w:szCs w:val="20"/>
        </w:rPr>
        <w:t>5</w:t>
      </w:r>
      <w:r w:rsidR="00FA5C2A" w:rsidRPr="00F64913">
        <w:rPr>
          <w:sz w:val="20"/>
          <w:szCs w:val="20"/>
        </w:rPr>
        <w:t xml:space="preserve"> (</w:t>
      </w:r>
      <w:r w:rsidR="006F4528">
        <w:rPr>
          <w:sz w:val="20"/>
          <w:szCs w:val="20"/>
        </w:rPr>
        <w:t>пяти</w:t>
      </w:r>
      <w:r w:rsidR="00FA5C2A" w:rsidRPr="00F64913">
        <w:rPr>
          <w:sz w:val="20"/>
          <w:szCs w:val="20"/>
        </w:rPr>
        <w:t xml:space="preserve">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37F6D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</w:rPr>
      </w:pPr>
      <w:r w:rsidRPr="00F64913">
        <w:rPr>
          <w:sz w:val="20"/>
          <w:szCs w:val="20"/>
        </w:rPr>
        <w:lastRenderedPageBreak/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37F6D">
      <w:pPr>
        <w:keepNext/>
        <w:keepLines/>
        <w:widowControl w:val="0"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37F6D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37F6D">
      <w:pPr>
        <w:pStyle w:val="HTML"/>
        <w:keepNext/>
        <w:keepLines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</w:p>
    <w:p w:rsidR="009D6E47" w:rsidRPr="00F64913" w:rsidRDefault="009D6E47" w:rsidP="00737F6D">
      <w:pPr>
        <w:keepNext/>
        <w:keepLines/>
        <w:tabs>
          <w:tab w:val="left" w:pos="540"/>
        </w:tabs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737F6D">
      <w:pPr>
        <w:pStyle w:val="222"/>
        <w:keepNext/>
        <w:keepLines/>
        <w:ind w:left="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737F6D">
      <w:pPr>
        <w:keepNext/>
        <w:keepLines/>
        <w:tabs>
          <w:tab w:val="left" w:pos="540"/>
        </w:tabs>
        <w:jc w:val="both"/>
        <w:rPr>
          <w:sz w:val="20"/>
          <w:szCs w:val="20"/>
        </w:rPr>
      </w:pPr>
    </w:p>
    <w:p w:rsidR="009D6E47" w:rsidRPr="00F64913" w:rsidRDefault="009D6E47" w:rsidP="00737F6D">
      <w:pPr>
        <w:keepNext/>
        <w:keepLines/>
        <w:tabs>
          <w:tab w:val="left" w:pos="540"/>
        </w:tabs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737F6D">
      <w:pPr>
        <w:keepNext/>
        <w:keepLines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737F6D">
      <w:pPr>
        <w:keepNext/>
        <w:keepLines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737F6D">
      <w:pPr>
        <w:keepNext/>
        <w:keepLines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37F6D">
      <w:pPr>
        <w:keepNext/>
        <w:keepLines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37F6D">
      <w:pPr>
        <w:pStyle w:val="ConsPlusNormal"/>
        <w:keepNext/>
        <w:keepLines/>
        <w:ind w:firstLine="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37F6D">
      <w:pPr>
        <w:pStyle w:val="ConsPlusNormal"/>
        <w:keepNext/>
        <w:keepLines/>
        <w:ind w:firstLine="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37F6D">
      <w:pPr>
        <w:keepNext/>
        <w:keepLines/>
        <w:tabs>
          <w:tab w:val="num" w:pos="1440"/>
        </w:tabs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37F6D">
      <w:pPr>
        <w:keepNext/>
        <w:keepLines/>
        <w:jc w:val="both"/>
        <w:rPr>
          <w:bCs/>
          <w:sz w:val="20"/>
          <w:szCs w:val="20"/>
        </w:rPr>
      </w:pPr>
    </w:p>
    <w:p w:rsidR="00AB0B2D" w:rsidRPr="00F64913" w:rsidRDefault="00AB0B2D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737F6D">
      <w:pPr>
        <w:pStyle w:val="31"/>
        <w:keepNext/>
        <w:keepLines/>
        <w:spacing w:after="0"/>
        <w:ind w:left="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737F6D" w:rsidRPr="00607FD9" w:rsidRDefault="00737F6D" w:rsidP="00737F6D">
      <w:pPr>
        <w:keepNext/>
        <w:keepLines/>
        <w:jc w:val="center"/>
        <w:rPr>
          <w:b/>
          <w:bCs/>
          <w:sz w:val="20"/>
          <w:szCs w:val="20"/>
        </w:rPr>
      </w:pPr>
    </w:p>
    <w:p w:rsidR="007658BB" w:rsidRPr="00F64913" w:rsidRDefault="00AF5B21" w:rsidP="00737F6D">
      <w:pPr>
        <w:keepNext/>
        <w:keepLines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37F6D">
      <w:pPr>
        <w:keepNext/>
        <w:keepLines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lastRenderedPageBreak/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DA0FAE">
        <w:rPr>
          <w:b/>
          <w:sz w:val="20"/>
          <w:szCs w:val="20"/>
        </w:rPr>
        <w:t>2026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37F6D">
      <w:pPr>
        <w:keepNext/>
        <w:keepLines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37F6D">
      <w:pPr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37F6D">
      <w:pPr>
        <w:keepNext/>
        <w:keepLines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Default="00751F05" w:rsidP="00737F6D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37F6D" w:rsidRPr="00737F6D" w:rsidRDefault="00737F6D" w:rsidP="00737F6D">
      <w:r w:rsidRPr="00737F6D">
        <w:rPr>
          <w:sz w:val="20"/>
          <w:szCs w:val="20"/>
        </w:rPr>
        <w:t>Приложение № 1</w:t>
      </w:r>
      <w:r w:rsidRPr="00737F6D">
        <w:t xml:space="preserve"> - </w:t>
      </w:r>
      <w:r w:rsidRPr="00737F6D">
        <w:rPr>
          <w:bCs/>
          <w:sz w:val="20"/>
          <w:szCs w:val="20"/>
        </w:rPr>
        <w:t>Техническое задание;</w:t>
      </w:r>
    </w:p>
    <w:p w:rsidR="00751F05" w:rsidRDefault="00751F05" w:rsidP="00737F6D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 xml:space="preserve">Приложение № </w:t>
      </w:r>
      <w:r w:rsidR="00737F6D">
        <w:rPr>
          <w:sz w:val="20"/>
          <w:szCs w:val="20"/>
        </w:rPr>
        <w:t>2</w:t>
      </w:r>
      <w:r w:rsidRPr="00193A78">
        <w:rPr>
          <w:sz w:val="20"/>
          <w:szCs w:val="20"/>
        </w:rPr>
        <w:t xml:space="preserve">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37F6D">
      <w:pPr>
        <w:keepNext/>
        <w:keepLines/>
        <w:jc w:val="both"/>
        <w:rPr>
          <w:sz w:val="20"/>
          <w:szCs w:val="20"/>
        </w:rPr>
      </w:pP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37F6D">
      <w:pPr>
        <w:keepNext/>
        <w:keepLines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737F6D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DA0FAE">
              <w:rPr>
                <w:sz w:val="20"/>
                <w:szCs w:val="20"/>
              </w:rPr>
              <w:t xml:space="preserve">ОКЦ №1 </w:t>
            </w:r>
            <w:proofErr w:type="spellStart"/>
            <w:r w:rsidR="009808DE" w:rsidRPr="00F64913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737F6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737F6D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737F6D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737F6D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</w:p>
          <w:p w:rsidR="008E5DC8" w:rsidRDefault="00FE7D14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737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737F6D">
            <w:pPr>
              <w:rPr>
                <w:sz w:val="20"/>
                <w:szCs w:val="20"/>
              </w:rPr>
            </w:pPr>
          </w:p>
        </w:tc>
      </w:tr>
      <w:tr w:rsidR="007658BB" w:rsidRPr="00F64913" w:rsidTr="00BA4AD4">
        <w:tc>
          <w:tcPr>
            <w:tcW w:w="9385" w:type="dxa"/>
            <w:gridSpan w:val="2"/>
            <w:shd w:val="clear" w:color="auto" w:fill="auto"/>
          </w:tcPr>
          <w:p w:rsidR="007658BB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Default="00FE7D14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737F6D">
            <w:pPr>
              <w:pStyle w:val="3"/>
              <w:keepLines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737F6D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A4AD4" w:rsidRPr="00E064AC" w:rsidTr="00454A84">
        <w:tc>
          <w:tcPr>
            <w:tcW w:w="4928" w:type="dxa"/>
            <w:shd w:val="clear" w:color="auto" w:fill="auto"/>
          </w:tcPr>
          <w:p w:rsidR="00BA4AD4" w:rsidRPr="00BA4AD4" w:rsidRDefault="00BA4AD4" w:rsidP="00BA4AD4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:rsidR="00BA4AD4" w:rsidRPr="00BA4AD4" w:rsidRDefault="00BA4AD4" w:rsidP="00BA4AD4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64296F" w:rsidRDefault="0064296F"/>
    <w:p w:rsidR="0064296F" w:rsidRDefault="0064296F"/>
    <w:p w:rsidR="0064296F" w:rsidRDefault="0064296F"/>
    <w:p w:rsidR="0064296F" w:rsidRDefault="0064296F"/>
    <w:p w:rsidR="00737F6D" w:rsidRDefault="00737F6D" w:rsidP="0064296F">
      <w:pPr>
        <w:ind w:firstLine="709"/>
        <w:jc w:val="right"/>
        <w:rPr>
          <w:rFonts w:eastAsia="Calibri"/>
          <w:sz w:val="20"/>
          <w:szCs w:val="20"/>
        </w:rPr>
      </w:pPr>
    </w:p>
    <w:p w:rsidR="00737F6D" w:rsidRDefault="00737F6D" w:rsidP="0064296F">
      <w:pPr>
        <w:ind w:firstLine="709"/>
        <w:jc w:val="right"/>
        <w:rPr>
          <w:rFonts w:eastAsia="Calibri"/>
          <w:sz w:val="20"/>
          <w:szCs w:val="20"/>
        </w:rPr>
      </w:pPr>
    </w:p>
    <w:p w:rsidR="00737F6D" w:rsidRDefault="00737F6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64296F" w:rsidRPr="004E280F" w:rsidRDefault="0064296F" w:rsidP="0064296F">
      <w:pPr>
        <w:ind w:firstLine="709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 xml:space="preserve">Приложение № 1 </w:t>
      </w:r>
    </w:p>
    <w:p w:rsidR="0064296F" w:rsidRPr="004E280F" w:rsidRDefault="0064296F" w:rsidP="0064296F">
      <w:pPr>
        <w:widowControl w:val="0"/>
        <w:ind w:left="1" w:firstLine="708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>к Контракту № _____</w:t>
      </w:r>
    </w:p>
    <w:p w:rsidR="0064296F" w:rsidRPr="004E280F" w:rsidRDefault="00C736D1" w:rsidP="0064296F">
      <w:pPr>
        <w:widowControl w:val="0"/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t>от «___» __________ 2026</w:t>
      </w:r>
      <w:r w:rsidR="0064296F" w:rsidRPr="004E280F">
        <w:rPr>
          <w:rFonts w:eastAsia="Calibri"/>
          <w:sz w:val="20"/>
          <w:szCs w:val="20"/>
        </w:rPr>
        <w:t xml:space="preserve"> г.</w:t>
      </w:r>
    </w:p>
    <w:p w:rsidR="0064296F" w:rsidRPr="004E280F" w:rsidRDefault="0064296F">
      <w:pPr>
        <w:rPr>
          <w:sz w:val="20"/>
          <w:szCs w:val="20"/>
        </w:rPr>
      </w:pPr>
    </w:p>
    <w:p w:rsidR="0064296F" w:rsidRPr="004E280F" w:rsidRDefault="0064296F" w:rsidP="0064296F">
      <w:pPr>
        <w:rPr>
          <w:rFonts w:eastAsia="Calibri"/>
          <w:sz w:val="20"/>
          <w:szCs w:val="20"/>
        </w:rPr>
      </w:pPr>
    </w:p>
    <w:p w:rsidR="0064296F" w:rsidRPr="004E280F" w:rsidRDefault="0064296F" w:rsidP="0064296F">
      <w:pPr>
        <w:jc w:val="center"/>
        <w:rPr>
          <w:b/>
          <w:bCs/>
          <w:sz w:val="20"/>
          <w:szCs w:val="20"/>
        </w:rPr>
      </w:pPr>
      <w:r w:rsidRPr="004E280F">
        <w:rPr>
          <w:b/>
          <w:bCs/>
          <w:sz w:val="20"/>
          <w:szCs w:val="20"/>
        </w:rPr>
        <w:t xml:space="preserve">Техническое задание </w:t>
      </w:r>
    </w:p>
    <w:p w:rsidR="00737F6D" w:rsidRPr="0005106F" w:rsidRDefault="0005106F" w:rsidP="0005106F">
      <w:pPr>
        <w:pStyle w:val="ad"/>
        <w:tabs>
          <w:tab w:val="left" w:pos="1815"/>
        </w:tabs>
        <w:ind w:left="1210"/>
        <w:rPr>
          <w:sz w:val="20"/>
          <w:szCs w:val="20"/>
        </w:rPr>
      </w:pPr>
      <w:r>
        <w:rPr>
          <w:b/>
          <w:sz w:val="20"/>
          <w:szCs w:val="20"/>
        </w:rPr>
        <w:t>И</w:t>
      </w:r>
      <w:r w:rsidRPr="0005106F">
        <w:rPr>
          <w:b/>
          <w:sz w:val="20"/>
          <w:szCs w:val="20"/>
        </w:rPr>
        <w:t>зготов</w:t>
      </w:r>
      <w:r>
        <w:rPr>
          <w:b/>
          <w:sz w:val="20"/>
          <w:szCs w:val="20"/>
        </w:rPr>
        <w:t>ление</w:t>
      </w:r>
      <w:r w:rsidRPr="0005106F">
        <w:rPr>
          <w:b/>
          <w:sz w:val="20"/>
          <w:szCs w:val="20"/>
        </w:rPr>
        <w:t xml:space="preserve"> и</w:t>
      </w:r>
      <w:r w:rsidRPr="0005106F">
        <w:rPr>
          <w:sz w:val="20"/>
          <w:szCs w:val="20"/>
        </w:rPr>
        <w:t xml:space="preserve"> </w:t>
      </w:r>
      <w:r w:rsidRPr="0005106F">
        <w:rPr>
          <w:rFonts w:eastAsia="Calibri"/>
          <w:b/>
          <w:sz w:val="20"/>
          <w:szCs w:val="20"/>
        </w:rPr>
        <w:t>постав</w:t>
      </w:r>
      <w:r>
        <w:rPr>
          <w:rFonts w:eastAsia="Calibri"/>
          <w:b/>
          <w:sz w:val="20"/>
          <w:szCs w:val="20"/>
        </w:rPr>
        <w:t>ка</w:t>
      </w:r>
      <w:r w:rsidRPr="0005106F">
        <w:rPr>
          <w:rFonts w:eastAsia="Calibri"/>
          <w:b/>
          <w:sz w:val="20"/>
          <w:szCs w:val="20"/>
        </w:rPr>
        <w:t xml:space="preserve"> сувенирн</w:t>
      </w:r>
      <w:r>
        <w:rPr>
          <w:rFonts w:eastAsia="Calibri"/>
          <w:b/>
          <w:sz w:val="20"/>
          <w:szCs w:val="20"/>
        </w:rPr>
        <w:t>ой</w:t>
      </w:r>
      <w:r w:rsidRPr="0005106F">
        <w:rPr>
          <w:rFonts w:eastAsia="Calibri"/>
          <w:b/>
          <w:sz w:val="20"/>
          <w:szCs w:val="20"/>
        </w:rPr>
        <w:t xml:space="preserve"> продукци</w:t>
      </w:r>
      <w:r>
        <w:rPr>
          <w:rFonts w:eastAsia="Calibri"/>
          <w:b/>
          <w:sz w:val="20"/>
          <w:szCs w:val="20"/>
        </w:rPr>
        <w:t>и</w:t>
      </w:r>
      <w:r w:rsidRPr="0005106F">
        <w:rPr>
          <w:rFonts w:eastAsia="Calibri"/>
          <w:b/>
          <w:sz w:val="20"/>
          <w:szCs w:val="20"/>
        </w:rPr>
        <w:t xml:space="preserve"> с символикой СНМ ИХБФМ СО РАН</w:t>
      </w:r>
    </w:p>
    <w:p w:rsidR="00E863DD" w:rsidRDefault="00E863DD" w:rsidP="0005106F">
      <w:pPr>
        <w:pStyle w:val="ConsPlusNormal"/>
        <w:ind w:left="1210" w:firstLine="0"/>
        <w:jc w:val="both"/>
        <w:rPr>
          <w:rFonts w:ascii="Times New Roman" w:hAnsi="Times New Roman" w:cs="Times New Roman"/>
          <w:color w:val="000000"/>
        </w:rPr>
      </w:pPr>
    </w:p>
    <w:p w:rsidR="00EF5204" w:rsidRDefault="00EF5204" w:rsidP="0005106F">
      <w:pPr>
        <w:pStyle w:val="ConsPlusNormal"/>
        <w:ind w:left="1210" w:firstLine="0"/>
        <w:jc w:val="both"/>
        <w:rPr>
          <w:rFonts w:ascii="Times New Roman" w:hAnsi="Times New Roman" w:cs="Times New Roman"/>
          <w:color w:val="000000"/>
        </w:rPr>
      </w:pPr>
    </w:p>
    <w:p w:rsidR="00EF5204" w:rsidRPr="00EF5204" w:rsidRDefault="00EF5204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F5204">
        <w:rPr>
          <w:rFonts w:ascii="Times New Roman" w:hAnsi="Times New Roman" w:cs="Times New Roman"/>
          <w:color w:val="000000"/>
        </w:rPr>
        <w:t>Предметом контракта является</w:t>
      </w:r>
      <w:r w:rsidRPr="00EF5204">
        <w:rPr>
          <w:rFonts w:ascii="Times New Roman" w:hAnsi="Times New Roman" w:cs="Times New Roman"/>
        </w:rPr>
        <w:t xml:space="preserve"> изготовление и </w:t>
      </w:r>
      <w:r w:rsidRPr="00EF5204">
        <w:rPr>
          <w:rFonts w:ascii="Times New Roman" w:eastAsia="Calibri" w:hAnsi="Times New Roman" w:cs="Times New Roman"/>
        </w:rPr>
        <w:t>поставка сувенирной продукции с символикой СНМ ИХБФМ СО РАН</w:t>
      </w:r>
      <w:r>
        <w:rPr>
          <w:rFonts w:ascii="Times New Roman" w:eastAsia="Calibri" w:hAnsi="Times New Roman" w:cs="Times New Roman"/>
        </w:rPr>
        <w:t>.</w:t>
      </w:r>
    </w:p>
    <w:p w:rsidR="00EF5204" w:rsidRPr="0054354C" w:rsidRDefault="00EF5204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Срок поставки товара:</w:t>
      </w:r>
      <w:r w:rsidR="002331D2">
        <w:rPr>
          <w:rFonts w:ascii="Times New Roman" w:eastAsia="Calibri" w:hAnsi="Times New Roman" w:cs="Times New Roman"/>
        </w:rPr>
        <w:t xml:space="preserve"> до 01.0</w:t>
      </w:r>
      <w:r w:rsidR="006F24D8"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="002331D2">
        <w:rPr>
          <w:rFonts w:ascii="Times New Roman" w:eastAsia="Calibri" w:hAnsi="Times New Roman" w:cs="Times New Roman"/>
        </w:rPr>
        <w:t>.2026г.</w:t>
      </w:r>
    </w:p>
    <w:p w:rsidR="0054354C" w:rsidRPr="00EF5204" w:rsidRDefault="0054354C" w:rsidP="0054354C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 xml:space="preserve">Место поставки: </w:t>
      </w:r>
      <w:r w:rsidRPr="0054354C">
        <w:rPr>
          <w:rFonts w:ascii="Times New Roman" w:eastAsia="Calibri" w:hAnsi="Times New Roman" w:cs="Times New Roman"/>
        </w:rPr>
        <w:t>г. Новосибирск, пр. Академика Лаврентьева, 8, центральный склад, каб.040.</w:t>
      </w:r>
    </w:p>
    <w:p w:rsidR="0005106F" w:rsidRPr="0054354C" w:rsidRDefault="0005106F" w:rsidP="0005106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4354C">
        <w:rPr>
          <w:rFonts w:ascii="Times New Roman" w:hAnsi="Times New Roman" w:cs="Times New Roman"/>
          <w:color w:val="000000"/>
        </w:rPr>
        <w:t>Порядок выполнения работ</w:t>
      </w:r>
    </w:p>
    <w:p w:rsidR="008D33F8" w:rsidRDefault="001D17D9" w:rsidP="008D33F8">
      <w:pPr>
        <w:pStyle w:val="ConsPlusNormal"/>
        <w:ind w:firstLine="8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передачи данных,</w:t>
      </w:r>
      <w:r w:rsidR="008D33F8">
        <w:rPr>
          <w:rFonts w:ascii="Times New Roman" w:hAnsi="Times New Roman" w:cs="Times New Roman"/>
          <w:color w:val="000000"/>
        </w:rPr>
        <w:t xml:space="preserve"> номер телефона и предоставить данные сведения Заказчику.</w:t>
      </w:r>
    </w:p>
    <w:p w:rsidR="007E0D23" w:rsidRPr="008D33F8" w:rsidRDefault="004E280F" w:rsidP="008D33F8">
      <w:pPr>
        <w:pStyle w:val="ConsPlusNormal"/>
        <w:ind w:firstLine="850"/>
        <w:jc w:val="both"/>
        <w:rPr>
          <w:rFonts w:ascii="Times New Roman" w:hAnsi="Times New Roman" w:cs="Times New Roman"/>
          <w:color w:val="000000"/>
        </w:rPr>
      </w:pPr>
      <w:r w:rsidRPr="004E280F">
        <w:rPr>
          <w:rFonts w:ascii="Times New Roman" w:hAnsi="Times New Roman" w:cs="Times New Roman"/>
          <w:color w:val="000000"/>
        </w:rPr>
        <w:t>Поставщик</w:t>
      </w:r>
      <w:r w:rsidR="007E0D23" w:rsidRPr="004E280F">
        <w:rPr>
          <w:rFonts w:ascii="Times New Roman" w:hAnsi="Times New Roman" w:cs="Times New Roman"/>
          <w:color w:val="000000"/>
        </w:rPr>
        <w:t xml:space="preserve"> обязан в течение </w:t>
      </w:r>
      <w:r w:rsidR="0005106F">
        <w:rPr>
          <w:rFonts w:ascii="Times New Roman" w:hAnsi="Times New Roman" w:cs="Times New Roman"/>
          <w:color w:val="000000"/>
        </w:rPr>
        <w:t>5</w:t>
      </w:r>
      <w:r w:rsidR="007E0D23" w:rsidRPr="004E280F">
        <w:rPr>
          <w:rFonts w:ascii="Times New Roman" w:hAnsi="Times New Roman" w:cs="Times New Roman"/>
          <w:color w:val="000000"/>
        </w:rPr>
        <w:t xml:space="preserve"> </w:t>
      </w:r>
      <w:r w:rsidR="004326DC">
        <w:rPr>
          <w:rFonts w:ascii="Times New Roman" w:hAnsi="Times New Roman" w:cs="Times New Roman"/>
          <w:color w:val="000000"/>
        </w:rPr>
        <w:t>(</w:t>
      </w:r>
      <w:r w:rsidR="0005106F">
        <w:rPr>
          <w:rFonts w:ascii="Times New Roman" w:hAnsi="Times New Roman" w:cs="Times New Roman"/>
          <w:color w:val="000000"/>
        </w:rPr>
        <w:t>пяти</w:t>
      </w:r>
      <w:r w:rsidR="004326DC">
        <w:rPr>
          <w:rFonts w:ascii="Times New Roman" w:hAnsi="Times New Roman" w:cs="Times New Roman"/>
          <w:color w:val="000000"/>
        </w:rPr>
        <w:t xml:space="preserve">) </w:t>
      </w:r>
      <w:r w:rsidR="008D33F8">
        <w:rPr>
          <w:rFonts w:ascii="Times New Roman" w:hAnsi="Times New Roman" w:cs="Times New Roman"/>
          <w:color w:val="000000"/>
        </w:rPr>
        <w:t xml:space="preserve">рабочих дней с даты </w:t>
      </w:r>
      <w:r w:rsidR="007E0D23" w:rsidRPr="004E280F">
        <w:rPr>
          <w:rFonts w:ascii="Times New Roman" w:hAnsi="Times New Roman" w:cs="Times New Roman"/>
          <w:color w:val="000000"/>
        </w:rPr>
        <w:t>подписания контракта разработать и направи</w:t>
      </w:r>
      <w:r w:rsidRPr="004E280F">
        <w:rPr>
          <w:rFonts w:ascii="Times New Roman" w:hAnsi="Times New Roman" w:cs="Times New Roman"/>
          <w:color w:val="000000"/>
        </w:rPr>
        <w:t>ть</w:t>
      </w:r>
      <w:r w:rsidR="00FB53F9">
        <w:rPr>
          <w:rFonts w:ascii="Times New Roman" w:hAnsi="Times New Roman" w:cs="Times New Roman"/>
          <w:color w:val="000000"/>
        </w:rPr>
        <w:t xml:space="preserve"> на согласование</w:t>
      </w:r>
      <w:r w:rsidRPr="004E280F">
        <w:rPr>
          <w:rFonts w:ascii="Times New Roman" w:hAnsi="Times New Roman" w:cs="Times New Roman"/>
          <w:color w:val="000000"/>
        </w:rPr>
        <w:t xml:space="preserve"> </w:t>
      </w:r>
      <w:r w:rsidR="00C1280F">
        <w:rPr>
          <w:rFonts w:ascii="Times New Roman" w:hAnsi="Times New Roman" w:cs="Times New Roman"/>
          <w:color w:val="000000"/>
        </w:rPr>
        <w:t xml:space="preserve">на электронную почту </w:t>
      </w:r>
      <w:r w:rsidRPr="004E280F">
        <w:rPr>
          <w:rFonts w:ascii="Times New Roman" w:hAnsi="Times New Roman" w:cs="Times New Roman"/>
          <w:color w:val="000000"/>
        </w:rPr>
        <w:t>Заказчику в электронном виде</w:t>
      </w:r>
      <w:r w:rsidR="007E0D23" w:rsidRPr="004E280F">
        <w:rPr>
          <w:rFonts w:ascii="Times New Roman" w:hAnsi="Times New Roman" w:cs="Times New Roman"/>
          <w:color w:val="000000"/>
        </w:rPr>
        <w:t xml:space="preserve"> в формате</w:t>
      </w:r>
      <w:r w:rsidR="004326DC">
        <w:rPr>
          <w:rFonts w:ascii="Times New Roman" w:hAnsi="Times New Roman" w:cs="Times New Roman"/>
          <w:color w:val="000000"/>
        </w:rPr>
        <w:t>,</w:t>
      </w:r>
      <w:r w:rsidR="007E0D23" w:rsidRPr="004E280F">
        <w:rPr>
          <w:rFonts w:ascii="Times New Roman" w:hAnsi="Times New Roman" w:cs="Times New Roman"/>
          <w:color w:val="000000"/>
        </w:rPr>
        <w:t xml:space="preserve"> входящем в стандартный пакет офисного программного обеспечения, </w:t>
      </w:r>
      <w:r w:rsidRPr="004E280F">
        <w:rPr>
          <w:rFonts w:ascii="Times New Roman" w:hAnsi="Times New Roman" w:cs="Times New Roman"/>
          <w:color w:val="000000"/>
        </w:rPr>
        <w:t>д</w:t>
      </w:r>
      <w:r w:rsidR="007E0D23" w:rsidRPr="004E280F">
        <w:rPr>
          <w:rFonts w:ascii="Times New Roman" w:hAnsi="Times New Roman" w:cs="Times New Roman"/>
          <w:color w:val="000000"/>
        </w:rPr>
        <w:t>изайн-макеты</w:t>
      </w:r>
      <w:r w:rsidR="007E0D23" w:rsidRPr="004E280F">
        <w:rPr>
          <w:rFonts w:ascii="Times New Roman" w:hAnsi="Times New Roman" w:cs="Times New Roman"/>
          <w:color w:val="FF0000"/>
        </w:rPr>
        <w:t xml:space="preserve"> </w:t>
      </w:r>
      <w:r w:rsidR="007E0D23" w:rsidRPr="004E280F">
        <w:rPr>
          <w:rFonts w:ascii="Times New Roman" w:hAnsi="Times New Roman" w:cs="Times New Roman"/>
        </w:rPr>
        <w:t>стилистического оформления</w:t>
      </w:r>
      <w:r w:rsidRPr="004E280F">
        <w:rPr>
          <w:rFonts w:ascii="Times New Roman" w:hAnsi="Times New Roman" w:cs="Times New Roman"/>
        </w:rPr>
        <w:t xml:space="preserve"> - логотипа</w:t>
      </w:r>
      <w:r w:rsidR="007E0D23" w:rsidRPr="004E280F">
        <w:rPr>
          <w:rFonts w:ascii="Times New Roman" w:hAnsi="Times New Roman" w:cs="Times New Roman"/>
        </w:rPr>
        <w:t>, наносим</w:t>
      </w:r>
      <w:r w:rsidRPr="004E280F">
        <w:rPr>
          <w:rFonts w:ascii="Times New Roman" w:hAnsi="Times New Roman" w:cs="Times New Roman"/>
        </w:rPr>
        <w:t>ого</w:t>
      </w:r>
      <w:r w:rsidR="007E0D23" w:rsidRPr="004E280F">
        <w:rPr>
          <w:rFonts w:ascii="Times New Roman" w:hAnsi="Times New Roman" w:cs="Times New Roman"/>
        </w:rPr>
        <w:t xml:space="preserve"> на товары, указанные в </w:t>
      </w:r>
      <w:r w:rsidR="0054354C">
        <w:rPr>
          <w:rFonts w:ascii="Times New Roman" w:hAnsi="Times New Roman" w:cs="Times New Roman"/>
        </w:rPr>
        <w:t>разделе 5</w:t>
      </w:r>
      <w:r w:rsidR="007E0D23" w:rsidRPr="004E280F">
        <w:rPr>
          <w:rFonts w:ascii="Times New Roman" w:hAnsi="Times New Roman" w:cs="Times New Roman"/>
        </w:rPr>
        <w:t xml:space="preserve"> Технического задания</w:t>
      </w:r>
      <w:r w:rsidR="003B1B6D">
        <w:rPr>
          <w:rFonts w:ascii="Times New Roman" w:hAnsi="Times New Roman" w:cs="Times New Roman"/>
        </w:rPr>
        <w:t xml:space="preserve"> (Приложение №1 к Контракту)</w:t>
      </w:r>
      <w:r w:rsidR="007E0D23" w:rsidRPr="004E280F">
        <w:rPr>
          <w:rFonts w:ascii="Times New Roman" w:hAnsi="Times New Roman" w:cs="Times New Roman"/>
        </w:rPr>
        <w:t>. При разработке и нанесении на товары ст</w:t>
      </w:r>
      <w:r w:rsidRPr="004E280F">
        <w:rPr>
          <w:rFonts w:ascii="Times New Roman" w:hAnsi="Times New Roman" w:cs="Times New Roman"/>
        </w:rPr>
        <w:t xml:space="preserve">илистического оформления </w:t>
      </w:r>
      <w:r w:rsidR="007E0D23" w:rsidRPr="004E280F">
        <w:rPr>
          <w:rFonts w:ascii="Times New Roman" w:hAnsi="Times New Roman" w:cs="Times New Roman"/>
        </w:rPr>
        <w:t>долж</w:t>
      </w:r>
      <w:r w:rsidRPr="004E280F">
        <w:rPr>
          <w:rFonts w:ascii="Times New Roman" w:hAnsi="Times New Roman" w:cs="Times New Roman"/>
        </w:rPr>
        <w:t>ен</w:t>
      </w:r>
      <w:r w:rsidR="007E0D23" w:rsidRPr="004E280F">
        <w:rPr>
          <w:rFonts w:ascii="Times New Roman" w:hAnsi="Times New Roman" w:cs="Times New Roman"/>
        </w:rPr>
        <w:t xml:space="preserve"> </w:t>
      </w:r>
      <w:r w:rsidRPr="004E280F">
        <w:rPr>
          <w:rFonts w:ascii="Times New Roman" w:hAnsi="Times New Roman" w:cs="Times New Roman"/>
        </w:rPr>
        <w:t>использоваться</w:t>
      </w:r>
      <w:r w:rsidR="007E0D23" w:rsidRPr="004E280F">
        <w:rPr>
          <w:rFonts w:ascii="Times New Roman" w:hAnsi="Times New Roman" w:cs="Times New Roman"/>
        </w:rPr>
        <w:t xml:space="preserve"> логотип </w:t>
      </w:r>
      <w:r w:rsidRPr="004E280F">
        <w:rPr>
          <w:rFonts w:ascii="Times New Roman" w:hAnsi="Times New Roman" w:cs="Times New Roman"/>
        </w:rPr>
        <w:t>СНМ ИХБФМ СО РАН:</w:t>
      </w:r>
    </w:p>
    <w:p w:rsidR="004E280F" w:rsidRPr="004E280F" w:rsidRDefault="004E280F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noProof/>
        </w:rPr>
        <w:drawing>
          <wp:inline distT="0" distB="0" distL="0" distR="0" wp14:anchorId="33F321FA" wp14:editId="63F9ED54">
            <wp:extent cx="36671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D9" w:rsidRDefault="001D17D9" w:rsidP="008D33F8">
      <w:pPr>
        <w:pStyle w:val="ConsPlusNormal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 течение 3</w:t>
      </w:r>
      <w:r w:rsidR="008D3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(трех) рабочих дней утверждает разработанный Поставщиком дизайн-макет либо направляет Поставщику замечания. Поставщик не позднее 2</w:t>
      </w:r>
      <w:r w:rsidR="008D3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</w:t>
      </w:r>
      <w:r w:rsidR="008D33F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ух) рабочих дней с даты получения от Заказчика замечаний обязан устранить их и передать дизайн-макет на повторное утверждение Заказчика.</w:t>
      </w:r>
    </w:p>
    <w:p w:rsidR="003B1B6D" w:rsidRDefault="003B1B6D" w:rsidP="008D33F8">
      <w:pPr>
        <w:pStyle w:val="ConsPlusNormal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утверждения дизайн-макета Заказчиком изготовление сувенирной продукции производится Поставщиком единовременно в количестве и ассортименте, указанном в Спецификации (Приложение №2 к Контракту) с учетом требований к товарам, указанным в разделе 5 Технического задания (Приложение № 1 к Контракту).</w:t>
      </w:r>
    </w:p>
    <w:p w:rsidR="004E280F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Нанесенные изображения не должны иметь дефектов </w:t>
      </w:r>
      <w:r w:rsidRPr="004E280F">
        <w:rPr>
          <w:rFonts w:ascii="Times New Roman" w:hAnsi="Times New Roman" w:cs="Times New Roman"/>
        </w:rPr>
        <w:br/>
        <w:t xml:space="preserve">и повреждений, следов клея, отклеивания, царапин, вмятин, сколов и разрывов. 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Не допускается наличие: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</w:r>
      <w:proofErr w:type="spellStart"/>
      <w:r w:rsidRPr="004E280F">
        <w:rPr>
          <w:rFonts w:ascii="Times New Roman" w:hAnsi="Times New Roman" w:cs="Times New Roman"/>
        </w:rPr>
        <w:t>непропечатки</w:t>
      </w:r>
      <w:proofErr w:type="spellEnd"/>
      <w:r w:rsidRPr="004E280F">
        <w:rPr>
          <w:rFonts w:ascii="Times New Roman" w:hAnsi="Times New Roman" w:cs="Times New Roman"/>
        </w:rPr>
        <w:t>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следов смазывания краски;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разрывов, морщин, складок, загнутых углов и кромок;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пятен и других загрязнений;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>-</w:t>
      </w:r>
      <w:r w:rsidRPr="004E280F">
        <w:rPr>
          <w:rFonts w:ascii="Times New Roman" w:hAnsi="Times New Roman" w:cs="Times New Roman"/>
        </w:rPr>
        <w:tab/>
        <w:t>нечеткой, сдвоенной печати.</w:t>
      </w:r>
    </w:p>
    <w:p w:rsidR="007E0D23" w:rsidRPr="004E280F" w:rsidRDefault="004E280F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color w:val="000000"/>
        </w:rPr>
        <w:t>И</w:t>
      </w:r>
      <w:r w:rsidR="007E0D23" w:rsidRPr="004E280F">
        <w:rPr>
          <w:rFonts w:ascii="Times New Roman" w:hAnsi="Times New Roman" w:cs="Times New Roman"/>
          <w:color w:val="000000"/>
        </w:rPr>
        <w:t xml:space="preserve">зображения должны быть яркими и четкими. Техника нанесения изображения и надписей должна подбираться с учетом обеспечения устойчивости </w:t>
      </w:r>
      <w:r w:rsidR="007E0D23" w:rsidRPr="004E280F">
        <w:rPr>
          <w:rFonts w:ascii="Times New Roman" w:hAnsi="Times New Roman" w:cs="Times New Roman"/>
        </w:rPr>
        <w:t>к механическим воздействиям (при обычных условиях использования), быть соответствующими и подходящими к разным типам товаров и материалам, из которых они изготовлены.</w:t>
      </w:r>
      <w:r w:rsidR="007E0D23" w:rsidRPr="004E280F">
        <w:rPr>
          <w:rFonts w:ascii="Times New Roman" w:hAnsi="Times New Roman" w:cs="Times New Roman"/>
          <w:color w:val="2A2D99"/>
        </w:rPr>
        <w:t xml:space="preserve"> </w:t>
      </w:r>
    </w:p>
    <w:p w:rsidR="007E0D23" w:rsidRPr="004E280F" w:rsidRDefault="007E0D23" w:rsidP="007E0D23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  <w:color w:val="000000"/>
        </w:rPr>
        <w:t xml:space="preserve">В случае обнаружения Заказчиком допущенного брака, дефектов, а также несоответствий требованиям к </w:t>
      </w:r>
      <w:r w:rsidRPr="004E280F">
        <w:rPr>
          <w:rFonts w:ascii="Times New Roman" w:hAnsi="Times New Roman" w:cs="Times New Roman"/>
        </w:rPr>
        <w:t>товарам</w:t>
      </w:r>
      <w:r w:rsidRPr="004E280F">
        <w:rPr>
          <w:rFonts w:ascii="Times New Roman" w:hAnsi="Times New Roman" w:cs="Times New Roman"/>
          <w:color w:val="000000"/>
        </w:rPr>
        <w:t xml:space="preserve"> Исполнитель за свой счет и своими силами устраняет выявленные нарушения в течение 5 </w:t>
      </w:r>
      <w:r w:rsidR="003B1B6D">
        <w:rPr>
          <w:rFonts w:ascii="Times New Roman" w:hAnsi="Times New Roman" w:cs="Times New Roman"/>
          <w:color w:val="000000"/>
        </w:rPr>
        <w:t xml:space="preserve">(пяти) </w:t>
      </w:r>
      <w:r w:rsidRPr="004E280F">
        <w:rPr>
          <w:rFonts w:ascii="Times New Roman" w:hAnsi="Times New Roman" w:cs="Times New Roman"/>
          <w:color w:val="000000"/>
        </w:rPr>
        <w:t xml:space="preserve">рабочих дней с </w:t>
      </w:r>
      <w:r w:rsidR="003B1B6D">
        <w:rPr>
          <w:rFonts w:ascii="Times New Roman" w:hAnsi="Times New Roman" w:cs="Times New Roman"/>
          <w:color w:val="000000"/>
        </w:rPr>
        <w:t>даты</w:t>
      </w:r>
      <w:r w:rsidRPr="004E280F">
        <w:rPr>
          <w:rFonts w:ascii="Times New Roman" w:hAnsi="Times New Roman" w:cs="Times New Roman"/>
          <w:color w:val="000000"/>
        </w:rPr>
        <w:t xml:space="preserve"> уведомления Заказчиком.</w:t>
      </w:r>
    </w:p>
    <w:p w:rsidR="0054354C" w:rsidRPr="0054354C" w:rsidRDefault="007E0D23" w:rsidP="0054354C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54354C">
        <w:rPr>
          <w:rFonts w:ascii="Times New Roman" w:hAnsi="Times New Roman" w:cs="Times New Roman"/>
        </w:rPr>
        <w:t>Товары должны быть расфасованы в упаковки</w:t>
      </w:r>
      <w:r w:rsidR="004E280F" w:rsidRPr="0054354C">
        <w:rPr>
          <w:rFonts w:ascii="Times New Roman" w:hAnsi="Times New Roman" w:cs="Times New Roman"/>
        </w:rPr>
        <w:t>,</w:t>
      </w:r>
      <w:r w:rsidRPr="0054354C">
        <w:rPr>
          <w:rFonts w:ascii="Times New Roman" w:hAnsi="Times New Roman" w:cs="Times New Roman"/>
        </w:rPr>
        <w:t xml:space="preserve"> удобные для транспортировки </w:t>
      </w:r>
      <w:r w:rsidRPr="0054354C">
        <w:rPr>
          <w:rFonts w:ascii="Times New Roman" w:hAnsi="Times New Roman" w:cs="Times New Roman"/>
        </w:rPr>
        <w:br/>
        <w:t>и переноски, обеспечивающие их сохранность.</w:t>
      </w:r>
    </w:p>
    <w:p w:rsidR="00737F6D" w:rsidRPr="0054354C" w:rsidRDefault="0054354C" w:rsidP="0054354C">
      <w:pPr>
        <w:pStyle w:val="ConsPlusNormal"/>
        <w:ind w:firstLine="850"/>
        <w:jc w:val="both"/>
        <w:rPr>
          <w:rFonts w:ascii="Times New Roman" w:hAnsi="Times New Roman" w:cs="Times New Roman"/>
        </w:rPr>
      </w:pPr>
      <w:r w:rsidRPr="0054354C">
        <w:rPr>
          <w:rFonts w:ascii="Times New Roman" w:hAnsi="Times New Roman" w:cs="Times New Roman"/>
        </w:rPr>
        <w:t>5.</w:t>
      </w:r>
      <w:r w:rsidR="004E280F" w:rsidRPr="0054354C">
        <w:rPr>
          <w:rFonts w:ascii="Times New Roman" w:hAnsi="Times New Roman" w:cs="Times New Roman"/>
        </w:rPr>
        <w:t>Требования к товарам, на которые должна быть нанесена символика СНМ ИХБФМ СО РАН:</w:t>
      </w:r>
    </w:p>
    <w:tbl>
      <w:tblPr>
        <w:tblStyle w:val="11"/>
        <w:tblpPr w:leftFromText="180" w:rightFromText="180" w:vertAnchor="text" w:horzAnchor="margin" w:tblpXSpec="center" w:tblpY="509"/>
        <w:tblW w:w="9493" w:type="dxa"/>
        <w:tblLayout w:type="fixed"/>
        <w:tblLook w:val="04A0" w:firstRow="1" w:lastRow="0" w:firstColumn="1" w:lastColumn="0" w:noHBand="0" w:noVBand="1"/>
      </w:tblPr>
      <w:tblGrid>
        <w:gridCol w:w="531"/>
        <w:gridCol w:w="2016"/>
        <w:gridCol w:w="5812"/>
        <w:gridCol w:w="1134"/>
      </w:tblGrid>
      <w:tr w:rsidR="004E280F" w:rsidRPr="0054354C" w:rsidTr="00085019">
        <w:trPr>
          <w:trHeight w:val="561"/>
        </w:trPr>
        <w:tc>
          <w:tcPr>
            <w:tcW w:w="531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16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812" w:type="dxa"/>
            <w:vAlign w:val="center"/>
          </w:tcPr>
          <w:p w:rsidR="004E280F" w:rsidRPr="0054354C" w:rsidRDefault="004E280F" w:rsidP="00C8761B">
            <w:pPr>
              <w:tabs>
                <w:tab w:val="left" w:pos="87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Функциональные, технические и качественные характеристики</w:t>
            </w:r>
          </w:p>
        </w:tc>
        <w:tc>
          <w:tcPr>
            <w:tcW w:w="1134" w:type="dxa"/>
            <w:vAlign w:val="center"/>
          </w:tcPr>
          <w:p w:rsidR="004E280F" w:rsidRPr="0054354C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5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шт.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Ручка шариковая</w:t>
            </w:r>
            <w:r w:rsidR="00D9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пластик, металл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серый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 отделки: хром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Диаметр шарика: 1 мм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стержня: классический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 стержня: синий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Печать логотипа: в 1 цвет и на 1 площадке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Флешка</w:t>
            </w:r>
            <w:proofErr w:type="spellEnd"/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пластик, металл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5,8х1,7х0,8см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Объем: 16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proofErr w:type="spellEnd"/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серебристый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тампо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печать в 1 цвет, с 1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Чип памяти: </w:t>
            </w:r>
            <w:r w:rsidRPr="0008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SanDisk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Интерфейс: </w:t>
            </w:r>
            <w:r w:rsidRPr="0008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Скорость записи: 3Мб-6Мб/сек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Скорость чтения: 14Мб-20Мб/сек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ПВД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30х40см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Плотность: 60гр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белый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шелкография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в 3 цвета, с одной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ручки: прорубная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Донная складка: 7см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Чехол для пропуска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искусственная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софьяновая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кожа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6,3х10,4см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Цвет: синий</w:t>
            </w:r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Печать: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блинтовое</w:t>
            </w:r>
            <w:proofErr w:type="spellEnd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 тиснение логотипа с 1 стороны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E280F" w:rsidRPr="00085019" w:rsidTr="00085019">
        <w:tc>
          <w:tcPr>
            <w:tcW w:w="531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6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Блокнот с индивидуальным блоком</w:t>
            </w:r>
          </w:p>
        </w:tc>
        <w:tc>
          <w:tcPr>
            <w:tcW w:w="5812" w:type="dxa"/>
            <w:vAlign w:val="center"/>
          </w:tcPr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Материал: обложка – мелованная бумага, внутренний блок – матовая бумага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Плотность: обложка- 300гр., внутренний блок – 80гр., 220гр.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Размер: 210х150х10мм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Печать: обложка и задник – полноцветная печать с 1 стороны</w:t>
            </w:r>
          </w:p>
          <w:p w:rsidR="004E280F" w:rsidRPr="00085019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блок – 1-5стр. ч/б печать с двух сторон, 6-46стр. ч/б печать с двух сторон индивидуальный блок планер ежедневник, 47-66стр. ч/б печать с 2 сторон клетка, 67-78стр. ч/б печать с двух сторон точка, 79-106стр. без печати, 107-126стр. ч/б печать с 1 стороны </w:t>
            </w:r>
            <w:proofErr w:type="spellStart"/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мандалы</w:t>
            </w:r>
            <w:proofErr w:type="spellEnd"/>
          </w:p>
          <w:p w:rsidR="004E280F" w:rsidRDefault="004E280F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Тип сборки: на металлическую пружину по длинной стороне слева</w:t>
            </w:r>
          </w:p>
          <w:p w:rsidR="0054354C" w:rsidRPr="00085019" w:rsidRDefault="0054354C" w:rsidP="00C8761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товара: Россия</w:t>
            </w:r>
          </w:p>
        </w:tc>
        <w:tc>
          <w:tcPr>
            <w:tcW w:w="1134" w:type="dxa"/>
          </w:tcPr>
          <w:p w:rsidR="004E280F" w:rsidRPr="00085019" w:rsidRDefault="004E280F" w:rsidP="00C876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1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37F6D" w:rsidRPr="004E280F" w:rsidRDefault="00737F6D" w:rsidP="00737F6D">
      <w:pPr>
        <w:rPr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54354C" w:rsidRPr="00F64913" w:rsidTr="006B4F37">
        <w:tc>
          <w:tcPr>
            <w:tcW w:w="9385" w:type="dxa"/>
            <w:gridSpan w:val="2"/>
            <w:shd w:val="clear" w:color="auto" w:fill="auto"/>
          </w:tcPr>
          <w:p w:rsidR="0054354C" w:rsidRDefault="0054354C" w:rsidP="006B4F37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54354C" w:rsidRPr="00F64913" w:rsidRDefault="0054354C" w:rsidP="006B4F37">
            <w:pPr>
              <w:pStyle w:val="3"/>
              <w:keepLines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54354C" w:rsidRPr="00F64913" w:rsidRDefault="0054354C" w:rsidP="006B4F37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54354C" w:rsidRPr="00BA4AD4" w:rsidTr="006B4F37">
        <w:tc>
          <w:tcPr>
            <w:tcW w:w="4928" w:type="dxa"/>
            <w:shd w:val="clear" w:color="auto" w:fill="auto"/>
          </w:tcPr>
          <w:p w:rsidR="0054354C" w:rsidRPr="00BA4AD4" w:rsidRDefault="0054354C" w:rsidP="006B4F37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:rsidR="0054354C" w:rsidRPr="00BA4AD4" w:rsidRDefault="0054354C" w:rsidP="006B4F37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54354C" w:rsidRPr="00BA4AD4" w:rsidRDefault="0054354C" w:rsidP="006B4F37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737F6D" w:rsidRPr="004E280F" w:rsidRDefault="00737F6D" w:rsidP="00737F6D">
      <w:pPr>
        <w:rPr>
          <w:sz w:val="20"/>
          <w:szCs w:val="20"/>
        </w:rPr>
      </w:pPr>
    </w:p>
    <w:p w:rsidR="00737F6D" w:rsidRPr="00737F6D" w:rsidRDefault="00737F6D" w:rsidP="00BA4AD4">
      <w:pPr>
        <w:jc w:val="right"/>
        <w:rPr>
          <w:rFonts w:eastAsia="Calibri"/>
          <w:sz w:val="20"/>
          <w:szCs w:val="20"/>
        </w:rPr>
      </w:pPr>
      <w:r w:rsidRPr="004E280F">
        <w:rPr>
          <w:rFonts w:eastAsia="Calibri"/>
          <w:sz w:val="20"/>
          <w:szCs w:val="20"/>
        </w:rPr>
        <w:br w:type="page"/>
      </w:r>
      <w:r w:rsidRPr="00737F6D">
        <w:rPr>
          <w:rFonts w:eastAsia="Calibri"/>
          <w:sz w:val="20"/>
          <w:szCs w:val="20"/>
        </w:rPr>
        <w:t xml:space="preserve">Приложение № </w:t>
      </w:r>
      <w:r>
        <w:rPr>
          <w:rFonts w:eastAsia="Calibri"/>
          <w:sz w:val="20"/>
          <w:szCs w:val="20"/>
        </w:rPr>
        <w:t>2</w:t>
      </w:r>
      <w:r w:rsidRPr="00737F6D">
        <w:rPr>
          <w:rFonts w:eastAsia="Calibri"/>
          <w:sz w:val="20"/>
          <w:szCs w:val="20"/>
        </w:rPr>
        <w:t xml:space="preserve"> </w:t>
      </w:r>
    </w:p>
    <w:p w:rsidR="00737F6D" w:rsidRPr="00737F6D" w:rsidRDefault="00737F6D" w:rsidP="00737F6D">
      <w:pPr>
        <w:widowControl w:val="0"/>
        <w:ind w:left="1" w:firstLine="708"/>
        <w:jc w:val="right"/>
        <w:rPr>
          <w:rFonts w:eastAsia="Calibri"/>
          <w:sz w:val="20"/>
          <w:szCs w:val="20"/>
        </w:rPr>
      </w:pPr>
      <w:r w:rsidRPr="00737F6D">
        <w:rPr>
          <w:rFonts w:eastAsia="Calibri"/>
          <w:sz w:val="20"/>
          <w:szCs w:val="20"/>
        </w:rPr>
        <w:t>к Контракту № _____</w:t>
      </w:r>
    </w:p>
    <w:p w:rsidR="00737F6D" w:rsidRPr="00737F6D" w:rsidRDefault="00737F6D" w:rsidP="00737F6D">
      <w:pPr>
        <w:widowControl w:val="0"/>
        <w:jc w:val="right"/>
        <w:rPr>
          <w:rFonts w:eastAsia="Calibri"/>
          <w:sz w:val="20"/>
          <w:szCs w:val="20"/>
        </w:rPr>
      </w:pPr>
      <w:r w:rsidRPr="00737F6D">
        <w:rPr>
          <w:rFonts w:eastAsia="Calibri"/>
          <w:sz w:val="20"/>
          <w:szCs w:val="20"/>
        </w:rPr>
        <w:t>от «___» __________ 202</w:t>
      </w:r>
      <w:r w:rsidR="00BA4AD4">
        <w:rPr>
          <w:rFonts w:eastAsia="Calibri"/>
          <w:sz w:val="20"/>
          <w:szCs w:val="20"/>
        </w:rPr>
        <w:t>6</w:t>
      </w:r>
      <w:r w:rsidRPr="00737F6D">
        <w:rPr>
          <w:rFonts w:eastAsia="Calibri"/>
          <w:sz w:val="20"/>
          <w:szCs w:val="20"/>
        </w:rPr>
        <w:t xml:space="preserve"> г.</w:t>
      </w:r>
    </w:p>
    <w:p w:rsidR="00946E61" w:rsidRPr="00737F6D" w:rsidRDefault="00946E61" w:rsidP="00946E61">
      <w:pPr>
        <w:jc w:val="right"/>
        <w:rPr>
          <w:sz w:val="20"/>
          <w:szCs w:val="20"/>
        </w:rPr>
      </w:pPr>
    </w:p>
    <w:p w:rsidR="00946E61" w:rsidRPr="00737F6D" w:rsidRDefault="003F113D" w:rsidP="00946E61">
      <w:pPr>
        <w:jc w:val="center"/>
        <w:rPr>
          <w:sz w:val="20"/>
          <w:szCs w:val="20"/>
        </w:rPr>
      </w:pPr>
      <w:r w:rsidRPr="00737F6D">
        <w:rPr>
          <w:sz w:val="20"/>
          <w:szCs w:val="20"/>
        </w:rPr>
        <w:t xml:space="preserve">Спецификация </w:t>
      </w:r>
    </w:p>
    <w:tbl>
      <w:tblPr>
        <w:tblW w:w="10298" w:type="dxa"/>
        <w:tblInd w:w="108" w:type="dxa"/>
        <w:tblLook w:val="04A0" w:firstRow="1" w:lastRow="0" w:firstColumn="1" w:lastColumn="0" w:noHBand="0" w:noVBand="1"/>
      </w:tblPr>
      <w:tblGrid>
        <w:gridCol w:w="532"/>
        <w:gridCol w:w="5876"/>
        <w:gridCol w:w="779"/>
        <w:gridCol w:w="709"/>
        <w:gridCol w:w="1106"/>
        <w:gridCol w:w="1296"/>
      </w:tblGrid>
      <w:tr w:rsidR="00737F6D" w:rsidRPr="00737F6D" w:rsidTr="00D96CAF">
        <w:trPr>
          <w:trHeight w:val="6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№ п/п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49414A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Стоимость с НДС, руб.</w:t>
            </w: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737F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D96CAF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Ручка шариковая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proofErr w:type="spellStart"/>
            <w:r w:rsidRPr="00BA4AD4">
              <w:rPr>
                <w:sz w:val="20"/>
                <w:szCs w:val="20"/>
              </w:rPr>
              <w:t>Флешка</w:t>
            </w:r>
            <w:proofErr w:type="spellEnd"/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Пакет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Чехол для пропуска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BA4AD4" w:rsidRPr="00737F6D" w:rsidTr="00D96CAF">
        <w:trPr>
          <w:trHeight w:val="2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D4" w:rsidRPr="00BA4AD4" w:rsidRDefault="00BA4AD4" w:rsidP="0049414A">
            <w:pPr>
              <w:contextualSpacing/>
              <w:rPr>
                <w:sz w:val="20"/>
                <w:szCs w:val="20"/>
              </w:rPr>
            </w:pPr>
            <w:r w:rsidRPr="00BA4AD4">
              <w:rPr>
                <w:sz w:val="20"/>
                <w:szCs w:val="20"/>
              </w:rPr>
              <w:t>Блокнот с индивидуальным блоком</w:t>
            </w:r>
            <w:r w:rsidR="00D96CAF">
              <w:rPr>
                <w:sz w:val="20"/>
                <w:szCs w:val="20"/>
              </w:rPr>
              <w:t xml:space="preserve"> с символикой СНМ ИХБФМ СО РАН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D4" w:rsidRPr="00737F6D" w:rsidRDefault="00BA4AD4" w:rsidP="00BA4AD4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D4" w:rsidRPr="00737F6D" w:rsidRDefault="00BA4AD4" w:rsidP="00BA4AD4">
            <w:pPr>
              <w:jc w:val="center"/>
              <w:rPr>
                <w:sz w:val="20"/>
                <w:szCs w:val="20"/>
              </w:rPr>
            </w:pPr>
          </w:p>
        </w:tc>
      </w:tr>
      <w:tr w:rsidR="00737F6D" w:rsidRPr="00737F6D" w:rsidTr="00D96CAF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49414A">
            <w:pPr>
              <w:rPr>
                <w:sz w:val="20"/>
                <w:szCs w:val="20"/>
              </w:rPr>
            </w:pPr>
            <w:r w:rsidRPr="00737F6D">
              <w:rPr>
                <w:sz w:val="20"/>
                <w:szCs w:val="20"/>
              </w:rPr>
              <w:t>Итого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6D" w:rsidRPr="00737F6D" w:rsidRDefault="00737F6D" w:rsidP="003C23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737F6D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737F6D" w:rsidTr="00A72BC4">
        <w:tc>
          <w:tcPr>
            <w:tcW w:w="8830" w:type="dxa"/>
            <w:gridSpan w:val="2"/>
            <w:shd w:val="clear" w:color="auto" w:fill="auto"/>
          </w:tcPr>
          <w:p w:rsidR="00946E61" w:rsidRPr="00737F6D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737F6D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F6D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737F6D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A4AD4" w:rsidRPr="00737F6D" w:rsidTr="008E5DC8">
        <w:tc>
          <w:tcPr>
            <w:tcW w:w="5070" w:type="dxa"/>
            <w:shd w:val="clear" w:color="auto" w:fill="auto"/>
          </w:tcPr>
          <w:p w:rsidR="00BA4AD4" w:rsidRPr="00BA4AD4" w:rsidRDefault="00BA4AD4" w:rsidP="00BA4AD4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ИХБФМ СО РАН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________________________П.Е. Пестряков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A4AD4">
              <w:rPr>
                <w:b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60" w:type="dxa"/>
            <w:shd w:val="clear" w:color="auto" w:fill="auto"/>
          </w:tcPr>
          <w:p w:rsidR="00BA4AD4" w:rsidRPr="00BA4AD4" w:rsidRDefault="00BA4AD4" w:rsidP="00BA4AD4">
            <w:pPr>
              <w:keepNext/>
              <w:keepLines/>
              <w:rPr>
                <w:b/>
                <w:sz w:val="20"/>
                <w:szCs w:val="20"/>
              </w:rPr>
            </w:pPr>
            <w:r w:rsidRPr="00BA4AD4">
              <w:rPr>
                <w:b/>
                <w:sz w:val="20"/>
                <w:szCs w:val="20"/>
              </w:rPr>
              <w:t>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>___________________ / _____________</w:t>
            </w:r>
          </w:p>
          <w:p w:rsidR="00BA4AD4" w:rsidRPr="00BA4AD4" w:rsidRDefault="00BA4AD4" w:rsidP="00BA4AD4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4AD4">
              <w:rPr>
                <w:b/>
                <w:bCs/>
                <w:sz w:val="20"/>
                <w:szCs w:val="20"/>
              </w:rPr>
              <w:t xml:space="preserve">                </w:t>
            </w:r>
            <w:proofErr w:type="spellStart"/>
            <w:r w:rsidRPr="00BA4AD4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BA4AD4">
              <w:rPr>
                <w:b/>
                <w:bCs/>
                <w:sz w:val="20"/>
                <w:szCs w:val="20"/>
              </w:rPr>
              <w:t xml:space="preserve">.       </w:t>
            </w:r>
          </w:p>
        </w:tc>
      </w:tr>
    </w:tbl>
    <w:p w:rsidR="00946E61" w:rsidRPr="004A4C4A" w:rsidRDefault="00946E61">
      <w:pPr>
        <w:rPr>
          <w:sz w:val="20"/>
          <w:szCs w:val="20"/>
        </w:rPr>
      </w:pPr>
    </w:p>
    <w:sectPr w:rsidR="00946E61" w:rsidRPr="004A4C4A" w:rsidSect="007E0D23">
      <w:footerReference w:type="even" r:id="rId10"/>
      <w:footerReference w:type="default" r:id="rId11"/>
      <w:pgSz w:w="11906" w:h="16838"/>
      <w:pgMar w:top="71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70" w:rsidRDefault="009E4570">
      <w:r>
        <w:separator/>
      </w:r>
    </w:p>
  </w:endnote>
  <w:endnote w:type="continuationSeparator" w:id="0">
    <w:p w:rsidR="009E4570" w:rsidRDefault="009E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4D8">
      <w:rPr>
        <w:rStyle w:val="a4"/>
        <w:noProof/>
      </w:rPr>
      <w:t>6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70" w:rsidRDefault="009E4570">
      <w:r>
        <w:separator/>
      </w:r>
    </w:p>
  </w:footnote>
  <w:footnote w:type="continuationSeparator" w:id="0">
    <w:p w:rsidR="009E4570" w:rsidRDefault="009E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0A2"/>
    <w:multiLevelType w:val="hybridMultilevel"/>
    <w:tmpl w:val="5F1ACB06"/>
    <w:lvl w:ilvl="0" w:tplc="2FC883A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3D54"/>
    <w:multiLevelType w:val="hybridMultilevel"/>
    <w:tmpl w:val="420C16AC"/>
    <w:lvl w:ilvl="0" w:tplc="F2CE83D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37BC9"/>
    <w:multiLevelType w:val="multilevel"/>
    <w:tmpl w:val="4DD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106F"/>
    <w:rsid w:val="00054E87"/>
    <w:rsid w:val="00055719"/>
    <w:rsid w:val="00063461"/>
    <w:rsid w:val="00073B3F"/>
    <w:rsid w:val="000810F3"/>
    <w:rsid w:val="00085019"/>
    <w:rsid w:val="000A5E3A"/>
    <w:rsid w:val="000A6D68"/>
    <w:rsid w:val="000B6ABD"/>
    <w:rsid w:val="000F3652"/>
    <w:rsid w:val="0010232D"/>
    <w:rsid w:val="001132CC"/>
    <w:rsid w:val="00167A77"/>
    <w:rsid w:val="001746A6"/>
    <w:rsid w:val="00175711"/>
    <w:rsid w:val="00191872"/>
    <w:rsid w:val="001931A9"/>
    <w:rsid w:val="001A2E64"/>
    <w:rsid w:val="001A3BD4"/>
    <w:rsid w:val="001C3C02"/>
    <w:rsid w:val="001D17D9"/>
    <w:rsid w:val="001D2938"/>
    <w:rsid w:val="001D6C4A"/>
    <w:rsid w:val="001E2435"/>
    <w:rsid w:val="001F4492"/>
    <w:rsid w:val="002038BC"/>
    <w:rsid w:val="00206EE3"/>
    <w:rsid w:val="00210D3C"/>
    <w:rsid w:val="002331D2"/>
    <w:rsid w:val="00241861"/>
    <w:rsid w:val="0025553C"/>
    <w:rsid w:val="00260CD6"/>
    <w:rsid w:val="002A5B3C"/>
    <w:rsid w:val="002B6417"/>
    <w:rsid w:val="002D1E69"/>
    <w:rsid w:val="002E7C0A"/>
    <w:rsid w:val="00302CE7"/>
    <w:rsid w:val="00306107"/>
    <w:rsid w:val="00324657"/>
    <w:rsid w:val="00365D50"/>
    <w:rsid w:val="00374B50"/>
    <w:rsid w:val="00375848"/>
    <w:rsid w:val="0037764F"/>
    <w:rsid w:val="003973F7"/>
    <w:rsid w:val="00397B16"/>
    <w:rsid w:val="003A5E46"/>
    <w:rsid w:val="003A667E"/>
    <w:rsid w:val="003B1B6D"/>
    <w:rsid w:val="003C008A"/>
    <w:rsid w:val="003C23B8"/>
    <w:rsid w:val="003D17E1"/>
    <w:rsid w:val="003E34A7"/>
    <w:rsid w:val="003F113D"/>
    <w:rsid w:val="003F7A03"/>
    <w:rsid w:val="00406B38"/>
    <w:rsid w:val="004072BF"/>
    <w:rsid w:val="00415591"/>
    <w:rsid w:val="00430414"/>
    <w:rsid w:val="004326DC"/>
    <w:rsid w:val="004506C9"/>
    <w:rsid w:val="00454A84"/>
    <w:rsid w:val="00462CEF"/>
    <w:rsid w:val="00463452"/>
    <w:rsid w:val="00472FE4"/>
    <w:rsid w:val="00476148"/>
    <w:rsid w:val="00480150"/>
    <w:rsid w:val="0049414A"/>
    <w:rsid w:val="004A4C4A"/>
    <w:rsid w:val="004A5442"/>
    <w:rsid w:val="004B1909"/>
    <w:rsid w:val="004B30B0"/>
    <w:rsid w:val="004E280F"/>
    <w:rsid w:val="004F251A"/>
    <w:rsid w:val="00505439"/>
    <w:rsid w:val="00507F54"/>
    <w:rsid w:val="00515611"/>
    <w:rsid w:val="00524F79"/>
    <w:rsid w:val="00526F30"/>
    <w:rsid w:val="0054354C"/>
    <w:rsid w:val="005456BE"/>
    <w:rsid w:val="00556393"/>
    <w:rsid w:val="00556964"/>
    <w:rsid w:val="005659B5"/>
    <w:rsid w:val="00567206"/>
    <w:rsid w:val="00577CF8"/>
    <w:rsid w:val="00593B77"/>
    <w:rsid w:val="00594322"/>
    <w:rsid w:val="005B12B5"/>
    <w:rsid w:val="005C2396"/>
    <w:rsid w:val="005C6E96"/>
    <w:rsid w:val="005D3156"/>
    <w:rsid w:val="005D701F"/>
    <w:rsid w:val="005F2433"/>
    <w:rsid w:val="005F3C5F"/>
    <w:rsid w:val="00607FD9"/>
    <w:rsid w:val="0064296F"/>
    <w:rsid w:val="00652D69"/>
    <w:rsid w:val="00664CAA"/>
    <w:rsid w:val="00664F2A"/>
    <w:rsid w:val="00671429"/>
    <w:rsid w:val="006C21F2"/>
    <w:rsid w:val="006D2FF7"/>
    <w:rsid w:val="006D7BAE"/>
    <w:rsid w:val="006F24D8"/>
    <w:rsid w:val="006F4528"/>
    <w:rsid w:val="006F50A7"/>
    <w:rsid w:val="006F6885"/>
    <w:rsid w:val="006F6C48"/>
    <w:rsid w:val="007009DC"/>
    <w:rsid w:val="007015DD"/>
    <w:rsid w:val="00702E74"/>
    <w:rsid w:val="007176AE"/>
    <w:rsid w:val="00724609"/>
    <w:rsid w:val="00727D6A"/>
    <w:rsid w:val="00737F6D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0D23"/>
    <w:rsid w:val="007E3197"/>
    <w:rsid w:val="007E6436"/>
    <w:rsid w:val="00811F7D"/>
    <w:rsid w:val="008139C7"/>
    <w:rsid w:val="008429A9"/>
    <w:rsid w:val="0086255C"/>
    <w:rsid w:val="0088023A"/>
    <w:rsid w:val="00883221"/>
    <w:rsid w:val="00892A30"/>
    <w:rsid w:val="0089781A"/>
    <w:rsid w:val="008A7177"/>
    <w:rsid w:val="008B0066"/>
    <w:rsid w:val="008C7EA4"/>
    <w:rsid w:val="008D33F8"/>
    <w:rsid w:val="008E1EB8"/>
    <w:rsid w:val="008E5DC8"/>
    <w:rsid w:val="008F739B"/>
    <w:rsid w:val="00906523"/>
    <w:rsid w:val="00907EF3"/>
    <w:rsid w:val="00933D9D"/>
    <w:rsid w:val="00942662"/>
    <w:rsid w:val="00943361"/>
    <w:rsid w:val="00946E61"/>
    <w:rsid w:val="00957356"/>
    <w:rsid w:val="009617D7"/>
    <w:rsid w:val="009808DE"/>
    <w:rsid w:val="00991508"/>
    <w:rsid w:val="009921D2"/>
    <w:rsid w:val="009B077A"/>
    <w:rsid w:val="009B2E56"/>
    <w:rsid w:val="009B338E"/>
    <w:rsid w:val="009C4DDD"/>
    <w:rsid w:val="009D2DE2"/>
    <w:rsid w:val="009D6E47"/>
    <w:rsid w:val="009E4570"/>
    <w:rsid w:val="00A05DE1"/>
    <w:rsid w:val="00A1422E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B0B2D"/>
    <w:rsid w:val="00AB0EFD"/>
    <w:rsid w:val="00AC5708"/>
    <w:rsid w:val="00AE42B8"/>
    <w:rsid w:val="00AF5B21"/>
    <w:rsid w:val="00B06219"/>
    <w:rsid w:val="00B0738E"/>
    <w:rsid w:val="00B07C99"/>
    <w:rsid w:val="00B15E07"/>
    <w:rsid w:val="00B46924"/>
    <w:rsid w:val="00B5583A"/>
    <w:rsid w:val="00B57227"/>
    <w:rsid w:val="00B600E7"/>
    <w:rsid w:val="00B63636"/>
    <w:rsid w:val="00B674D0"/>
    <w:rsid w:val="00B6784A"/>
    <w:rsid w:val="00BA053D"/>
    <w:rsid w:val="00BA4AD4"/>
    <w:rsid w:val="00BD7B51"/>
    <w:rsid w:val="00BE14D7"/>
    <w:rsid w:val="00BF235B"/>
    <w:rsid w:val="00BF31E1"/>
    <w:rsid w:val="00C00ADF"/>
    <w:rsid w:val="00C02D6D"/>
    <w:rsid w:val="00C101BB"/>
    <w:rsid w:val="00C1280F"/>
    <w:rsid w:val="00C229C3"/>
    <w:rsid w:val="00C4179D"/>
    <w:rsid w:val="00C43F41"/>
    <w:rsid w:val="00C56BC2"/>
    <w:rsid w:val="00C736D1"/>
    <w:rsid w:val="00C9741E"/>
    <w:rsid w:val="00CD00DC"/>
    <w:rsid w:val="00CD3038"/>
    <w:rsid w:val="00D022FE"/>
    <w:rsid w:val="00D206F9"/>
    <w:rsid w:val="00D31627"/>
    <w:rsid w:val="00D3442C"/>
    <w:rsid w:val="00D344D9"/>
    <w:rsid w:val="00D54AC6"/>
    <w:rsid w:val="00D6727C"/>
    <w:rsid w:val="00D72838"/>
    <w:rsid w:val="00D76180"/>
    <w:rsid w:val="00D77C7C"/>
    <w:rsid w:val="00D96CAF"/>
    <w:rsid w:val="00DA0FAE"/>
    <w:rsid w:val="00DB2008"/>
    <w:rsid w:val="00DB7790"/>
    <w:rsid w:val="00DE35AB"/>
    <w:rsid w:val="00DE6166"/>
    <w:rsid w:val="00DF3392"/>
    <w:rsid w:val="00E064AC"/>
    <w:rsid w:val="00E15E41"/>
    <w:rsid w:val="00E205EC"/>
    <w:rsid w:val="00E863DD"/>
    <w:rsid w:val="00E939A9"/>
    <w:rsid w:val="00EA0C3C"/>
    <w:rsid w:val="00EA6AC5"/>
    <w:rsid w:val="00EB60C9"/>
    <w:rsid w:val="00EB7F6B"/>
    <w:rsid w:val="00ED00FC"/>
    <w:rsid w:val="00EF5204"/>
    <w:rsid w:val="00EF5639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72FF9"/>
    <w:rsid w:val="00F80C11"/>
    <w:rsid w:val="00F819CA"/>
    <w:rsid w:val="00F82F2E"/>
    <w:rsid w:val="00FA5C2A"/>
    <w:rsid w:val="00FB53F9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B0C036D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table" w:customStyle="1" w:styleId="11">
    <w:name w:val="Сетка таблицы1"/>
    <w:basedOn w:val="a1"/>
    <w:next w:val="a5"/>
    <w:uiPriority w:val="39"/>
    <w:rsid w:val="00642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1F4492"/>
    <w:rPr>
      <w:i/>
      <w:iCs/>
    </w:rPr>
  </w:style>
  <w:style w:type="character" w:customStyle="1" w:styleId="ConsPlusNormal0">
    <w:name w:val="ConsPlusNormal Знак"/>
    <w:link w:val="ConsPlusNormal"/>
    <w:qFormat/>
    <w:locked/>
    <w:rsid w:val="007E0D23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05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091C-6CCA-4363-B823-590EA7C0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2080</Words>
  <Characters>14427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16475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</cp:revision>
  <cp:lastPrinted>2025-04-08T03:58:00Z</cp:lastPrinted>
  <dcterms:created xsi:type="dcterms:W3CDTF">2026-06-19T02:00:00Z</dcterms:created>
  <dcterms:modified xsi:type="dcterms:W3CDTF">2026-06-22T06:23:00Z</dcterms:modified>
</cp:coreProperties>
</file>