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КОНТРАКТ</w:t>
      </w:r>
      <w:r>
        <w:rPr>
          <w:b/>
          <w:sz w:val="24"/>
          <w:szCs w:val="24"/>
        </w:rPr>
        <w:t xml:space="preserve"> №100087882126100034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оказание услуг по </w:t>
      </w:r>
      <w:r>
        <w:rPr>
          <w:sz w:val="24"/>
          <w:szCs w:val="24"/>
        </w:rPr>
        <w:t xml:space="preserve">техническо</w:t>
      </w:r>
      <w:r>
        <w:rPr>
          <w:sz w:val="24"/>
          <w:szCs w:val="24"/>
        </w:rPr>
        <w:t xml:space="preserve">му</w:t>
      </w:r>
      <w:r>
        <w:rPr>
          <w:sz w:val="24"/>
          <w:szCs w:val="24"/>
        </w:rPr>
        <w:t xml:space="preserve"> обслуживани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 изделий медицинской техники и оборудования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(облучателей и </w:t>
      </w:r>
      <w:r>
        <w:rPr>
          <w:sz w:val="24"/>
          <w:szCs w:val="24"/>
        </w:rPr>
        <w:t xml:space="preserve">реци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куляторов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Дезар</w:t>
      </w:r>
      <w:r>
        <w:rPr>
          <w:sz w:val="24"/>
          <w:szCs w:val="24"/>
        </w:rPr>
        <w:t xml:space="preserve">»)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tabs>
          <w:tab w:val="left" w:pos="694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г.  Хабаровск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Федеральное казенное учреждение «Главное бюро медико-социальной экспертизы по Хабаровскому краю» Министерства труда и социальной защиты Российской Федерации, </w:t>
      </w:r>
      <w:r>
        <w:rPr>
          <w:sz w:val="24"/>
          <w:szCs w:val="24"/>
        </w:rPr>
        <w:t xml:space="preserve">именуемое в дальнейшем «</w:t>
      </w:r>
      <w:r>
        <w:rPr>
          <w:b/>
          <w:sz w:val="24"/>
          <w:szCs w:val="24"/>
        </w:rPr>
        <w:t xml:space="preserve">ЗАКАЗЧИК», </w:t>
      </w:r>
      <w:r>
        <w:rPr>
          <w:sz w:val="24"/>
          <w:szCs w:val="24"/>
        </w:rPr>
        <w:t xml:space="preserve">в лице исполняющего обязанности руководителя – главного эксперта по медико-социальной экспертизе Иваненко Елены Геннадьевны действующего на основании  Устава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 одной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тороны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 </w:t>
      </w: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бщество с ограниченной ответственностью «МЕДЭЛЕКТРОНИКА», </w:t>
      </w:r>
      <w:r>
        <w:rPr>
          <w:sz w:val="24"/>
          <w:szCs w:val="24"/>
        </w:rPr>
        <w:t xml:space="preserve">именуемое в дальнейшем </w:t>
      </w:r>
      <w:r>
        <w:rPr>
          <w:b/>
          <w:sz w:val="24"/>
          <w:szCs w:val="24"/>
        </w:rPr>
        <w:t xml:space="preserve">«ИСПОЛНИТЕЛЬ»,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в лице начальника тендерного отдела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Редина Виталия Юрьевича,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доверенности от 11.03.2026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b289280c-825b-4797-a0ae-e043bbb05df6,</w:t>
      </w:r>
      <w:r>
        <w:rPr>
          <w:sz w:val="24"/>
          <w:szCs w:val="24"/>
        </w:rPr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 другой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тороны, </w:t>
      </w:r>
      <w:r>
        <w:rPr>
          <w:sz w:val="24"/>
          <w:szCs w:val="24"/>
        </w:rPr>
        <w:t xml:space="preserve">совместно именуемые Стороны, заключили настоящий Контракт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ПРЕДМЕТ </w:t>
      </w:r>
      <w:r>
        <w:rPr>
          <w:b/>
          <w:sz w:val="24"/>
          <w:szCs w:val="24"/>
        </w:rPr>
        <w:t xml:space="preserve">КОНТРАКТ</w:t>
      </w:r>
      <w:r>
        <w:rPr>
          <w:b/>
          <w:sz w:val="24"/>
          <w:szCs w:val="24"/>
        </w:rPr>
        <w:t xml:space="preserve">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5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ЗАКАЗЧИК</w:t>
      </w:r>
      <w:r>
        <w:rPr>
          <w:b/>
          <w:sz w:val="24"/>
          <w:szCs w:val="24"/>
        </w:rPr>
        <w:t xml:space="preserve">»</w:t>
      </w:r>
      <w:r>
        <w:rPr>
          <w:sz w:val="24"/>
          <w:szCs w:val="24"/>
        </w:rPr>
        <w:t xml:space="preserve"> поручает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а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ИСПОЛНИТЕЛЬ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выполняет техническое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обслуживание медицинской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техники и</w:t>
      </w:r>
      <w:r>
        <w:rPr>
          <w:sz w:val="24"/>
          <w:szCs w:val="24"/>
        </w:rPr>
        <w:t xml:space="preserve"> оборудования в соответствии </w:t>
      </w:r>
      <w:r>
        <w:rPr>
          <w:sz w:val="24"/>
          <w:szCs w:val="24"/>
        </w:rPr>
        <w:t xml:space="preserve">с: ГОСТ 57501-2017 «Техническо</w:t>
      </w:r>
      <w:r>
        <w:rPr>
          <w:sz w:val="24"/>
          <w:szCs w:val="24"/>
        </w:rPr>
        <w:t xml:space="preserve">е обслуживание медицинских изделий. Требования для государственных закупок»; ГОСТ 58451-2019 «Изделие медицинское. Обслуживание техническое. Основные положения»; ГОСТ 18322-2016 «Система технического обслуживания и ремонта техники. Термины и определения», </w:t>
      </w:r>
      <w:r>
        <w:rPr>
          <w:sz w:val="24"/>
          <w:szCs w:val="24"/>
        </w:rPr>
        <w:t xml:space="preserve">согласно Приложению № 1, являющемуся неотъемлемой частью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дату заключения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 медицинская техника находится в процессе эксплуатации.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«ИСПОЛНИТЕЛЬ» </w:t>
      </w:r>
      <w:r>
        <w:rPr>
          <w:sz w:val="24"/>
          <w:szCs w:val="24"/>
        </w:rPr>
        <w:t xml:space="preserve">оказывает услуги по настоящему </w:t>
      </w:r>
      <w:r>
        <w:rPr>
          <w:sz w:val="24"/>
          <w:szCs w:val="24"/>
        </w:rPr>
        <w:t xml:space="preserve">Контратаку</w:t>
      </w:r>
      <w:r>
        <w:rPr>
          <w:sz w:val="24"/>
          <w:szCs w:val="24"/>
        </w:rPr>
        <w:t xml:space="preserve"> на основании лицензии.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Кратность проведения технического обслуживания: Облучатели-</w:t>
      </w:r>
      <w:r>
        <w:rPr>
          <w:sz w:val="24"/>
          <w:szCs w:val="24"/>
        </w:rPr>
        <w:t xml:space="preserve">рециркуляторы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Дезар</w:t>
      </w:r>
      <w:r>
        <w:rPr>
          <w:sz w:val="24"/>
          <w:szCs w:val="24"/>
        </w:rPr>
        <w:t xml:space="preserve"> – 1 раз в г</w:t>
      </w:r>
      <w:r>
        <w:rPr>
          <w:sz w:val="24"/>
          <w:szCs w:val="24"/>
        </w:rPr>
        <w:t xml:space="preserve">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ОБЯЗАННОСТИ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ИСПОЛНИТЕЛЬ</w:t>
      </w:r>
      <w:r>
        <w:rPr>
          <w:b/>
          <w:sz w:val="24"/>
          <w:szCs w:val="24"/>
        </w:rPr>
        <w:t xml:space="preserve">»</w:t>
      </w:r>
      <w:r>
        <w:rPr>
          <w:sz w:val="24"/>
          <w:szCs w:val="24"/>
        </w:rPr>
        <w:t xml:space="preserve">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надежную работу изделий медицинской техники  и оборудования лечебного учреждения,     принятого  на  техническое обслуживание в соответствии с п.1.1 настоящего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контроль качества, выполняемых работ по техническому обслуживанию медицинской техники</w:t>
      </w:r>
      <w:r>
        <w:rPr>
          <w:sz w:val="24"/>
          <w:szCs w:val="24"/>
        </w:rPr>
        <w:t xml:space="preserve"> и оборудования, </w:t>
      </w:r>
      <w:r>
        <w:rPr>
          <w:sz w:val="24"/>
          <w:szCs w:val="24"/>
        </w:rPr>
        <w:t xml:space="preserve">нести ответственность за качество работ, с обязательной записью в журнале технического обслуживания медицинской техники</w:t>
      </w:r>
      <w:r>
        <w:rPr>
          <w:sz w:val="24"/>
          <w:szCs w:val="24"/>
        </w:rPr>
        <w:t xml:space="preserve"> и оборудования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составлять и согласовывать с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ЗАКАЗЧИКОМ</w:t>
      </w:r>
      <w:r>
        <w:rPr>
          <w:b/>
          <w:sz w:val="24"/>
          <w:szCs w:val="24"/>
        </w:rPr>
        <w:t xml:space="preserve">»</w:t>
      </w:r>
      <w:r>
        <w:rPr>
          <w:sz w:val="24"/>
          <w:szCs w:val="24"/>
        </w:rPr>
        <w:t xml:space="preserve"> график технического обслуживания.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 xml:space="preserve">ЗАКАЗЧИК</w:t>
      </w:r>
      <w:r>
        <w:rPr>
          <w:b/>
          <w:sz w:val="24"/>
          <w:szCs w:val="24"/>
        </w:rPr>
        <w:t xml:space="preserve">»</w:t>
      </w:r>
      <w:r>
        <w:rPr>
          <w:sz w:val="24"/>
          <w:szCs w:val="24"/>
        </w:rPr>
        <w:t xml:space="preserve">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правильную эксплуатацию и использование медицинской техники и оборудования, принятого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ИСПОЛНИТЕЛЕМ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на техническое обслуживание и не допускать к работе с этой техникой </w:t>
      </w:r>
      <w:r>
        <w:rPr>
          <w:sz w:val="24"/>
          <w:szCs w:val="24"/>
        </w:rPr>
        <w:t xml:space="preserve">лиц,</w:t>
      </w:r>
      <w:r>
        <w:rPr>
          <w:sz w:val="24"/>
          <w:szCs w:val="24"/>
        </w:rPr>
        <w:t xml:space="preserve"> не имеющих специальной </w:t>
      </w:r>
      <w:r>
        <w:rPr>
          <w:sz w:val="24"/>
          <w:szCs w:val="24"/>
        </w:rPr>
        <w:t xml:space="preserve">подготовки;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готовить к осмотру медицинскую технику, подлежащую  техническому обслуживанию;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бригаде или рабо</w:t>
      </w:r>
      <w:r>
        <w:rPr>
          <w:sz w:val="24"/>
          <w:szCs w:val="24"/>
        </w:rPr>
        <w:t xml:space="preserve">тнику технического обслуживания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ИСПОЛНИТЕЛЯ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помещение (рабочее место</w:t>
      </w:r>
      <w:r>
        <w:rPr>
          <w:sz w:val="24"/>
          <w:szCs w:val="24"/>
        </w:rPr>
        <w:t xml:space="preserve">) для работы по обслуживанию, помещение для хранения инструмента, материалов, запасных частей;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допускать к техническому обслуживанию посторонних </w:t>
      </w:r>
      <w:r>
        <w:rPr>
          <w:sz w:val="24"/>
          <w:szCs w:val="24"/>
        </w:rPr>
        <w:t xml:space="preserve">лиц,</w:t>
      </w:r>
      <w:r>
        <w:rPr>
          <w:sz w:val="24"/>
          <w:szCs w:val="24"/>
        </w:rPr>
        <w:t xml:space="preserve"> кроме работников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ИСПОЛНИТЕЛЯ</w:t>
      </w:r>
      <w:r>
        <w:rPr>
          <w:b/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вести регистрацию неисправностей изделий медицинской техники в журнале</w:t>
      </w:r>
      <w:r>
        <w:rPr>
          <w:sz w:val="24"/>
          <w:szCs w:val="24"/>
        </w:rPr>
        <w:t xml:space="preserve">  технического  обслуживания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ПОРЯДОК ТЕХНИЧЕСКОГО ОБСЛУЖИВАНИЯ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9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Техническое обслуживание медицинской техники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комплекс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регламентированных (нормативной и эксплуатационной документацией) мероприятий и операций по </w:t>
      </w:r>
      <w:r>
        <w:rPr>
          <w:sz w:val="24"/>
          <w:szCs w:val="24"/>
        </w:rPr>
        <w:t xml:space="preserve">поддержанию и восстановлению исправности и работоспособности медицинской техники при её использовании по назначению.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9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техническое обслуживание принимается только технически исправное оборудование при соблюдении норм по охране труда, техники безопасности и правил эксплуатации.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9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неисправности медицинской техники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ЗАКАЗЧИК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делает срочный вызов, 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ИСПОЛНИТЕЛЬ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направляет специалистов на аварийный ремонт, независимо от планового посещения. Выполнение заявок производится в течение 2-х дней. Вызов специалиста производится по телефону </w:t>
      </w:r>
      <w:r>
        <w:rPr>
          <w:b/>
          <w:sz w:val="24"/>
          <w:szCs w:val="24"/>
        </w:rPr>
        <w:t xml:space="preserve">8 (4212)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305</w:t>
      </w:r>
      <w:r>
        <w:rPr>
          <w:b/>
          <w:sz w:val="24"/>
          <w:szCs w:val="24"/>
        </w:rPr>
        <w:t xml:space="preserve">-</w:t>
      </w:r>
      <w:r>
        <w:rPr>
          <w:b/>
          <w:sz w:val="24"/>
          <w:szCs w:val="24"/>
        </w:rPr>
        <w:t xml:space="preserve">207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письмом по адресу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ИСПОЛНИТЕЛЯ</w:t>
      </w:r>
      <w:r>
        <w:rPr>
          <w:b/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9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осуществления  технического обслуживания </w:t>
      </w:r>
      <w:r>
        <w:rPr>
          <w:sz w:val="24"/>
          <w:szCs w:val="24"/>
        </w:rPr>
        <w:t xml:space="preserve">медицинской техники </w:t>
      </w:r>
      <w:r>
        <w:rPr>
          <w:b/>
          <w:sz w:val="24"/>
          <w:szCs w:val="24"/>
        </w:rPr>
        <w:t xml:space="preserve">«ИСПОЛНИТЕЛЬ» </w:t>
      </w:r>
      <w:r>
        <w:rPr>
          <w:sz w:val="24"/>
          <w:szCs w:val="24"/>
        </w:rPr>
        <w:t xml:space="preserve">передает</w:t>
      </w:r>
      <w:r>
        <w:rPr>
          <w:b/>
          <w:sz w:val="24"/>
          <w:szCs w:val="24"/>
        </w:rPr>
        <w:t xml:space="preserve"> «ЗАКАЗЧИКУ» </w:t>
      </w:r>
      <w:r>
        <w:rPr>
          <w:sz w:val="24"/>
          <w:szCs w:val="24"/>
        </w:rPr>
        <w:t xml:space="preserve">заполненный Акт </w:t>
      </w:r>
      <w:r>
        <w:rPr>
          <w:sz w:val="24"/>
          <w:szCs w:val="24"/>
        </w:rPr>
        <w:t xml:space="preserve">технического обслуживания</w:t>
      </w:r>
      <w:r>
        <w:rPr>
          <w:sz w:val="24"/>
          <w:szCs w:val="24"/>
        </w:rPr>
        <w:t xml:space="preserve">, согласно приложению №2, являющемуся неотъемлемой частью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необходимости замены ламп и фильтров, </w:t>
      </w:r>
      <w:r>
        <w:rPr>
          <w:b/>
          <w:sz w:val="24"/>
          <w:szCs w:val="24"/>
        </w:rPr>
        <w:t xml:space="preserve">«ИСПОЛНИТЕЛЬ»</w:t>
      </w:r>
      <w:r>
        <w:rPr>
          <w:sz w:val="24"/>
          <w:szCs w:val="24"/>
        </w:rPr>
        <w:t xml:space="preserve"> самостоятельно и за свой счет приобретает и производит их замену.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СТОИМОСТЬ РАБОТ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1"/>
          <w:numId w:val="22"/>
        </w:numPr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Стоимость технического обслуживания по настоящему </w:t>
      </w:r>
      <w:r>
        <w:rPr>
          <w:sz w:val="24"/>
          <w:szCs w:val="24"/>
        </w:rPr>
        <w:t xml:space="preserve">Контракту</w:t>
      </w:r>
      <w:r>
        <w:rPr>
          <w:sz w:val="24"/>
          <w:szCs w:val="24"/>
        </w:rPr>
        <w:t xml:space="preserve"> определяется в </w:t>
      </w:r>
      <w:r>
        <w:rPr>
          <w:sz w:val="24"/>
          <w:szCs w:val="24"/>
        </w:rPr>
        <w:t xml:space="preserve">сумме: 55 860,00 </w:t>
      </w:r>
      <w:r>
        <w:rPr>
          <w:b/>
          <w:bCs/>
          <w:sz w:val="24"/>
          <w:szCs w:val="24"/>
        </w:rPr>
        <w:t xml:space="preserve">(Пятьдесят пять тысяч  восемьсот шестьдесят</w:t>
      </w:r>
      <w:r>
        <w:rPr>
          <w:b/>
          <w:bCs/>
          <w:sz w:val="24"/>
          <w:szCs w:val="24"/>
        </w:rPr>
        <w:t xml:space="preserve">) рублей 00 копеек</w:t>
      </w:r>
      <w:r>
        <w:rPr>
          <w:b/>
          <w:bCs/>
          <w:sz w:val="24"/>
          <w:szCs w:val="24"/>
        </w:rPr>
        <w:t xml:space="preserve">, включая НДС - 5%.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numPr>
          <w:ilvl w:val="1"/>
          <w:numId w:val="2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основных материалов и запасных </w:t>
      </w:r>
      <w:r>
        <w:rPr>
          <w:sz w:val="24"/>
          <w:szCs w:val="24"/>
        </w:rPr>
        <w:t xml:space="preserve">частей, не</w:t>
      </w:r>
      <w:r>
        <w:rPr>
          <w:sz w:val="24"/>
          <w:szCs w:val="24"/>
        </w:rPr>
        <w:t xml:space="preserve"> предусмот</w:t>
      </w:r>
      <w:r>
        <w:rPr>
          <w:sz w:val="24"/>
          <w:szCs w:val="24"/>
        </w:rPr>
        <w:t xml:space="preserve">ренных прейскурантами отпускных </w:t>
      </w:r>
      <w:r>
        <w:rPr>
          <w:sz w:val="24"/>
          <w:szCs w:val="24"/>
        </w:rPr>
        <w:t xml:space="preserve">цен </w:t>
      </w:r>
      <w:r>
        <w:rPr>
          <w:sz w:val="24"/>
          <w:szCs w:val="24"/>
        </w:rPr>
        <w:t xml:space="preserve">на техническое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обслуживание, взимается</w:t>
      </w:r>
      <w:r>
        <w:rPr>
          <w:sz w:val="24"/>
          <w:szCs w:val="24"/>
        </w:rPr>
        <w:t xml:space="preserve"> с </w:t>
      </w:r>
      <w:r>
        <w:rPr>
          <w:b/>
          <w:sz w:val="24"/>
          <w:szCs w:val="24"/>
        </w:rPr>
        <w:t xml:space="preserve">«ЗАКАЗЧИКА»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фактическим расходам.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1"/>
          <w:numId w:val="2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является твердой на весь срок исполнения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. Источник финансирования - средства федерального бюджета.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tabs>
          <w:tab w:val="clear" w:pos="1418" w:leader="none"/>
          <w:tab w:val="left" w:pos="15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left="0"/>
        <w:jc w:val="center"/>
        <w:tabs>
          <w:tab w:val="clear" w:pos="1418" w:leader="none"/>
          <w:tab w:val="left" w:pos="15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  ПЛАТЕЖИ И РАСЧЕТЫ ПО </w:t>
      </w:r>
      <w:r>
        <w:rPr>
          <w:sz w:val="24"/>
          <w:szCs w:val="24"/>
        </w:rPr>
        <w:t xml:space="preserve">КОНТРАТК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Основанием для оплаты технического обслуживания медицинской техники</w:t>
      </w:r>
      <w:r>
        <w:rPr>
          <w:sz w:val="24"/>
          <w:szCs w:val="24"/>
        </w:rPr>
        <w:t xml:space="preserve"> и оборудования</w:t>
      </w:r>
      <w:r>
        <w:rPr>
          <w:sz w:val="24"/>
          <w:szCs w:val="24"/>
        </w:rPr>
        <w:t xml:space="preserve"> является счет, подтвержденн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«Актом </w:t>
      </w:r>
      <w:r>
        <w:rPr>
          <w:sz w:val="24"/>
          <w:szCs w:val="24"/>
        </w:rPr>
        <w:t xml:space="preserve">выполненных </w:t>
      </w:r>
      <w:r>
        <w:rPr>
          <w:sz w:val="24"/>
          <w:szCs w:val="24"/>
        </w:rPr>
        <w:t xml:space="preserve">работ» и </w:t>
      </w:r>
      <w:r>
        <w:rPr>
          <w:sz w:val="24"/>
          <w:szCs w:val="24"/>
        </w:rPr>
        <w:t xml:space="preserve">подписанный</w:t>
      </w:r>
      <w:r>
        <w:rPr>
          <w:sz w:val="24"/>
          <w:szCs w:val="24"/>
        </w:rPr>
        <w:t xml:space="preserve"> Сторонами Акт приемки товаров.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20"/>
        </w:numPr>
        <w:ind w:left="426" w:hanging="426"/>
        <w:spacing w:line="240" w:lineRule="auto"/>
        <w:tabs>
          <w:tab w:val="clear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итогам приемки оказанных услуг  оформляет Акт приемки товаров, работ, услуг (ф.     0510452). Акт формируется на основании документов, предоставленных </w:t>
      </w:r>
      <w:r>
        <w:rPr>
          <w:sz w:val="24"/>
          <w:szCs w:val="24"/>
        </w:rPr>
        <w:t xml:space="preserve">«ИСПОЛНИТЕЛЕМ»</w:t>
      </w:r>
      <w:r>
        <w:rPr>
          <w:sz w:val="24"/>
          <w:szCs w:val="24"/>
        </w:rPr>
        <w:t xml:space="preserve"> и подтверждающих оказания 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20"/>
        </w:numPr>
        <w:ind w:left="426" w:hanging="426"/>
        <w:spacing w:line="240" w:lineRule="auto"/>
        <w:tabs>
          <w:tab w:val="clear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Оплата за, оказанн</w:t>
      </w:r>
      <w:r>
        <w:rPr>
          <w:sz w:val="24"/>
          <w:szCs w:val="24"/>
        </w:rPr>
        <w:t xml:space="preserve">ую слугу производиться после подписания Акта приемки (ф. 0510452).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20"/>
        </w:numPr>
        <w:ind w:left="426" w:hanging="426"/>
        <w:spacing w:line="240" w:lineRule="auto"/>
        <w:tabs>
          <w:tab w:val="clear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(ЭДО) с соблюдением требований российского законодательства, действующих на дату отправки документа.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20"/>
        </w:numPr>
        <w:ind w:left="426" w:hanging="426"/>
        <w:spacing w:line="240" w:lineRule="auto"/>
        <w:tabs>
          <w:tab w:val="clear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отсутствие организационно-технической возможности составления Акта приемки (ф. 0510452) в электронной форме Акт формируется на бумажном носителе и подписывается </w:t>
      </w:r>
      <w:r>
        <w:rPr>
          <w:sz w:val="24"/>
          <w:szCs w:val="24"/>
        </w:rPr>
        <w:t xml:space="preserve">«ЗАКАЗЧИКОМ»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«ИСПОЛНИТЕЛЕМ»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20"/>
        </w:numPr>
        <w:ind w:left="426" w:hanging="426"/>
        <w:spacing w:line="240" w:lineRule="auto"/>
        <w:tabs>
          <w:tab w:val="clear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Предварительно Акт приемки (ф. 0510452) может быть направлен </w:t>
      </w:r>
      <w:r>
        <w:rPr>
          <w:sz w:val="24"/>
          <w:szCs w:val="24"/>
        </w:rPr>
        <w:t xml:space="preserve">«ИСПОЛНИТЕЛЮ»</w:t>
      </w:r>
      <w:r>
        <w:rPr>
          <w:sz w:val="24"/>
          <w:szCs w:val="24"/>
        </w:rPr>
        <w:t xml:space="preserve"> электронной почтой, с досылкой оригинала письмом. Оригинал Акта приемки </w:t>
      </w:r>
      <w:r>
        <w:rPr>
          <w:sz w:val="24"/>
          <w:szCs w:val="24"/>
        </w:rPr>
        <w:t xml:space="preserve">«ИСПОЛНИТЕЛЬ»</w:t>
      </w:r>
      <w:r>
        <w:rPr>
          <w:sz w:val="24"/>
          <w:szCs w:val="24"/>
        </w:rPr>
        <w:t xml:space="preserve"> обязан вернуть в адрес </w:t>
      </w:r>
      <w:r>
        <w:rPr>
          <w:sz w:val="24"/>
          <w:szCs w:val="24"/>
        </w:rPr>
        <w:t xml:space="preserve">«ЗАКАЗЧИКА»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20"/>
        </w:numPr>
        <w:ind w:left="426" w:hanging="426"/>
        <w:spacing w:line="240" w:lineRule="auto"/>
        <w:tabs>
          <w:tab w:val="clear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</w:t>
      </w:r>
      <w:r>
        <w:rPr>
          <w:sz w:val="24"/>
          <w:szCs w:val="24"/>
        </w:rPr>
        <w:t xml:space="preserve">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6" w:hanging="426"/>
        <w:jc w:val="both"/>
        <w:tabs>
          <w:tab w:val="left" w:pos="360" w:leader="none"/>
        </w:tabs>
        <w:rPr>
          <w:sz w:val="24"/>
          <w:szCs w:val="24"/>
        </w:rPr>
      </w:pPr>
      <w:r>
        <w:t xml:space="preserve">5.8</w:t>
      </w:r>
      <w:r>
        <w:rPr>
          <w:sz w:val="24"/>
          <w:szCs w:val="24"/>
        </w:rPr>
        <w:t xml:space="preserve"> Сумма, выставленная в счете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должна быть перечислена на расчетный счет «</w:t>
      </w:r>
      <w:r>
        <w:rPr>
          <w:b/>
          <w:sz w:val="24"/>
          <w:szCs w:val="24"/>
        </w:rPr>
        <w:t xml:space="preserve">ИСПОЛНИТЕЛЯ</w:t>
      </w:r>
      <w:r>
        <w:rPr>
          <w:sz w:val="24"/>
          <w:szCs w:val="24"/>
        </w:rPr>
        <w:t xml:space="preserve">» со дня выставления счета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течение 7 рабочих</w:t>
      </w:r>
      <w:r>
        <w:rPr>
          <w:sz w:val="24"/>
          <w:szCs w:val="24"/>
        </w:rPr>
        <w:t xml:space="preserve"> дней.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1"/>
        </w:numPr>
        <w:ind w:left="0" w:firstLine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СРОК</w:t>
      </w:r>
      <w:r>
        <w:rPr>
          <w:b/>
          <w:sz w:val="24"/>
          <w:szCs w:val="24"/>
        </w:rPr>
        <w:t xml:space="preserve"> ДЕЙСТВИЯ </w:t>
      </w:r>
      <w:r>
        <w:rPr>
          <w:b/>
          <w:sz w:val="24"/>
          <w:szCs w:val="24"/>
        </w:rPr>
        <w:t xml:space="preserve">КОНТРАКТА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действия настоящего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 устанавливается </w:t>
      </w:r>
      <w:r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 xml:space="preserve">момента подписания </w:t>
      </w:r>
      <w:r>
        <w:rPr>
          <w:b/>
          <w:sz w:val="24"/>
          <w:szCs w:val="24"/>
        </w:rPr>
        <w:t xml:space="preserve">по «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декабр</w:t>
      </w:r>
      <w:r>
        <w:rPr>
          <w:b/>
          <w:sz w:val="24"/>
          <w:szCs w:val="24"/>
        </w:rPr>
        <w:t xml:space="preserve">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оказания услуг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устанавливается </w:t>
      </w:r>
      <w:r>
        <w:rPr>
          <w:b/>
          <w:sz w:val="24"/>
          <w:szCs w:val="24"/>
        </w:rPr>
        <w:t xml:space="preserve">с момента подписания по «3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октября</w:t>
      </w:r>
      <w:r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г.</w:t>
      </w:r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3"/>
        </w:numPr>
        <w:ind w:left="0" w:firstLine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ИЗМЕНЕНИЯ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ДОПОЛНЕНИЯ И РАСТОРЖЕНИЕ </w:t>
      </w:r>
      <w:r>
        <w:rPr>
          <w:b/>
          <w:sz w:val="24"/>
          <w:szCs w:val="24"/>
        </w:rPr>
        <w:t xml:space="preserve">КОНТРА</w:t>
      </w:r>
      <w:r>
        <w:rPr>
          <w:b/>
          <w:sz w:val="24"/>
          <w:szCs w:val="24"/>
        </w:rPr>
        <w:t xml:space="preserve">КТА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изменения платежных реквизитов сторонам необходимо уведомить друг друга в 3-х дневной срок с момента изменения.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Дополнение и расторжение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 до истечения срока его действия может иметь место по письменному согласию сторон после предупреждения за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5"/>
        </w:numPr>
        <w:ind w:left="0" w:firstLine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ПОРЯДОК </w:t>
      </w:r>
      <w:r>
        <w:rPr>
          <w:b/>
          <w:sz w:val="24"/>
          <w:szCs w:val="24"/>
        </w:rPr>
        <w:t xml:space="preserve">РАССМОТРЕНИЯ </w:t>
      </w:r>
      <w:r>
        <w:rPr>
          <w:b/>
          <w:sz w:val="24"/>
          <w:szCs w:val="24"/>
        </w:rPr>
        <w:t xml:space="preserve">СПОРОВ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</w:t>
      </w:r>
      <w:r>
        <w:rPr>
          <w:sz w:val="24"/>
          <w:szCs w:val="24"/>
        </w:rPr>
        <w:t xml:space="preserve">договорились</w:t>
      </w:r>
      <w:r>
        <w:rPr>
          <w:sz w:val="24"/>
          <w:szCs w:val="24"/>
        </w:rPr>
        <w:t xml:space="preserve"> принимать все меры к разрешению разногласий между ними двусторонними переговорами.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1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случае если стороны не достигли взаимного </w:t>
      </w:r>
      <w:r>
        <w:rPr>
          <w:sz w:val="24"/>
          <w:szCs w:val="24"/>
        </w:rPr>
        <w:t xml:space="preserve">согласия споры</w:t>
      </w:r>
      <w:r>
        <w:rPr>
          <w:sz w:val="24"/>
          <w:szCs w:val="24"/>
        </w:rPr>
        <w:t xml:space="preserve"> рассматриваются в соответствии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действующим</w:t>
      </w:r>
      <w:r>
        <w:rPr>
          <w:sz w:val="24"/>
          <w:szCs w:val="24"/>
        </w:rPr>
        <w:t xml:space="preserve"> законодательством в А</w:t>
      </w:r>
      <w:r>
        <w:rPr>
          <w:sz w:val="24"/>
          <w:szCs w:val="24"/>
        </w:rPr>
        <w:t xml:space="preserve">рбитражном суде</w:t>
      </w:r>
      <w:r>
        <w:rPr>
          <w:sz w:val="24"/>
          <w:szCs w:val="24"/>
        </w:rPr>
        <w:t xml:space="preserve"> Хабаровского края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3"/>
        <w:numPr>
          <w:ilvl w:val="0"/>
          <w:numId w:val="17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АДРЕСА И РЕКВИЗИТЫ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3"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216" w:type="dxa"/>
        <w:tblLook w:val="04A0" w:firstRow="1" w:lastRow="0" w:firstColumn="1" w:lastColumn="0" w:noHBand="0" w:noVBand="1"/>
      </w:tblPr>
      <w:tblGrid>
        <w:gridCol w:w="4957"/>
        <w:gridCol w:w="5259"/>
      </w:tblGrid>
      <w:tr>
        <w:tblPrEx/>
        <w:trPr>
          <w:trHeight w:val="10"/>
        </w:trPr>
        <w:tc>
          <w:tcPr>
            <w:shd w:val="clear" w:color="auto" w:fill="auto"/>
            <w:tcW w:w="4957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«ИСПОЛНИТЕЛЬ»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259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«ЗАКАЗЧИК»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0"/>
        </w:trPr>
        <w:tc>
          <w:tcPr>
            <w:shd w:val="clear" w:color="auto" w:fill="auto"/>
            <w:tcW w:w="495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ООО «МЕДЭЛЕКТРОНИКА»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ИНН: 2724185582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КПП: 272201001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680028, Хабаровский край, г. Хабаровск, пер. Госпитальный, д. 1, пом. I (14-19)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+7 (4212) </w:t>
            </w:r>
            <w:r>
              <w:rPr>
                <w:sz w:val="24"/>
                <w:szCs w:val="24"/>
              </w:rPr>
              <w:t xml:space="preserve">305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207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medelectron27@yandex.ru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Банковские реквизиты: филиал «Центральный» Банка ВТБ (ПАО) в г. Москве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044525411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30101810145250000411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40702810800020009096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259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ФКУ «ГБ МСЭ по Хабаровскому краю»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Минтруда России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680000, Хабаровский край,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Хабаровск, ул. Фрунзе, д. 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(4212) 31 29 38, 31-49-83, 32-53-94 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</w:t>
            </w:r>
            <w:r>
              <w:fldChar w:fldCharType="begin"/>
            </w:r>
            <w:r>
              <w:rPr>
                <w:lang w:val="en-US"/>
              </w:rPr>
              <w:instrText xml:space="preserve"> HYPERLINK "mailto:urist@mse27.ru" </w:instrText>
            </w:r>
            <w:r>
              <w:fldChar w:fldCharType="separate"/>
            </w:r>
            <w:r>
              <w:rPr>
                <w:rStyle w:val="889"/>
                <w:color w:val="auto"/>
                <w:sz w:val="24"/>
                <w:szCs w:val="24"/>
                <w:lang w:val="en-US"/>
              </w:rPr>
              <w:t xml:space="preserve">urist@mse27.ru</w:t>
            </w:r>
            <w:r>
              <w:rPr>
                <w:rStyle w:val="889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Style w:val="889"/>
                <w:color w:val="auto"/>
                <w:sz w:val="24"/>
                <w:szCs w:val="24"/>
                <w:lang w:val="en-US"/>
              </w:rPr>
              <w:t xml:space="preserve">, finans@mse27.ru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2721122030   КПП 272101001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ОКПО 74564830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ОКЦ № 1 Д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ГУ БАНКА РОССИИ//УФК по Приморскому краю г. Владивосток</w:t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</w:p>
          <w:p>
            <w:pPr>
              <w:jc w:val="both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УФК по Приморскому краю (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ФКУ «ГБ МСЭ по Хабаровскому краю» Минтруда России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л/с 03221А74300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)</w:t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</w:p>
          <w:p>
            <w:pPr>
              <w:jc w:val="both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Банковский счет: 40102810545370000012</w:t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</w:p>
          <w:p>
            <w:pPr>
              <w:jc w:val="both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Казначейский счет: 03211643000000012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006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БИК 010507002</w:t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</w:p>
          <w:p>
            <w:pPr>
              <w:pStyle w:val="8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"/>
        </w:trPr>
        <w:tc>
          <w:tcPr>
            <w:shd w:val="clear" w:color="auto" w:fill="auto"/>
            <w:tcW w:w="495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259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shd w:val="clear" w:color="auto" w:fill="auto"/>
            <w:tcW w:w="4957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Начальник тендерного отдела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259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И.о. руководителя-главного эксперта по медико-социальной экспертизе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shd w:val="clear" w:color="auto" w:fill="auto"/>
            <w:tcW w:w="4957" w:type="dxa"/>
            <w:textDirection w:val="lrTb"/>
            <w:noWrap w:val="false"/>
          </w:tcPr>
          <w:p>
            <w:pPr>
              <w:pStyle w:val="885"/>
              <w:tabs>
                <w:tab w:val="left" w:pos="4820" w:leader="none"/>
              </w:tabs>
              <w:rPr>
                <w:sz w:val="24"/>
                <w:szCs w:val="24"/>
              </w:rPr>
              <w:pBdr>
                <w:between w:val="single" w:color="000000" w:sz="6" w:space="1"/>
              </w:pBdr>
            </w:pPr>
            <w:r>
              <w:rPr>
                <w:sz w:val="24"/>
                <w:szCs w:val="24"/>
              </w:rPr>
              <w:t xml:space="preserve">_________________________ В.Ю. Редин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2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Е.Г. Иваненко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"/>
        </w:trPr>
        <w:tc>
          <w:tcPr>
            <w:shd w:val="clear" w:color="auto" w:fill="auto"/>
            <w:tcW w:w="495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</w:t>
            </w:r>
            <w:r>
              <w:rPr>
                <w:sz w:val="24"/>
                <w:szCs w:val="24"/>
              </w:rPr>
              <w:t xml:space="preserve">____»_______________________2026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2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  <w:t xml:space="preserve">_»_</w:t>
            </w:r>
            <w:r>
              <w:rPr>
                <w:sz w:val="24"/>
                <w:szCs w:val="24"/>
              </w:rPr>
              <w:t xml:space="preserve">______________________2026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1260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143"/>
        <w:jc w:val="right"/>
      </w:pPr>
      <w:r>
        <w:t xml:space="preserve">                                                                      </w:t>
      </w:r>
      <w:r>
        <w:t xml:space="preserve">П</w:t>
      </w:r>
      <w:r>
        <w:t xml:space="preserve">риложение</w:t>
      </w:r>
      <w:r>
        <w:t xml:space="preserve"> № 1</w:t>
      </w:r>
      <w:r>
        <w:t xml:space="preserve"> </w:t>
      </w:r>
      <w:r/>
    </w:p>
    <w:p>
      <w:pPr>
        <w:ind w:left="1260" w:right="-143"/>
        <w:jc w:val="right"/>
      </w:pPr>
      <w:r>
        <w:t xml:space="preserve">                                                                                        </w:t>
      </w:r>
      <w:r>
        <w:t xml:space="preserve">к </w:t>
      </w:r>
      <w:r>
        <w:t xml:space="preserve">Контракт</w:t>
      </w:r>
      <w:r>
        <w:t xml:space="preserve">у </w:t>
      </w:r>
      <w:r>
        <w:t xml:space="preserve">№100087882126100034</w:t>
      </w:r>
      <w:r>
        <w:t xml:space="preserve"> </w:t>
      </w:r>
      <w:r/>
    </w:p>
    <w:p>
      <w:pPr>
        <w:ind w:right="-143"/>
        <w:jc w:val="right"/>
      </w:pPr>
      <w:r>
        <w:t xml:space="preserve">                                                                                                                                  </w:t>
      </w:r>
      <w:r>
        <w:t xml:space="preserve"> №</w:t>
      </w:r>
      <w:r>
        <w:t xml:space="preserve">      </w:t>
      </w:r>
      <w:r>
        <w:t xml:space="preserve">от «</w:t>
      </w:r>
      <w:r>
        <w:t xml:space="preserve">___</w:t>
      </w:r>
      <w:r>
        <w:t xml:space="preserve">» </w:t>
      </w:r>
      <w:r>
        <w:t xml:space="preserve">_________</w:t>
      </w:r>
      <w:r>
        <w:t xml:space="preserve"> 20</w:t>
      </w:r>
      <w:r>
        <w:t xml:space="preserve">2</w:t>
      </w:r>
      <w:r>
        <w:t xml:space="preserve">6</w:t>
      </w:r>
      <w:r>
        <w:t xml:space="preserve"> года.</w:t>
      </w:r>
      <w:r/>
    </w:p>
    <w:p>
      <w:pPr>
        <w:jc w:val="center"/>
      </w:pPr>
      <w:r>
        <w:t xml:space="preserve">Спецификация</w:t>
      </w:r>
      <w:r/>
    </w:p>
    <w:tbl>
      <w:tblPr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04"/>
        <w:gridCol w:w="3325"/>
        <w:gridCol w:w="2409"/>
        <w:gridCol w:w="3261"/>
        <w:gridCol w:w="1276"/>
      </w:tblGrid>
      <w:tr>
        <w:tblPrEx/>
        <w:trPr>
          <w:trHeight w:val="51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 xml:space="preserve">п</w:t>
            </w:r>
            <w:r>
              <w:rPr>
                <w:color w:val="000000" w:themeColor="text1"/>
              </w:rPr>
              <w:t xml:space="preserve">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Инвент</w:t>
            </w:r>
            <w:r>
              <w:rPr>
                <w:color w:val="000000" w:themeColor="text1"/>
              </w:rPr>
              <w:t xml:space="preserve">. Номер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Место нахождения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Ст-с</w:t>
            </w:r>
            <w:r>
              <w:rPr>
                <w:color w:val="000000" w:themeColor="text1"/>
              </w:rPr>
              <w:t xml:space="preserve">ть</w:t>
            </w:r>
            <w:r>
              <w:rPr>
                <w:color w:val="000000" w:themeColor="text1"/>
              </w:rPr>
              <w:t xml:space="preserve"> 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Кочнева, 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Кочнева, 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Павловича,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3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Серышева, 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пер. Госпитальный,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Фрунзе, 67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ДОС, 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Павловича,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Узловая, 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пер. Госпитальный,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Фрунзе, 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пер. Госпитальный,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Кочнева, 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ДОС, 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пер. Госпитальный,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пер. Госпитальный,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Павловича,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2011-5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Узловая, 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Фрунзе, 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Павловича,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облучатель настенный «ОРУБн-3-3-Кронт» (Дезар-3) 12606,44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110134/846291219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Фрунзе</w:t>
            </w:r>
            <w:r>
              <w:rPr>
                <w:color w:val="000000" w:themeColor="text1"/>
              </w:rPr>
              <w:t xml:space="preserve"> ,</w:t>
            </w:r>
            <w:r>
              <w:rPr>
                <w:color w:val="000000" w:themeColor="text1"/>
              </w:rPr>
              <w:t xml:space="preserve">каб</w:t>
            </w:r>
            <w:r>
              <w:rPr>
                <w:color w:val="000000" w:themeColor="text1"/>
              </w:rPr>
              <w:t xml:space="preserve"> №218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облучатель настенный «ОРУБн-3-3-Кронт» (Дезар-3) 12606,44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110134/846291217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</w:t>
            </w:r>
            <w:r>
              <w:rPr>
                <w:color w:val="000000" w:themeColor="text1"/>
              </w:rPr>
              <w:t xml:space="preserve">Фрунзе</w:t>
            </w:r>
            <w:r>
              <w:rPr>
                <w:color w:val="000000" w:themeColor="text1"/>
              </w:rPr>
              <w:t xml:space="preserve"> ,</w:t>
            </w:r>
            <w:r>
              <w:rPr>
                <w:color w:val="000000" w:themeColor="text1"/>
              </w:rPr>
              <w:t xml:space="preserve">каб</w:t>
            </w:r>
            <w:r>
              <w:rPr>
                <w:color w:val="000000" w:themeColor="text1"/>
              </w:rPr>
              <w:t xml:space="preserve"> №201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облучатель настенный «ОРУБн-3-5-Кронт» (Дезар-5) 15700,00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110134/771281219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ДОС, </w:t>
            </w:r>
            <w:r>
              <w:rPr>
                <w:color w:val="000000" w:themeColor="text1"/>
              </w:rPr>
              <w:t xml:space="preserve">каб</w:t>
            </w:r>
            <w:r>
              <w:rPr>
                <w:color w:val="000000" w:themeColor="text1"/>
              </w:rPr>
              <w:t xml:space="preserve">. №2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облучатель настенный «ОРУБн-3-3-Кронт» (Дезар-3) 12606,44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110134/846291218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ДОС, </w:t>
            </w:r>
            <w:r>
              <w:rPr>
                <w:color w:val="000000" w:themeColor="text1"/>
              </w:rPr>
              <w:t xml:space="preserve">каб</w:t>
            </w:r>
            <w:r>
              <w:rPr>
                <w:color w:val="000000" w:themeColor="text1"/>
              </w:rPr>
              <w:t xml:space="preserve">. №4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облучатель настенный «ОРУБн-3-5-Кронт» (Дезар-5) 15700,00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110134/771281218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</w:t>
            </w:r>
            <w:r>
              <w:rPr>
                <w:color w:val="000000" w:themeColor="text1"/>
              </w:rPr>
              <w:t xml:space="preserve">Госпитальный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каб</w:t>
            </w:r>
            <w:r>
              <w:rPr>
                <w:color w:val="000000" w:themeColor="text1"/>
              </w:rPr>
              <w:t xml:space="preserve">. № 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облучатель-</w:t>
            </w:r>
            <w:r>
              <w:rPr>
                <w:color w:val="000000" w:themeColor="text1"/>
              </w:rPr>
              <w:t xml:space="preserve">рециркулятор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бактерицидный</w:t>
            </w:r>
            <w:r>
              <w:rPr>
                <w:color w:val="000000" w:themeColor="text1"/>
              </w:rPr>
              <w:t xml:space="preserve"> закрытого типа напольный 70м3, ОРУБ-01-04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ч7-779\5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Николаевск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Облучатель напольный передвижной "ОРУБп-3-3-Кронт" (Дезар-4)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110134/771291217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Ванино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Дезар-4 (Облучатель "Оруб-03-КРОНТ-4")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Х661.310.101.04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Ванино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Дезар-4 (Облучатель "Оруб-03-КРОНТ-4")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х663.310.101.04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Сов. Гавань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облучатель-</w:t>
            </w:r>
            <w:r>
              <w:rPr>
                <w:color w:val="000000" w:themeColor="text1"/>
              </w:rPr>
              <w:t xml:space="preserve">рециркулятор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бактерицидный</w:t>
            </w:r>
            <w:r>
              <w:rPr>
                <w:color w:val="000000" w:themeColor="text1"/>
              </w:rPr>
              <w:t xml:space="preserve"> закрытого типа напольный 70м3, ОРУБ-01-04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ч7-779\6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Сов. Гавань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1862,00</w:t>
            </w:r>
            <w:r>
              <w:rPr>
                <w:color w:val="ff0000" w:themeColor="text1"/>
              </w:rPr>
            </w:r>
            <w:r/>
          </w:p>
        </w:tc>
      </w:tr>
      <w:tr>
        <w:tblPrEx/>
        <w:trPr>
          <w:trHeight w:val="255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5" w:type="pct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ИТОГО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55 860,00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left="-142"/>
      </w:pPr>
      <w:r/>
      <w:r/>
    </w:p>
    <w:p>
      <w:pPr>
        <w:pStyle w:val="893"/>
        <w:numPr>
          <w:ilvl w:val="0"/>
          <w:numId w:val="26"/>
        </w:numPr>
      </w:pPr>
      <w:r>
        <w:t xml:space="preserve">Стартеры для люминесцентных ламп TDM S2 4-22W, 127V (можно универсальный) 9 шт.</w:t>
      </w:r>
      <w:r/>
    </w:p>
    <w:p>
      <w:pPr>
        <w:pStyle w:val="893"/>
        <w:numPr>
          <w:ilvl w:val="0"/>
          <w:numId w:val="26"/>
        </w:numPr>
      </w:pPr>
      <w:r>
        <w:t xml:space="preserve">Стартеры для люминесцентных ламп TDM S10 4-80W, 230 V (можно универсальный) 9 шт.</w:t>
      </w:r>
      <w:r/>
    </w:p>
    <w:p>
      <w:pPr>
        <w:pStyle w:val="893"/>
        <w:numPr>
          <w:ilvl w:val="0"/>
          <w:numId w:val="26"/>
        </w:numPr>
      </w:pPr>
      <w:r>
        <w:t xml:space="preserve">Лампа ультрафиолетовая </w:t>
      </w:r>
      <w:r>
        <w:t xml:space="preserve">безозоновая</w:t>
      </w:r>
      <w:r>
        <w:t xml:space="preserve"> бактерицидная (мощностью 15W) 33 шт</w:t>
      </w:r>
      <w:r>
        <w:t xml:space="preserve">.</w:t>
      </w:r>
      <w:r/>
    </w:p>
    <w:p>
      <w:pPr>
        <w:pStyle w:val="893"/>
        <w:ind w:left="218"/>
      </w:pPr>
      <w:r/>
      <w:r/>
    </w:p>
    <w:p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>
        <w:tblPrEx/>
        <w:trPr/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«ИСПОЛНИТЕЛЬ»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«ЗАКАЗЧИК»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Начальник тендерного отдела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r>
              <w:rPr>
                <w:b/>
              </w:rPr>
            </w:r>
            <w:r/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pStyle w:val="888"/>
            </w:pPr>
            <w:r>
              <w:rPr>
                <w:b/>
              </w:rPr>
              <w:t xml:space="preserve">И.о. руководителя-главного эксперта по медико-социальной экспертизе</w:t>
            </w:r>
            <w:r/>
          </w:p>
        </w:tc>
      </w:tr>
      <w:tr>
        <w:tblPrEx/>
        <w:trPr>
          <w:trHeight w:val="396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_________________________</w:t>
            </w:r>
            <w:r>
              <w:t xml:space="preserve"> В.Ю. Редин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________________________  Е.Г. Иваненко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pStyle w:val="885"/>
              <w:tabs>
                <w:tab w:val="left" w:pos="4820" w:leader="none"/>
              </w:tabs>
              <w:pBdr>
                <w:between w:val="single" w:color="000000" w:sz="6" w:space="1"/>
              </w:pBdr>
            </w:pPr>
            <w:r>
              <w:t xml:space="preserve">«__</w:t>
            </w:r>
            <w:r>
              <w:t xml:space="preserve">___»_______________________2026</w:t>
            </w:r>
            <w:r>
              <w:t xml:space="preserve"> </w:t>
            </w:r>
            <w:r>
              <w:t xml:space="preserve">г.</w:t>
            </w:r>
            <w:r/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</w:pPr>
            <w:r>
              <w:t xml:space="preserve">«_</w:t>
            </w:r>
            <w:r>
              <w:t xml:space="preserve">____»_______________________2026</w:t>
            </w:r>
            <w:r>
              <w:t xml:space="preserve"> г.</w:t>
            </w:r>
            <w:r/>
          </w:p>
        </w:tc>
      </w:tr>
      <w:tr>
        <w:tblPrEx/>
        <w:trPr>
          <w:trHeight w:val="237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ind w:left="1260"/>
      </w:pPr>
      <w:r/>
      <w:r/>
    </w:p>
    <w:p>
      <w:pPr>
        <w:ind w:left="1260"/>
      </w:pPr>
      <w:r/>
      <w:r/>
    </w:p>
    <w:p>
      <w:pPr>
        <w:ind w:left="1260"/>
      </w:pPr>
      <w:r/>
      <w:r/>
    </w:p>
    <w:p>
      <w:pPr>
        <w:ind w:left="1260" w:right="-1"/>
        <w:jc w:val="right"/>
      </w:pPr>
      <w:r>
        <w:t xml:space="preserve">П</w:t>
      </w:r>
      <w:r>
        <w:t xml:space="preserve">риложение</w:t>
      </w:r>
      <w:r>
        <w:t xml:space="preserve"> № 2</w:t>
      </w:r>
      <w:r>
        <w:t xml:space="preserve"> </w:t>
      </w:r>
      <w:r/>
    </w:p>
    <w:p>
      <w:pPr>
        <w:ind w:left="1260" w:right="-1"/>
        <w:jc w:val="right"/>
      </w:pPr>
      <w:r>
        <w:t xml:space="preserve">к </w:t>
      </w:r>
      <w:r>
        <w:t xml:space="preserve">Контракт</w:t>
      </w:r>
      <w:r>
        <w:t xml:space="preserve">у </w:t>
      </w:r>
      <w:r>
        <w:t xml:space="preserve">№ </w:t>
      </w:r>
      <w:r>
        <w:t xml:space="preserve">100087882126100034</w:t>
      </w:r>
      <w:r>
        <w:t xml:space="preserve"> </w:t>
      </w:r>
      <w:r/>
    </w:p>
    <w:p>
      <w:pPr>
        <w:ind w:left="1260" w:right="-1"/>
        <w:jc w:val="right"/>
      </w:pPr>
      <w:r>
        <w:t xml:space="preserve">                                                              </w:t>
      </w:r>
      <w:r>
        <w:t xml:space="preserve">№</w:t>
      </w:r>
      <w:r>
        <w:t xml:space="preserve">   </w:t>
      </w:r>
      <w:r>
        <w:t xml:space="preserve">от «</w:t>
      </w:r>
      <w:r>
        <w:t xml:space="preserve">___</w:t>
      </w:r>
      <w:r>
        <w:t xml:space="preserve">» </w:t>
      </w:r>
      <w:r>
        <w:t xml:space="preserve">_________</w:t>
      </w:r>
      <w:r>
        <w:t xml:space="preserve"> 20</w:t>
      </w:r>
      <w:r>
        <w:t xml:space="preserve">2</w:t>
      </w:r>
      <w:r>
        <w:t xml:space="preserve">6</w:t>
      </w:r>
      <w:r>
        <w:t xml:space="preserve"> </w:t>
      </w:r>
      <w:r>
        <w:t xml:space="preserve">года.</w:t>
      </w:r>
      <w:r/>
    </w:p>
    <w:p>
      <w:pPr>
        <w:ind w:left="1260"/>
        <w:jc w:val="right"/>
      </w:pPr>
      <w:r/>
      <w:r/>
    </w:p>
    <w:p>
      <w:pPr>
        <w:ind w:left="1260"/>
        <w:jc w:val="right"/>
      </w:pPr>
      <w:r/>
      <w:r/>
    </w:p>
    <w:p>
      <w:pPr>
        <w:ind w:left="1260"/>
        <w:jc w:val="center"/>
        <w:rPr>
          <w:b/>
        </w:rPr>
      </w:pPr>
      <w:r>
        <w:rPr>
          <w:b/>
        </w:rPr>
        <w:t xml:space="preserve">Акт технического обслуживания</w:t>
      </w:r>
      <w:r>
        <w:rPr>
          <w:b/>
        </w:rPr>
      </w:r>
      <w:r>
        <w:rPr>
          <w:b/>
        </w:rPr>
      </w:r>
    </w:p>
    <w:p>
      <w:pPr>
        <w:ind w:left="1260"/>
        <w:jc w:val="center"/>
      </w:pPr>
      <w:r/>
      <w:r/>
    </w:p>
    <w:tbl>
      <w:tblPr>
        <w:tblStyle w:val="892"/>
        <w:tblW w:w="10349" w:type="dxa"/>
        <w:tblInd w:w="-176" w:type="dxa"/>
        <w:tblLook w:val="04A0" w:firstRow="1" w:lastRow="0" w:firstColumn="1" w:lastColumn="0" w:noHBand="0" w:noVBand="1"/>
      </w:tblPr>
      <w:tblGrid>
        <w:gridCol w:w="993"/>
        <w:gridCol w:w="2693"/>
        <w:gridCol w:w="1843"/>
        <w:gridCol w:w="1370"/>
        <w:gridCol w:w="1370"/>
        <w:gridCol w:w="2080"/>
      </w:tblGrid>
      <w:tr>
        <w:tblPrEx/>
        <w:trPr>
          <w:trHeight w:val="754"/>
        </w:trPr>
        <w:tc>
          <w:tcPr>
            <w:tcBorders>
              <w:bottom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п/п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</w:t>
            </w:r>
            <w:r>
              <w:rPr>
                <w:b/>
                <w:bCs/>
                <w:color w:val="000000"/>
              </w:rPr>
              <w:t xml:space="preserve">работ, услуг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bottom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Количество 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bottom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Ед.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Цена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single" w:color="auto" w:sz="4" w:space="0"/>
            </w:tcBorders>
            <w:tcW w:w="208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27"/>
        </w:trPr>
        <w:tc>
          <w:tcP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r/>
            <w:r/>
          </w:p>
        </w:tc>
        <w:tc>
          <w:tcPr>
            <w:tcW w:w="1370" w:type="dxa"/>
            <w:textDirection w:val="lrTb"/>
            <w:noWrap w:val="false"/>
          </w:tcPr>
          <w:p>
            <w:r/>
            <w:r/>
          </w:p>
        </w:tc>
        <w:tc>
          <w:tcPr>
            <w:tcW w:w="1370" w:type="dxa"/>
            <w:textDirection w:val="lrTb"/>
            <w:noWrap w:val="false"/>
          </w:tcPr>
          <w:p>
            <w:r/>
            <w:r/>
          </w:p>
        </w:tc>
        <w:tc>
          <w:tcPr>
            <w:tcW w:w="2080" w:type="dxa"/>
            <w:textDirection w:val="lrTb"/>
            <w:noWrap w:val="false"/>
          </w:tcPr>
          <w:p>
            <w:r/>
            <w:r/>
          </w:p>
        </w:tc>
      </w:tr>
    </w:tbl>
    <w:p>
      <w:pPr>
        <w:ind w:left="1260"/>
      </w:pPr>
      <w:r/>
      <w:r/>
    </w:p>
    <w:p>
      <w:pPr>
        <w:ind w:left="1260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>
        <w:tblPrEx/>
        <w:trPr/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«ИСПОЛНИТЕЛЬ»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«ЗАКАЗЧИК»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464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396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тендерного отдела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И.о. руководителя-главного эксперта по медико-социальной экспертизе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pStyle w:val="885"/>
              <w:tabs>
                <w:tab w:val="left" w:pos="4820" w:leader="none"/>
              </w:tabs>
              <w:pBdr>
                <w:between w:val="single" w:color="000000" w:sz="6" w:space="1"/>
              </w:pBdr>
            </w:pPr>
            <w:r>
              <w:t xml:space="preserve">_________________________ </w:t>
            </w:r>
            <w:r>
              <w:t xml:space="preserve">В.Ю. Редин</w:t>
            </w:r>
            <w:r/>
            <w:r/>
            <w:r/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</w:pPr>
            <w:r>
              <w:t xml:space="preserve">________________________ Е.Г. Иваненко</w:t>
            </w:r>
            <w:r>
              <w:t xml:space="preserve"> </w:t>
            </w:r>
            <w:r/>
          </w:p>
        </w:tc>
      </w:tr>
      <w:tr>
        <w:tblPrEx/>
        <w:trPr>
          <w:trHeight w:val="237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</w:pPr>
            <w:r>
              <w:t xml:space="preserve">«_____»_______________________202</w:t>
            </w:r>
            <w:r>
              <w:t xml:space="preserve">6</w:t>
            </w:r>
            <w:r>
              <w:t xml:space="preserve"> </w:t>
            </w:r>
            <w:r>
              <w:t xml:space="preserve">г.</w:t>
            </w:r>
            <w:r/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</w:pPr>
            <w:r>
              <w:t xml:space="preserve">«_____»_______________________202</w:t>
            </w:r>
            <w:r>
              <w:t xml:space="preserve">6</w:t>
            </w:r>
            <w:r>
              <w:t xml:space="preserve"> </w:t>
            </w:r>
            <w:r>
              <w:t xml:space="preserve">г.</w:t>
            </w:r>
            <w:r/>
          </w:p>
        </w:tc>
      </w:tr>
    </w:tbl>
    <w:p>
      <w:pPr>
        <w:ind w:left="1260"/>
      </w:pPr>
      <w:r/>
      <w:r/>
    </w:p>
    <w:p>
      <w:pPr>
        <w:ind w:left="1260"/>
      </w:pPr>
      <w:r/>
      <w:r/>
    </w:p>
    <w:sectPr>
      <w:footnotePr/>
      <w:endnotePr/>
      <w:type w:val="nextPage"/>
      <w:pgSz w:w="11907" w:h="16840" w:orient="portrait"/>
      <w:pgMar w:top="426" w:right="567" w:bottom="426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3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663" w:hanging="45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59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32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358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931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144" w:hanging="1440"/>
      </w:pPr>
      <w:rPr>
        <w:rFonts w:hint="default"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3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 "/>
      <w:legacy w:legacy="1" w:legacyIndent="283" w:legacySpace="0"/>
      <w:lvlJc w:val="left"/>
      <w:pPr>
        <w:ind w:left="2126" w:hanging="283"/>
      </w:pPr>
      <w:rPr>
        <w:b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4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 "/>
      <w:legacy w:legacy="1" w:legacyIndent="283" w:legacySpace="0"/>
      <w:lvlJc w:val="left"/>
      <w:pPr>
        <w:ind w:left="2126" w:hanging="283"/>
      </w:pPr>
      <w:rPr>
        <w:b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7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2011"/>
      <w:numFmt w:val="bullet"/>
      <w:isLgl w:val="false"/>
      <w:suff w:val="tab"/>
      <w:lvlText w:val=""/>
      <w:lvlJc w:val="left"/>
      <w:pPr>
        <w:ind w:left="218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7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53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9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6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"/>
      <w:legacy w:legacy="1" w:legacyIndent="0" w:legacySpace="0"/>
      <w:lvlJc w:val="left"/>
      <w:pPr/>
    </w:lvl>
    <w:lvl w:ilvl="1">
      <w:start w:val="3"/>
      <w:numFmt w:val="decimal"/>
      <w:isLgl w:val="false"/>
      <w:suff w:val="tab"/>
      <w:lvlText w:val="%1.%2"/>
      <w:legacy w:legacy="1" w:legacyIndent="0" w:legacySpace="0"/>
      <w:lvlJc w:val="left"/>
      <w:pPr/>
    </w:lvl>
    <w:lvl w:ilvl="2">
      <w:start w:val="1"/>
      <w:numFmt w:val="decimal"/>
      <w:isLgl w:val="false"/>
      <w:suff w:val="tab"/>
      <w:lvlText w:val="%1.%2.%3"/>
      <w:legacy w:legacy="1" w:legacyIndent="0" w:legacySpace="0"/>
      <w:lvlJc w:val="left"/>
      <w:pPr/>
    </w:lvl>
    <w:lvl w:ilvl="3">
      <w:start w:val="1"/>
      <w:numFmt w:val="decimal"/>
      <w:isLgl w:val="false"/>
      <w:suff w:val="tab"/>
      <w:lvlText w:val="%1.%2.%3.%4"/>
      <w:legacy w:legacy="1" w:legacyIndent="0" w:legacySpace="0"/>
      <w:lvlJc w:val="left"/>
      <w:pPr/>
    </w:lvl>
    <w:lvl w:ilvl="4">
      <w:start w:val="1"/>
      <w:numFmt w:val="decimal"/>
      <w:isLgl w:val="false"/>
      <w:suff w:val="tab"/>
      <w:lvlText w:val="%1.%2.%3.%4.%5"/>
      <w:legacy w:legacy="1" w:legacyIndent="0" w:legacySpace="0"/>
      <w:lvlJc w:val="left"/>
      <w:pPr/>
    </w:lvl>
    <w:lvl w:ilvl="5">
      <w:start w:val="1"/>
      <w:numFmt w:val="decimal"/>
      <w:isLgl w:val="false"/>
      <w:suff w:val="tab"/>
      <w:lvlText w:val="%1.%2.%3.%4.%5.%6"/>
      <w:legacy w:legacy="1" w:legacyIndent="0" w:legacySpace="0"/>
      <w:lvlJc w:val="left"/>
      <w:pPr/>
    </w:lvl>
    <w:lvl w:ilvl="6">
      <w:start w:val="1"/>
      <w:numFmt w:val="decimal"/>
      <w:isLgl w:val="false"/>
      <w:suff w:val="tab"/>
      <w:lvlText w:val="%1.%2.%3.%4.%5.%6.%7"/>
      <w:legacy w:legacy="1" w:legacyIndent="0" w:legacySpace="0"/>
      <w:lvlJc w:val="left"/>
      <w:pPr/>
    </w:lvl>
    <w:lvl w:ilvl="7">
      <w:start w:val="1"/>
      <w:numFmt w:val="decimal"/>
      <w:isLgl w:val="false"/>
      <w:suff w:val="tab"/>
      <w:lvlText w:val="%1.%2.%3.%4.%5.%6.%7.%8"/>
      <w:legacy w:legacy="1" w:legacyIndent="0" w:legacySpace="0"/>
      <w:lvlJc w:val="left"/>
      <w:pPr/>
    </w:lvl>
    <w:lvl w:ilvl="8">
      <w:start w:val="1"/>
      <w:numFmt w:val="decimal"/>
      <w:isLgl w:val="false"/>
      <w:suff w:val="tab"/>
      <w:lvlText w:val="%1.%2.%3.%4.%5.%6.%7.%8.%9"/>
      <w:legacy w:legacy="1" w:legacyIndent="1440" w:legacySpace="120"/>
      <w:lvlJc w:val="left"/>
      <w:pPr>
        <w:ind w:left="144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2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 "/>
      <w:legacy w:legacy="1" w:legacyIndent="283" w:legacySpace="0"/>
      <w:lvlJc w:val="left"/>
      <w:pPr>
        <w:ind w:left="2126" w:hanging="283"/>
      </w:pPr>
      <w:rPr>
        <w:b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 "/>
      <w:legacy w:legacy="1" w:legacyIndent="283" w:legacySpace="0"/>
      <w:lvlJc w:val="left"/>
      <w:pPr>
        <w:ind w:left="1843" w:hanging="283"/>
      </w:pPr>
      <w:rPr>
        <w:b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5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1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left"/>
      <w:pPr>
        <w:ind w:left="1843" w:hanging="283"/>
      </w:pPr>
      <w:rPr>
        <w:b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5.%1 "/>
      <w:legacy w:legacy="1" w:legacyIndent="283" w:legacySpace="0"/>
      <w:lvlJc w:val="left"/>
      <w:pPr>
        <w:ind w:left="283" w:hanging="283"/>
      </w:pPr>
      <w:rPr>
        <w:b w:val="0"/>
        <w:i w:val="0"/>
        <w:color w:val="auto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5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. "/>
      <w:legacy w:legacy="1" w:legacyIndent="283" w:legacySpace="0"/>
      <w:lvlJc w:val="left"/>
      <w:pPr>
        <w:ind w:left="1985" w:hanging="283"/>
      </w:pPr>
      <w:rPr>
        <w:b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8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3"/>
  </w:num>
  <w:num w:numId="5">
    <w:abstractNumId w:val="0"/>
    <w:lvlOverride w:ilvl="0">
      <w:lvl w:ilvl="0">
        <w:start w:val="1"/>
        <w:numFmt w:val="bullet"/>
        <w:isLgl w:val="false"/>
        <w:suff w:val="tab"/>
        <w:lvlText w:val=""/>
        <w:legacy w:legacy="1" w:legacyIndent="283" w:legacySpace="0"/>
        <w:lvlJc w:val="left"/>
        <w:pPr>
          <w:ind w:left="328" w:hanging="283"/>
        </w:pPr>
        <w:rPr>
          <w:rFonts w:hint="default" w:ascii="Wingdings" w:hAnsi="Wingdings"/>
          <w:b w:val="0"/>
          <w:i w:val="0"/>
          <w:sz w:val="20"/>
        </w:rPr>
      </w:lvl>
    </w:lvlOverride>
  </w:num>
  <w:num w:numId="6">
    <w:abstractNumId w:val="13"/>
    <w:lvlOverride w:ilvl="0">
      <w:lvl w:ilvl="0">
        <w:start w:val="2"/>
        <w:numFmt w:val="decimal"/>
        <w:isLgl w:val="false"/>
        <w:suff w:val="tab"/>
        <w:lvlText w:val="2.%1 "/>
        <w:legacy w:legacy="1" w:legacyIndent="283" w:legacySpace="0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7">
    <w:abstractNumId w:val="1"/>
  </w:num>
  <w:num w:numId="8">
    <w:abstractNumId w:val="6"/>
  </w:num>
  <w:num w:numId="9">
    <w:abstractNumId w:val="16"/>
  </w:num>
  <w:num w:numId="10">
    <w:abstractNumId w:val="23"/>
  </w:num>
  <w:num w:numId="11">
    <w:abstractNumId w:val="7"/>
  </w:num>
  <w:num w:numId="12">
    <w:abstractNumId w:val="11"/>
  </w:num>
  <w:num w:numId="13">
    <w:abstractNumId w:val="24"/>
  </w:num>
  <w:num w:numId="14">
    <w:abstractNumId w:val="8"/>
  </w:num>
  <w:num w:numId="15">
    <w:abstractNumId w:val="5"/>
  </w:num>
  <w:num w:numId="16">
    <w:abstractNumId w:val="25"/>
  </w:num>
  <w:num w:numId="17">
    <w:abstractNumId w:val="14"/>
  </w:num>
  <w:num w:numId="18">
    <w:abstractNumId w:val="10"/>
  </w:num>
  <w:num w:numId="19">
    <w:abstractNumId w:val="3"/>
    <w:lvlOverride w:ilvl="0">
      <w:startOverride w:val="1"/>
    </w:lvlOverride>
  </w:num>
  <w:num w:numId="20">
    <w:abstractNumId w:val="19"/>
  </w:num>
  <w:num w:numId="21">
    <w:abstractNumId w:val="12"/>
  </w:num>
  <w:num w:numId="22">
    <w:abstractNumId w:val="4"/>
  </w:num>
  <w:num w:numId="23">
    <w:abstractNumId w:val="20"/>
  </w:num>
  <w:num w:numId="24">
    <w:abstractNumId w:val="22"/>
  </w:num>
  <w:num w:numId="25">
    <w:abstractNumId w:val="2"/>
  </w:num>
  <w:num w:numId="26">
    <w:abstractNumId w:val="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82"/>
    <w:link w:val="878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82"/>
    <w:link w:val="879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82"/>
    <w:link w:val="880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82"/>
    <w:link w:val="881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82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82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82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7"/>
    <w:next w:val="877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82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7"/>
    <w:next w:val="877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82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7"/>
    <w:next w:val="877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82"/>
    <w:link w:val="721"/>
    <w:uiPriority w:val="10"/>
    <w:rPr>
      <w:sz w:val="48"/>
      <w:szCs w:val="48"/>
    </w:rPr>
  </w:style>
  <w:style w:type="paragraph" w:styleId="723">
    <w:name w:val="Subtitle"/>
    <w:basedOn w:val="877"/>
    <w:next w:val="87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82"/>
    <w:link w:val="723"/>
    <w:uiPriority w:val="11"/>
    <w:rPr>
      <w:sz w:val="24"/>
      <w:szCs w:val="24"/>
    </w:rPr>
  </w:style>
  <w:style w:type="paragraph" w:styleId="725">
    <w:name w:val="Quote"/>
    <w:basedOn w:val="877"/>
    <w:next w:val="877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7"/>
    <w:next w:val="877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7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basedOn w:val="882"/>
    <w:link w:val="729"/>
    <w:uiPriority w:val="99"/>
  </w:style>
  <w:style w:type="paragraph" w:styleId="731">
    <w:name w:val="Footer"/>
    <w:basedOn w:val="877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basedOn w:val="882"/>
    <w:link w:val="731"/>
    <w:uiPriority w:val="99"/>
  </w:style>
  <w:style w:type="paragraph" w:styleId="733">
    <w:name w:val="Caption"/>
    <w:basedOn w:val="877"/>
    <w:next w:val="877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882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2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2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ind w:left="426" w:hanging="426"/>
      <w:jc w:val="both"/>
      <w:keepNext/>
      <w:tabs>
        <w:tab w:val="left" w:pos="5124" w:leader="none"/>
      </w:tabs>
      <w:outlineLvl w:val="0"/>
    </w:pPr>
    <w:rPr>
      <w:b/>
    </w:rPr>
  </w:style>
  <w:style w:type="paragraph" w:styleId="879">
    <w:name w:val="Heading 2"/>
    <w:basedOn w:val="877"/>
    <w:next w:val="877"/>
    <w:qFormat/>
    <w:pPr>
      <w:jc w:val="both"/>
      <w:keepNext/>
      <w:tabs>
        <w:tab w:val="left" w:pos="4820" w:leader="none"/>
      </w:tabs>
      <w:outlineLvl w:val="1"/>
    </w:pPr>
    <w:rPr>
      <w:b/>
    </w:rPr>
  </w:style>
  <w:style w:type="paragraph" w:styleId="880">
    <w:name w:val="Heading 3"/>
    <w:basedOn w:val="877"/>
    <w:next w:val="877"/>
    <w:qFormat/>
    <w:pPr>
      <w:jc w:val="center"/>
      <w:keepNext/>
      <w:outlineLvl w:val="2"/>
    </w:pPr>
    <w:rPr>
      <w:b/>
    </w:rPr>
  </w:style>
  <w:style w:type="paragraph" w:styleId="881">
    <w:name w:val="Heading 4"/>
    <w:basedOn w:val="877"/>
    <w:next w:val="877"/>
    <w:qFormat/>
    <w:pPr>
      <w:ind w:left="708"/>
      <w:jc w:val="both"/>
      <w:keepNext/>
      <w:tabs>
        <w:tab w:val="left" w:pos="1418" w:leader="none"/>
      </w:tabs>
      <w:outlineLvl w:val="3"/>
    </w:pPr>
    <w:rPr>
      <w:b/>
    </w:rPr>
  </w:style>
  <w:style w:type="character" w:styleId="882" w:default="1">
    <w:name w:val="Default Paragraph Font"/>
    <w:uiPriority w:val="1"/>
    <w:semiHidden/>
    <w:unhideWhenUsed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paragraph" w:styleId="885" w:customStyle="1">
    <w:name w:val="Основной текст 21"/>
    <w:basedOn w:val="877"/>
    <w:pPr>
      <w:ind w:left="426" w:hanging="426"/>
      <w:jc w:val="both"/>
    </w:pPr>
  </w:style>
  <w:style w:type="paragraph" w:styleId="886" w:customStyle="1">
    <w:name w:val="Основной текст с отступом 21"/>
    <w:basedOn w:val="877"/>
    <w:pPr>
      <w:ind w:left="426" w:hanging="284"/>
      <w:jc w:val="both"/>
    </w:pPr>
  </w:style>
  <w:style w:type="paragraph" w:styleId="887" w:customStyle="1">
    <w:name w:val="Основной текст 22"/>
    <w:basedOn w:val="877"/>
    <w:pPr>
      <w:ind w:left="426" w:hanging="426"/>
      <w:jc w:val="both"/>
    </w:pPr>
    <w:rPr>
      <w:b/>
    </w:rPr>
  </w:style>
  <w:style w:type="paragraph" w:styleId="888">
    <w:name w:val="No Spacing"/>
    <w:uiPriority w:val="1"/>
    <w:qFormat/>
  </w:style>
  <w:style w:type="character" w:styleId="889">
    <w:name w:val="Hyperlink"/>
    <w:uiPriority w:val="99"/>
    <w:unhideWhenUsed/>
    <w:rPr>
      <w:color w:val="0000ff"/>
      <w:u w:val="single"/>
    </w:rPr>
  </w:style>
  <w:style w:type="paragraph" w:styleId="890">
    <w:name w:val="Balloon Text"/>
    <w:basedOn w:val="877"/>
    <w:link w:val="89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1" w:customStyle="1">
    <w:name w:val="Текст выноски Знак"/>
    <w:link w:val="890"/>
    <w:uiPriority w:val="99"/>
    <w:semiHidden/>
    <w:rPr>
      <w:rFonts w:ascii="Segoe UI" w:hAnsi="Segoe UI" w:cs="Segoe UI"/>
      <w:sz w:val="18"/>
      <w:szCs w:val="18"/>
    </w:rPr>
  </w:style>
  <w:style w:type="table" w:styleId="892">
    <w:name w:val="Table Grid"/>
    <w:basedOn w:val="8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>
    <w:name w:val="List Paragraph"/>
    <w:basedOn w:val="877"/>
    <w:uiPriority w:val="34"/>
    <w:qFormat/>
    <w:pPr>
      <w:contextualSpacing/>
      <w:ind w:left="720"/>
    </w:pPr>
  </w:style>
  <w:style w:type="paragraph" w:styleId="894">
    <w:name w:val="Body Text 2"/>
    <w:basedOn w:val="877"/>
    <w:link w:val="895"/>
    <w:uiPriority w:val="99"/>
    <w:pPr>
      <w:ind w:firstLine="709"/>
      <w:jc w:val="both"/>
      <w:spacing w:line="280" w:lineRule="exact"/>
      <w:tabs>
        <w:tab w:val="left" w:pos="709" w:leader="none"/>
      </w:tabs>
    </w:pPr>
    <w:rPr>
      <w:sz w:val="28"/>
      <w:szCs w:val="28"/>
    </w:rPr>
  </w:style>
  <w:style w:type="character" w:styleId="895" w:customStyle="1">
    <w:name w:val="Основной текст 2 Знак"/>
    <w:basedOn w:val="882"/>
    <w:link w:val="894"/>
    <w:uiPriority w:val="99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1EB1-BC28-4BFD-9B10-B726C538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Медтехника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Ульянов Д.Н.</dc:creator>
  <cp:lastModifiedBy>Kudryavtseva-EL</cp:lastModifiedBy>
  <cp:revision>16</cp:revision>
  <dcterms:created xsi:type="dcterms:W3CDTF">2025-04-29T05:54:00Z</dcterms:created>
  <dcterms:modified xsi:type="dcterms:W3CDTF">2026-06-02T06:43:19Z</dcterms:modified>
</cp:coreProperties>
</file>