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28"/>
        <w:gridCol w:w="828"/>
        <w:gridCol w:w="828"/>
        <w:gridCol w:w="828"/>
        <w:gridCol w:w="829"/>
        <w:gridCol w:w="829"/>
        <w:gridCol w:w="829"/>
        <w:gridCol w:w="829"/>
        <w:gridCol w:w="829"/>
        <w:gridCol w:w="829"/>
        <w:gridCol w:w="829"/>
        <w:gridCol w:w="829"/>
        <w:gridCol w:w="829"/>
      </w:tblGrid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  <w:trHeight w:val="552"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4125" w:type="dxa"/>
            <w:gridSpan w:val="5"/>
            <w:vMerge w:val="restart"/>
            <w:shd w:val="clear" w:color="auto" w:fill="auto"/>
            <w:vAlign w:val="bottom"/>
          </w:tcPr>
          <w:p w:rsidR="00790A71" w:rsidRDefault="00790A71">
            <w:pPr>
              <w:jc w:val="right"/>
            </w:pPr>
          </w:p>
        </w:tc>
      </w:tr>
      <w:tr w:rsidR="00790A71">
        <w:trPr>
          <w:cantSplit/>
          <w:trHeight w:val="197"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>
            <w:bookmarkStart w:id="0" w:name="_GoBack"/>
            <w:bookmarkEnd w:id="0"/>
          </w:p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4125" w:type="dxa"/>
            <w:gridSpan w:val="5"/>
            <w:vMerge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  <w:trHeight w:val="184"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4125" w:type="dxa"/>
            <w:gridSpan w:val="5"/>
            <w:vMerge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  <w:trHeight w:val="197"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СУБЛИЦЕНЗИОННЫЙ ДОГОВОР № </w:t>
            </w:r>
            <w:r w:rsidR="008B1C30" w:rsidRPr="001D1B90">
              <w:rPr>
                <w:rFonts w:ascii="Times New Roman" w:hAnsi="Times New Roman"/>
                <w:sz w:val="21"/>
                <w:szCs w:val="21"/>
              </w:rPr>
              <w:t>___</w:t>
            </w:r>
          </w:p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c конечным пользователем программного продукта</w:t>
            </w:r>
          </w:p>
        </w:tc>
      </w:tr>
      <w:tr w:rsidR="00790A71" w:rsidRPr="001D1B90">
        <w:trPr>
          <w:cantSplit/>
          <w:trHeight w:val="276"/>
        </w:trPr>
        <w:tc>
          <w:tcPr>
            <w:tcW w:w="3300" w:type="dxa"/>
            <w:gridSpan w:val="4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21"/>
                <w:szCs w:val="21"/>
              </w:rPr>
              <w:t>г. Ижевск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6D48AD" w:rsidP="006D48AD">
            <w:pPr>
              <w:jc w:val="right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«____»</w:t>
            </w:r>
            <w:r w:rsidR="00FE4B3D" w:rsidRPr="001D1B9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>_________</w:t>
            </w:r>
            <w:r w:rsidR="00FE4B3D" w:rsidRPr="001D1B90">
              <w:rPr>
                <w:rFonts w:ascii="Times New Roman" w:hAnsi="Times New Roman"/>
                <w:sz w:val="21"/>
                <w:szCs w:val="21"/>
              </w:rPr>
              <w:t>2026 г.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1D1B90" w:rsidP="001D1B90">
            <w:pPr>
              <w:jc w:val="both"/>
            </w:pP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в дальнейшем именуемое «ЛИЦЕНЗИАТ», в лице 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действующего на основании 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с одной стороны, и ОТДЕЛ ГФС РОССИИ В Г. ИЖЕВСКЕ, в дальнейшем именуемое «СУБЛИЦЕНЗИАТ», в лице начальника 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отдела 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Русских Владимира  Ивановича,  действующего на основании Положения</w:t>
            </w:r>
            <w:r w:rsidR="006D48A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и от имени Российской Федерации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, с другой стороны, именуемые также вместе «Стороны», а в отдельности – «Сторона», заключили настоящий Договор о нижеследующем:</w:t>
            </w:r>
          </w:p>
        </w:tc>
      </w:tr>
      <w:tr w:rsidR="00790A71" w:rsidRPr="001D1B90">
        <w:trPr>
          <w:cantSplit/>
          <w:trHeight w:val="52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  ТЕРМИНЫ И ОПРЕДЕЛЕНИЯ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Продукт – это программы для ЭВМ и базы данных,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их совокупность, право на использование которых предоставляется Лицензиатом Сублицензиату в соответствии с условиями настоящего Договора. Продукт может быть как самостоятельным типовым решением, так и его обновлением.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Экземпляр Продукта - электронная копия Продукта (как изготовленная путем записи на материальный носитель, так и представленная Сублицензиату к скачиванию (копированию) на технические средства Сублицензиата и/или удаленному использованию через сеть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Internet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), документация и иные принадлежности,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содержащие информацию об электронных, программных  ключах, кодах доступа и т.п., которые необходимы для эффективного использования Продукта конечными пользователями в объеме предоставленной неисключительной лицензии.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Электронный ключ — аппаратное средство, предназначенное для защиты программных продуктов (ПП) от нелегального использования и несанкционированного распространения.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Программный ключ - файл, содержащий информацию о Продукте, и запускающий Продукт без аппаратных средств защиты. Лицензию активируют с помощью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пин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-кода.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1.5.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Код доступа – идентификационные данные (логин и/или пароль,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пин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-код или иной код, регистрационный номер Продукта и т.п.), необходимые Лицензиату для активации доступа к Продукту и его использования.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1.6.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Пользовательское (лицензионное) соглашение - это соглашение компании-Правообладателя Продукта с конечным пользователем Продукта, определяющее срок и условия использования Продукта, размещенное на экземпляре Продукта и/или на его упаковке и/или в электронном виде в личном кабинете конечного пользователя на сайте/портале Правообладателя (п. 5 ст. 1286 Гражданского кодекса Российской Федерации (ГК РФ)).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1.7.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Апгрейд Продукта – приобретение взамен используемого экземпляра Продукта нового экземпляра Продукта более новой версии и/или с более широким набором входящих в него условий, возможностей,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cервисов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и технических характеристик.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1.8.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Правообладатель - физическое или юридическое лицо, обладающее исключительным правом на Продукты.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1.9.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Конечный пользователь – физическое или юридическое лицо, которое приобрело простую неисключительную лицензию на Продукт для его использования для собственных нужд в соответствии с Пользовательским (лицензионным) соглашением, а не для дальнейшего распространения третьим лицам.</w:t>
            </w:r>
          </w:p>
        </w:tc>
      </w:tr>
      <w:tr w:rsidR="00790A71" w:rsidRPr="001D1B90">
        <w:trPr>
          <w:cantSplit/>
          <w:trHeight w:val="65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  ПРЕДМЕТ ДОГОВОРА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2.1.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Лицензиат, имея соответствующие полномочия от Правообладателей, обязуется передать Сублицензиату неисключительное право использования (простую неисключительную лицензию) Продуктов в установленных настоящим Договором пределах.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2.2.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Право использования Продуктов по настоящему Договору подразумевает под собой неисключительное право на воспроизведение исключительно в целях их инсталляции и запуска, а также право на совершение в отношении них иных действий в соответствии с условиями Пользовательского (лицензионного) соглашения, относящегося к конкретному Продукту, и ст. 1280 ГК РФ.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Наименование Продуктов, количество приобретаемых лицензий, тип (вид) лицензии, объем лицензии (например, количество рабочих мест, на которых возможно использовать Продукты), а также иные существенные условия неисключительной лицензии указываются в Спецификации, являющейся неотъемлемой частью настоящего Договора (Приложение № 1).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Лицензиат предоставляет Сублицензиату неисключительную лицензию на использование Продукта на территории всех стран мира, если иное не установлено Пользовательским (лицензионным) соглашением.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2.5.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Передача неисключительной лицензии осуществляется путем предоставления экземпляра Продукта/доступа к использованию экземпляра Продукта в распоряжение Сублицензиата одним из следующих способов: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lastRenderedPageBreak/>
              <w:t>2.5.1.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экземпляр Продукта на материальном носителе, электронные ключи и/или конверты с кодами регистрации/доступа предоставляется Сублицензиату по Почтовому адресу Лицензиата, указанному в разделе «Реквизиты и подписи Сторон» настоящего Договора или высылаются Сублицензиату Почтой России или иной курьерской службой по адресу, указанному в Спецификации;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2.5.2.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передача Продукта и/или программных ключей и/или кодов доступа и/или ссылок для активации Продукта путем направления Сублицензиату по электронной почте, указанной в Спецификации (при отсутствии данных в Спецификации – по электронной почте Лицензиата, указанной в разделе «Реквизиты и подписи Сторон» настоящего Договора);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2.5.3.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способ передачи неисключительной лицензии согласовывается Сторонами в Спецификации;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2.5.4.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обязанность Лицензиата по передаче неисключительной лицензии Сублицензиату считается исполненной с момента получения экземпляра Продукта, электронного ключа или конверта с кодами регистрации/доступа представителем Сублицензиата в указанных в п. 2.5.1. настоящего Договора случаях и отправки Лицензиатом электронного письма с необходимыми данными в указанном в п. 2.5.2. настоящего Договора случае.</w:t>
            </w:r>
          </w:p>
        </w:tc>
      </w:tr>
      <w:tr w:rsidR="00790A71" w:rsidRPr="001D1B90">
        <w:trPr>
          <w:cantSplit/>
          <w:trHeight w:val="65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3.  ЦЕНА ДОГОВОРА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3.1.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Цена неисключительной лицензии на экземпляр Продукта для Сублицензиата </w:t>
            </w:r>
            <w:r w:rsidR="008832C5" w:rsidRPr="001D1B90">
              <w:rPr>
                <w:rFonts w:ascii="Times New Roman" w:hAnsi="Times New Roman"/>
                <w:sz w:val="21"/>
                <w:szCs w:val="21"/>
              </w:rPr>
              <w:t xml:space="preserve">является твердой и 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>определяется по прайс-листу Лицензиата. При этом под ценой в настоящем Договоре подразумевается вознаграждение, которое полагается Лицензиату за переданные неисключительные права, и которое фиксируется в Спецификации. В случае предоставления лицензии путем передачи экземпляра Продукта на материальном носителе стоимость материального носителя не подлежит отдельной оплате и учтена в размере вознаграждения.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3.2.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Цена неисключительной лицензии на экземпляр Продукта в рамках Договора НДС не облагается на основании согласно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пп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26 п. 2 ст. 149 Налогового кодекса РФ не облагается НДС только в случае, если Программа включена в Единый реестр российских программ для электронных вычислительных машин и баз данных.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3.3.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 w:rsidP="007974C2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Оплата вознагр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>аждения производится в течение 7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>семи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 xml:space="preserve">) 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>рабочих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дней с даты 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>подписания С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>торонами А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 xml:space="preserve">кта 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>передачи прав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 xml:space="preserve"> или 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>унифицированного передаточного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 xml:space="preserve"> документ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>а</w:t>
            </w:r>
            <w:r w:rsidR="006D48AD" w:rsidRPr="001D1B90">
              <w:rPr>
                <w:rFonts w:ascii="Times New Roman" w:hAnsi="Times New Roman"/>
                <w:sz w:val="21"/>
                <w:szCs w:val="21"/>
              </w:rPr>
              <w:t xml:space="preserve"> (далее - УПД независимо от формы документа)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>. Счет направляется Сублицензиату по электронной почте, указанной в разделе «Реквизиты и подписи Сторон» настоящего Договора.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3.4.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Датой платежа и, соответственно, исполнения Сублицензиатом своих обязательств по оплате настоящего Договора считается дата поступления денежных средств на расчетный счет Лицензиата.</w:t>
            </w:r>
          </w:p>
        </w:tc>
      </w:tr>
      <w:tr w:rsidR="00790A71" w:rsidRPr="001D1B90">
        <w:trPr>
          <w:cantSplit/>
          <w:trHeight w:val="52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4.  ПРАВА И ОБЯЗАННОСТИ ЛИЦЕНЗИАТА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4.1.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 w:rsidP="007974C2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Лицензиат обязан передать простое неисключительное право на использование Продукта, экземпляр Продукта, документацию, относящуюся к Продукту,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Пользовательское (лицензионное) соглашение, а также Акт передачи прав или унифицированный передаточный документ Сублицензиату, согласно условиям Договора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 xml:space="preserve"> и соответствующей Спецификации в срок не позднее 15 (пятнадцати) рабочих дней с момента подписания Сторонами договора.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4.2.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Лицензиат обязан провести регистрацию Сублицензиата как конечного пользователя в системе Правообладателя Продукта, если это необходимо для начала использования конечным пользователем Продукта, права на которые являются предметом по настоящему Договору.</w:t>
            </w:r>
          </w:p>
        </w:tc>
      </w:tr>
      <w:tr w:rsidR="00790A71" w:rsidRPr="001D1B90">
        <w:trPr>
          <w:cantSplit/>
          <w:trHeight w:val="39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  ПРАВА И ОБЯЗАННОСТИ СУБЛИЦЕНЗИАТА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Сублицензиат обязуется своевременно оплачивать вознаграждение и принимать экземпляры Продуктов. При этом датой исполнения обязательства Сублицензиата по оплате считается дата зачисления денежных средств на расчетный счет Лицензиата.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Сублицензиат обязуется строго придерживаться и не нарушать правил лицензионного использования Продуктов, указанных в Пользовательском (лицензионном) соглашении, п. 2.2. настоящего Договора и Спецификациях.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Сублицензиат обязуется не осуществлять действий по обходу технических средств защиты, встроенных в Продукты.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Сублицензиат обязан подписать и вернуть УПД или мотивированный отказ в приемке неисключительных прав и подписании УПД Лицензиату в течение 5 (пяти) рабочих дней с даты получения УПД. В случае неполучения от Сублицензиата в установленный срок подписанного УПД или мотивированного отказа от его подписания по причине нарушения Лицензиатом п. 2.5. настоящего Договора, а также в случае необоснованности мотивированного отказа, односторонне подписанный Лицензиатом УПД подлежит отражению в бухгалтерском и налоговом учете Сторон, а неисключительная лицензия считается переданной Сублицензиату согласно п. 2.5. настоящего Договора.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5.5.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Сублицензиат обязан совершить действия, необходимые для начала использования Продукта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5.5.1.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зарегистрироваться на сайте/портале Правообладателя (создать личный кабинет и/или зарегистрировать Продукт в личном кабинете);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lastRenderedPageBreak/>
              <w:t>5.5.2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или сообщить Лицензиату и/или Правообладателю Продукта необходимые сведения,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направить копию заполненной регистрационной анкеты (карты) конечного пользователя и т.п., если в соответствии с инструкцией к Продукту и/или Пользовательским лицензионным соглашением это необходимо для начала использования конечным пользователем Продукта, права на которые являются предметом по настоящему Договору.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Если Продукт приобретается Сублицензиатом в порядке апгрейда используемого Сублицензиатом экземпляра программного продукта, Сублицензиат обязан: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для обеспечения возможности выпуска на Сублицензиата лицензий в порядке апгрейда: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5.6.1.1.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выполнить правила Правообладателя (Сублицензиат должен иметь действующий договор на информационно-технологическое сопровождение (1С:ИТС); подлежащие апгрейду лицензии должны быть зарегистрированы Сублицензиатом в личном кабинете пользователя на портале ИТС (https://portal.1c.ru/); если лицензия не зарегистрирована - подать заявку на регистрацию, прикрепив к заявке на обмен отсканированную заполненную пользовательскую часть регистрационной анкеты);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5.6.1.2.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предъявить Лицензиату отсканированную заполненную пользовательскую часть регистрационной анкеты (если она утеряна, подать Правообладателю заявку на восстановление, прикрепив к заявке письмо с данными наименования Продукта, его регистрационный номер и причины утери карточки и документы, подтверждающие приобретение лицензий);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для возможности получить лицензии и/или оплатить лицензии по цене в порядке апгрейда одновременно с УПД возвратить Лицензиату компоненты Продукта, а именно: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5.6.2.1.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исправный Электронный ключ (если он передавался) на лицензии, подлежащие апгрейду;</w:t>
            </w:r>
          </w:p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пользовательскую часть регистрационной анкеты (при наличии в комплекте поставки).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5.7.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При невыполнении Сублицензиатом п. 5.6.1. настоящего Договора Лицензиат освобождается от обязанности выполнять Договор в части лицензий, передаваемых в порядке апгрейда. Стороны могут подписать дополнительное соглашение об изменении порядка передачи (без апгрейда) и стоимости таких лицензий, в таком случае срок передачи таких лицензий исчисляется с даты подписания такого дополнительного соглашения. При невыполнении Сублицензиатом п. 5.6.2. настоящего Договора цена лицензий подлежит увеличению до полной стоимости лицензий, приобретаемых не в порядке апгрейда, и Сублицензиат будет обязан доплатить эту разницу в размере и порядке, установленном Спецификацией.</w:t>
            </w:r>
          </w:p>
        </w:tc>
      </w:tr>
      <w:tr w:rsidR="00790A71" w:rsidRPr="001D1B90">
        <w:trPr>
          <w:cantSplit/>
          <w:trHeight w:val="65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  ГАРАНТИИ И ОТВЕТСТВЕННОСТЬ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6.1.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 Убытки в виде упущенной выгоды возмещению Сторонами не подлежат.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6.2.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В случае нарушения Сублицензиатом условий использования Продукта, Лицензиат и Правообладатель не несут ответственности за последствия (ущерб, убытки, и пр.), которые могут возникнуть у Сублицензиата в результате нарушения последним условий Пользовательского (лицензионного) соглашения и/или сопроводительной документации на Продукт.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6.3.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Экземпляр Продукта предоставляется Сублицензиату как есть (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as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is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) и Лицензиат не гарантирует, что Продукт соответствует всем фактическим или сформулированным требованиям и ожиданиям Сублицензиата (в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. для применения в конкретных случаях, при определенных обстоятельствах или для достижения конкретной цели). Продукт может требовать изменений, включая адаптацию для возможности его использования согласно бизнес-процессам Сублицензиата. Риск, связанный с использованием приобретенного экземпляра Продукта, берет на себя Сублицензиат. Ни при каких обстоятельствах Лицензиат не будет нести ответственность за убытки (включая убытки в виде упущенной выгоды, убытки от потери информации и др.), возникшие вследствие использования или невозможности использовать экземпляр Продукта,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ввиду обнаруженных ошибок в Продукте.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6.4.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Сублицензиат обязан возместить Лицензиату ущерб, причиненный последнему Сублицензиатом вследствие нарушений настоящего Договора, в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т.ч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>. в виде санкций, взысканных Правообладателем с Лицензиата.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6.5.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Ответственность Лицензиата по Договору, включая возмещение убытков, ни при каких обстоятельствах не может быть более размера вознаграждения, полученного Лицензиатом по настоящему Договору.</w:t>
            </w:r>
          </w:p>
        </w:tc>
      </w:tr>
      <w:tr w:rsidR="00790A71" w:rsidRPr="001D1B90">
        <w:trPr>
          <w:cantSplit/>
          <w:trHeight w:val="65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  СРОК ДЕЙСТВИЯ ДОГОВОРА. ПРОЧИЕ УСЛОВИЯ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7.1.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Договор вступает в силу с даты его подписания и действует до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 xml:space="preserve"> 31.12.2026, а в части оплаты до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7974C2" w:rsidRPr="001D1B90">
              <w:rPr>
                <w:rFonts w:ascii="Times New Roman" w:hAnsi="Times New Roman"/>
                <w:sz w:val="21"/>
                <w:szCs w:val="21"/>
              </w:rPr>
              <w:t xml:space="preserve">полного 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>исполнения Сторонами своих обязательств.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7.2.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Объем и срок действия прав на использование в отношении конкретных экземпляров Продуктов, переданных Сублицензиату в период действия настоящего лицензионного Договора, определяется «Пользовательским (лицензионным) соглашением».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lastRenderedPageBreak/>
              <w:t>7.3.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Настоящим Сублицензиат подтверждает, что все действия, совершенные через указанную в разделе «Реквизиты и подписи Сторон» электронную почту и/или в личном кабинете на официальном сайте Правообладателя после введения учетных данных, присвоенных Сублицензиату (конклюдентные действия), совершаются от его имени и в его интересах соответствующим образом уполномоченными лицами, и как следствие влекут для Сублицензиата возникновение прав и обязанностей.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7.4.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Любые изменения и дополнения к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 и являются неотъемлемыми частями настоящего Договора.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7.5.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Стороны договорились о том, что все документы, включая сам Договор, согласованные, подписанные обеими Сторонами в процессе заключения и исполнения Договора и переданные по электронной почте или иным электронным средствам связи, будут иметь юридическую силу при условии, что отправленное сообщение позволяет установить, что оно исходит от Стороны по Договору.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7.6.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Стороны могут подписывать Договор, Спецификации, первичные документы бухгалтерского учета по электронным каналам связи с использованием квалифицированной электронной подписи.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7.7.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Во всем остальном, что не урегулировано настоящим Договором Стороны руководствуются действующим гражданским законодательством Российской Федерации.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7.8.</w:t>
            </w:r>
          </w:p>
        </w:tc>
        <w:tc>
          <w:tcPr>
            <w:tcW w:w="9900" w:type="dxa"/>
            <w:gridSpan w:val="12"/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Стороны соглашаются, что все споры и разногласия, возникающие из настоящего Договора или в связи с ним, в том числе, касающиеся его исполнения, нарушения, прекращения, признания недействительным (ничтожным) или незаключенным, Стороны будут стремиться разрешать путем переговоров в течение 10 (десяти) рабочих дней. При невозможности разрешить спор путем переговоров споры подлежат разрешению в Арбитражном суде УР в порядке, установленном действующим законодательством РФ.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7.9.</w:t>
            </w:r>
          </w:p>
        </w:tc>
        <w:tc>
          <w:tcPr>
            <w:tcW w:w="9900" w:type="dxa"/>
            <w:gridSpan w:val="12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Договор и Приложение № 1 - Спецификация к нему составлены на русском языке в 2 (двух) экземплярах, имеющих одинаковую юридическую силу, один из которых находится у Лицензиата, второй – у Сублицензиата.</w:t>
            </w:r>
          </w:p>
        </w:tc>
      </w:tr>
      <w:tr w:rsidR="00790A71" w:rsidRPr="001D1B90">
        <w:trPr>
          <w:cantSplit/>
          <w:trHeight w:val="184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8.  РЕКВИЗИТЫ И ПОДПИСИ СТОРОН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ЛИЦЕНЗИАТ</w:t>
            </w: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СУБЛИЦЕНЗИАТ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ОТДЕЛ ГФС РОССИИ В Г. ИЖЕВСКЕ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ИНН: 1833004964, КПП: 184001001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ОГРН/ОГРНИП: 1021801509487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Юридический адрес:</w:t>
            </w:r>
          </w:p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426004, Удмуртская Республика, г. Ижевск, ул. Коммунаров, дом 214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Фактический адрес:</w:t>
            </w:r>
          </w:p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426004, Удмуртская Республика, г. Ижевск, ул. Коммунаров, дом 214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Телефон: 68-00-19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e-mail: izhevsk@gfs.ru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74C2" w:rsidP="007974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Казначейский счет 03211643000000013239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74C2" w:rsidP="007974C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>ОКЦ № 1 ВВГУ Банка России//УФК по Нижегородской области, г. Нижний Новгород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 xml:space="preserve">К/с </w:t>
            </w:r>
            <w:r w:rsidR="007974C2" w:rsidRPr="001D1B90">
              <w:rPr>
                <w:rFonts w:ascii="Times New Roman" w:hAnsi="Times New Roman" w:cs="Times New Roman"/>
                <w:sz w:val="21"/>
                <w:szCs w:val="21"/>
              </w:rPr>
              <w:t>40102810745370000024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495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D1B90">
              <w:rPr>
                <w:rFonts w:ascii="Times New Roman" w:hAnsi="Times New Roman" w:cs="Times New Roman"/>
                <w:sz w:val="21"/>
                <w:szCs w:val="21"/>
              </w:rPr>
              <w:t xml:space="preserve">БИК </w:t>
            </w:r>
            <w:r w:rsidR="007974C2" w:rsidRPr="001D1B90">
              <w:rPr>
                <w:rFonts w:ascii="Times New Roman" w:hAnsi="Times New Roman" w:cs="Times New Roman"/>
                <w:sz w:val="21"/>
                <w:szCs w:val="21"/>
              </w:rPr>
              <w:t>012202102</w:t>
            </w:r>
          </w:p>
        </w:tc>
      </w:tr>
      <w:tr w:rsidR="00790A71" w:rsidRPr="001D1B90">
        <w:trPr>
          <w:cantSplit/>
          <w:trHeight w:val="184"/>
        </w:trPr>
        <w:tc>
          <w:tcPr>
            <w:tcW w:w="5775" w:type="dxa"/>
            <w:gridSpan w:val="7"/>
            <w:shd w:val="clear" w:color="auto" w:fill="auto"/>
            <w:vAlign w:val="center"/>
          </w:tcPr>
          <w:p w:rsidR="00790A71" w:rsidRPr="001D1B90" w:rsidRDefault="00790A71">
            <w:pPr>
              <w:jc w:val="center"/>
            </w:pPr>
          </w:p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17"/>
                <w:szCs w:val="17"/>
              </w:rPr>
              <w:t>Должность: Директор</w:t>
            </w:r>
          </w:p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17"/>
                <w:szCs w:val="17"/>
              </w:rPr>
              <w:t>Должность: Начальник отдела ГФС России в г.</w:t>
            </w:r>
            <w:r w:rsidR="001D1B90" w:rsidRPr="001D1B90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1D1B90">
              <w:rPr>
                <w:rFonts w:ascii="Times New Roman" w:hAnsi="Times New Roman"/>
                <w:sz w:val="17"/>
                <w:szCs w:val="17"/>
              </w:rPr>
              <w:t>Ижевске</w:t>
            </w:r>
          </w:p>
        </w:tc>
      </w:tr>
      <w:tr w:rsidR="00790A71" w:rsidRPr="001D1B90">
        <w:trPr>
          <w:cantSplit/>
          <w:trHeight w:val="92"/>
        </w:trPr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bottom"/>
          </w:tcPr>
          <w:p w:rsidR="00790A71" w:rsidRPr="001D1B90" w:rsidRDefault="00FE4B3D" w:rsidP="001D1B90">
            <w:pPr>
              <w:jc w:val="center"/>
            </w:pPr>
            <w:r w:rsidRPr="001D1B90">
              <w:rPr>
                <w:rFonts w:ascii="Times New Roman" w:hAnsi="Times New Roman"/>
                <w:sz w:val="17"/>
                <w:szCs w:val="17"/>
              </w:rPr>
              <w:t xml:space="preserve">___________________ / </w:t>
            </w:r>
            <w:r w:rsidR="001D1B90" w:rsidRPr="001D1B90">
              <w:rPr>
                <w:rFonts w:ascii="Times New Roman" w:hAnsi="Times New Roman"/>
                <w:sz w:val="17"/>
                <w:szCs w:val="17"/>
              </w:rPr>
              <w:t>__________</w:t>
            </w:r>
            <w:r w:rsidRPr="001D1B90">
              <w:rPr>
                <w:rFonts w:ascii="Times New Roman" w:hAnsi="Times New Roman"/>
                <w:sz w:val="17"/>
                <w:szCs w:val="17"/>
              </w:rPr>
              <w:t>. /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4125" w:type="dxa"/>
            <w:gridSpan w:val="5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 xml:space="preserve"> __________________/ Русских  В.И. /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1D1B90" w:rsidRPr="001D1B90" w:rsidRDefault="001D1B90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74C2" w:rsidRPr="001D1B90" w:rsidRDefault="007974C2">
            <w:pPr>
              <w:jc w:val="right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790A71" w:rsidRPr="001D1B90" w:rsidRDefault="00FE4B3D">
            <w:pPr>
              <w:jc w:val="right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>Приложение №1</w:t>
            </w:r>
          </w:p>
          <w:p w:rsidR="00790A71" w:rsidRPr="001D1B90" w:rsidRDefault="00FE4B3D">
            <w:pPr>
              <w:jc w:val="right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к </w:t>
            </w:r>
            <w:proofErr w:type="spellStart"/>
            <w:r w:rsidRPr="001D1B90">
              <w:rPr>
                <w:rFonts w:ascii="Times New Roman" w:hAnsi="Times New Roman"/>
                <w:b/>
                <w:sz w:val="19"/>
                <w:szCs w:val="19"/>
              </w:rPr>
              <w:t>Сублицензионному</w:t>
            </w:r>
            <w:proofErr w:type="spellEnd"/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договору</w:t>
            </w:r>
          </w:p>
          <w:p w:rsidR="00790A71" w:rsidRPr="001D1B90" w:rsidRDefault="00FE4B3D">
            <w:pPr>
              <w:jc w:val="right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с конечным пользователем программного продукта</w:t>
            </w:r>
          </w:p>
          <w:p w:rsidR="00790A71" w:rsidRPr="001D1B90" w:rsidRDefault="00FE4B3D" w:rsidP="007974C2">
            <w:pPr>
              <w:jc w:val="right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№ </w:t>
            </w:r>
            <w:r w:rsidR="007974C2" w:rsidRPr="001D1B90">
              <w:rPr>
                <w:rFonts w:ascii="Times New Roman" w:hAnsi="Times New Roman"/>
                <w:b/>
                <w:sz w:val="19"/>
                <w:szCs w:val="19"/>
              </w:rPr>
              <w:t>____</w:t>
            </w: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от </w:t>
            </w:r>
            <w:r w:rsidR="007974C2" w:rsidRPr="001D1B90">
              <w:rPr>
                <w:rFonts w:ascii="Times New Roman" w:hAnsi="Times New Roman"/>
                <w:b/>
                <w:sz w:val="19"/>
                <w:szCs w:val="19"/>
              </w:rPr>
              <w:t>«___»</w:t>
            </w: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r w:rsidR="007974C2" w:rsidRPr="001D1B90">
              <w:rPr>
                <w:rFonts w:ascii="Times New Roman" w:hAnsi="Times New Roman"/>
                <w:b/>
                <w:sz w:val="19"/>
                <w:szCs w:val="19"/>
              </w:rPr>
              <w:t>______</w:t>
            </w: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2026 г.</w:t>
            </w:r>
          </w:p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4125" w:type="dxa"/>
            <w:gridSpan w:val="5"/>
            <w:shd w:val="clear" w:color="auto" w:fill="auto"/>
            <w:vAlign w:val="bottom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>СПЕЦИФИКАЦИЯ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  <w:trHeight w:val="276"/>
        </w:trPr>
        <w:tc>
          <w:tcPr>
            <w:tcW w:w="3300" w:type="dxa"/>
            <w:gridSpan w:val="4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b/>
                <w:sz w:val="19"/>
                <w:szCs w:val="19"/>
              </w:rPr>
              <w:t>г. Ижевск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D40E3D" w:rsidP="00D40E3D">
            <w:pPr>
              <w:jc w:val="right"/>
            </w:pPr>
            <w:r w:rsidRPr="001D1B90">
              <w:rPr>
                <w:rFonts w:ascii="Times New Roman" w:hAnsi="Times New Roman"/>
                <w:b/>
                <w:sz w:val="19"/>
                <w:szCs w:val="19"/>
              </w:rPr>
              <w:t>«___» _________</w:t>
            </w:r>
            <w:r w:rsidR="00FE4B3D" w:rsidRPr="001D1B90">
              <w:rPr>
                <w:rFonts w:ascii="Times New Roman" w:hAnsi="Times New Roman"/>
                <w:b/>
                <w:sz w:val="19"/>
                <w:szCs w:val="19"/>
              </w:rPr>
              <w:t xml:space="preserve"> 2026 г.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1D1B90" w:rsidP="001D1B90">
            <w:pPr>
              <w:jc w:val="both"/>
            </w:pP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______________________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в дальнейшем именуемое «ЛИЦЕНЗИАТ», в лице 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действующего на основании 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___________,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с одной стороны и ОТДЕЛ ГФС РОССИИ В Г. ИЖЕВСКЕ, в дальнейшем именуемое «СУБЛИЦ</w:t>
            </w:r>
            <w:r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ЕНЗИАТ»,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в лице начальника отдела Русских  Владимира  Ивановича,  действующего на основании Положения</w:t>
            </w:r>
            <w:r w:rsidR="007974C2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и от имени Российской Федерации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, с другой стороны, именуемые также вместе «Стороны», а в отдельности – «Сторона», подписали настоящую Спецификацию к </w:t>
            </w:r>
            <w:proofErr w:type="spellStart"/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Сублицензионному</w:t>
            </w:r>
            <w:proofErr w:type="spellEnd"/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договору с конечным пользователем программного продукта №  </w:t>
            </w:r>
            <w:r w:rsidR="008832C5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от </w:t>
            </w:r>
            <w:r w:rsidR="008832C5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«___» ____</w:t>
            </w:r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2026 г.  (далее – </w:t>
            </w:r>
            <w:proofErr w:type="spellStart"/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>Сублицензионный</w:t>
            </w:r>
            <w:proofErr w:type="spellEnd"/>
            <w:r w:rsidR="00FE4B3D" w:rsidRPr="001D1B90">
              <w:rPr>
                <w:rFonts w:ascii="Times New Roman" w:hAnsi="Times New Roman"/>
                <w:color w:val="333333"/>
                <w:sz w:val="21"/>
                <w:szCs w:val="21"/>
              </w:rPr>
              <w:t xml:space="preserve"> договор) о нижеследующем: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1.  Лицензиат, имея соответствующие полномочия от Правообладателей, предоставляет Сублицензиату неисключительное право (неисключительную лицензию) использования следующих Продуктов:</w:t>
            </w:r>
          </w:p>
        </w:tc>
      </w:tr>
      <w:tr w:rsidR="00790A71" w:rsidRPr="001D1B90">
        <w:trPr>
          <w:cantSplit/>
        </w:trPr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№</w:t>
            </w:r>
          </w:p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п/п</w:t>
            </w:r>
          </w:p>
        </w:tc>
        <w:tc>
          <w:tcPr>
            <w:tcW w:w="412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Наименование Продукта, тип (вид), объем, срок лицензии (апгрейд Наименование Продукта)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Кол-во лицензий</w:t>
            </w: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Цена вознаграждения за ед./ руб. без НДС</w:t>
            </w: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Сумма вознаграждения /руб. без НДС</w:t>
            </w: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Способ передачи:</w:t>
            </w:r>
          </w:p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самовывоз/</w:t>
            </w:r>
          </w:p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доставка/</w:t>
            </w:r>
          </w:p>
          <w:p w:rsidR="00790A71" w:rsidRPr="001D1B90" w:rsidRDefault="00FE4B3D">
            <w:pPr>
              <w:jc w:val="center"/>
            </w:pPr>
            <w:proofErr w:type="spellStart"/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электронно</w:t>
            </w:r>
            <w:proofErr w:type="spellEnd"/>
          </w:p>
        </w:tc>
      </w:tr>
      <w:tr w:rsidR="00790A71" w:rsidRPr="001D1B90">
        <w:trPr>
          <w:cantSplit/>
        </w:trPr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12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1С-КАМИН: Зарплата для бюджетных учреждений. Версия 5.5. Конфигурация Электронная поставка (Апгрейд с КАМИН: Расчет заработной платы для бюджетных учреждений. Версия 3.5)</w:t>
            </w:r>
          </w:p>
        </w:tc>
        <w:tc>
          <w:tcPr>
            <w:tcW w:w="8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center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1,00</w:t>
            </w: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center"/>
            </w:pP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790A71">
            <w:pPr>
              <w:jc w:val="center"/>
            </w:pPr>
          </w:p>
        </w:tc>
        <w:tc>
          <w:tcPr>
            <w:tcW w:w="16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790A71" w:rsidRPr="001D1B90" w:rsidRDefault="00FE4B3D">
            <w:pPr>
              <w:jc w:val="center"/>
            </w:pP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Электронно</w:t>
            </w:r>
            <w:proofErr w:type="spellEnd"/>
          </w:p>
        </w:tc>
      </w:tr>
      <w:tr w:rsidR="00790A71" w:rsidRPr="001D1B90">
        <w:trPr>
          <w:cantSplit/>
          <w:trHeight w:val="276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6600" w:type="dxa"/>
            <w:gridSpan w:val="8"/>
            <w:shd w:val="clear" w:color="auto" w:fill="auto"/>
            <w:vAlign w:val="bottom"/>
          </w:tcPr>
          <w:p w:rsidR="00790A71" w:rsidRPr="001D1B90" w:rsidRDefault="00FE4B3D">
            <w:pPr>
              <w:jc w:val="right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ИТОГО:</w:t>
            </w: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center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right"/>
            </w:pPr>
          </w:p>
        </w:tc>
      </w:tr>
      <w:tr w:rsidR="00790A71" w:rsidRPr="001D1B90">
        <w:trPr>
          <w:cantSplit/>
          <w:trHeight w:val="92"/>
        </w:trPr>
        <w:tc>
          <w:tcPr>
            <w:tcW w:w="825" w:type="dxa"/>
            <w:shd w:val="clear" w:color="auto" w:fill="auto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</w:tcPr>
          <w:p w:rsidR="00790A71" w:rsidRPr="001D1B90" w:rsidRDefault="00FE4B3D" w:rsidP="001D1B90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2. Самостоятельная регистрация Продукта должна быть осуществлена Сублицензиатом на сайте </w:t>
            </w:r>
            <w:r w:rsidR="001D1B90" w:rsidRPr="001D1B90">
              <w:rPr>
                <w:rFonts w:ascii="Times New Roman" w:hAnsi="Times New Roman"/>
                <w:sz w:val="21"/>
                <w:szCs w:val="21"/>
              </w:rPr>
              <w:t>_______________</w:t>
            </w:r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при получении экземпляра Продукта фирмы 1С.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3. Во всем остальном, что не предусмотрено данной Спецификацией, Стороны руководствуются условиями и положениями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Сублицензионного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Договора.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 xml:space="preserve">4.  Спецификация является неотъемлемой частью </w:t>
            </w:r>
            <w:proofErr w:type="spellStart"/>
            <w:r w:rsidRPr="001D1B90">
              <w:rPr>
                <w:rFonts w:ascii="Times New Roman" w:hAnsi="Times New Roman"/>
                <w:sz w:val="21"/>
                <w:szCs w:val="21"/>
              </w:rPr>
              <w:t>Сублицензионного</w:t>
            </w:r>
            <w:proofErr w:type="spellEnd"/>
            <w:r w:rsidRPr="001D1B90">
              <w:rPr>
                <w:rFonts w:ascii="Times New Roman" w:hAnsi="Times New Roman"/>
                <w:sz w:val="21"/>
                <w:szCs w:val="21"/>
              </w:rPr>
              <w:t xml:space="preserve"> Договора.</w:t>
            </w:r>
          </w:p>
        </w:tc>
      </w:tr>
      <w:tr w:rsidR="00790A71" w:rsidRPr="001D1B90">
        <w:trPr>
          <w:cantSplit/>
        </w:trPr>
        <w:tc>
          <w:tcPr>
            <w:tcW w:w="10725" w:type="dxa"/>
            <w:gridSpan w:val="13"/>
            <w:shd w:val="clear" w:color="auto" w:fill="auto"/>
            <w:vAlign w:val="bottom"/>
          </w:tcPr>
          <w:p w:rsidR="00790A71" w:rsidRPr="001D1B90" w:rsidRDefault="00FE4B3D">
            <w:pPr>
              <w:jc w:val="both"/>
            </w:pPr>
            <w:r w:rsidRPr="001D1B90">
              <w:rPr>
                <w:rFonts w:ascii="Times New Roman" w:hAnsi="Times New Roman"/>
                <w:sz w:val="21"/>
                <w:szCs w:val="21"/>
              </w:rPr>
              <w:t>5. Спецификация составлена в 2 (двух) экземплярах, из которых один находится у Сублицензиата, второй – у Лицензиата.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Лицензиат</w:t>
            </w:r>
          </w:p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b/>
                <w:sz w:val="21"/>
                <w:szCs w:val="21"/>
              </w:rPr>
              <w:t>Сублицензиат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790A71">
            <w:pPr>
              <w:jc w:val="both"/>
            </w:pP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21"/>
                <w:szCs w:val="21"/>
              </w:rPr>
              <w:t>ОТДЕЛ ГФС РОССИИ В Г. ИЖЕВСКЕ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</w:tcPr>
          <w:p w:rsidR="00790A71" w:rsidRPr="001D1B90" w:rsidRDefault="00790A71"/>
        </w:tc>
        <w:tc>
          <w:tcPr>
            <w:tcW w:w="4950" w:type="dxa"/>
            <w:gridSpan w:val="6"/>
            <w:shd w:val="clear" w:color="auto" w:fill="auto"/>
          </w:tcPr>
          <w:p w:rsidR="00790A71" w:rsidRPr="001D1B90" w:rsidRDefault="00FE4B3D">
            <w:r w:rsidRPr="001D1B90">
              <w:rPr>
                <w:rFonts w:ascii="Times New Roman" w:hAnsi="Times New Roman"/>
                <w:sz w:val="21"/>
                <w:szCs w:val="21"/>
              </w:rPr>
              <w:t>ИНН: 1833004964</w:t>
            </w:r>
          </w:p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center"/>
          </w:tcPr>
          <w:p w:rsidR="00790A71" w:rsidRPr="001D1B90" w:rsidRDefault="00FE4B3D" w:rsidP="001D1B90">
            <w:r w:rsidRPr="001D1B90">
              <w:rPr>
                <w:rFonts w:ascii="Times New Roman" w:hAnsi="Times New Roman"/>
                <w:sz w:val="17"/>
                <w:szCs w:val="17"/>
              </w:rPr>
              <w:t>Должность: р</w:t>
            </w:r>
          </w:p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>Должность: Начальник отдела ГФС России в г.</w:t>
            </w:r>
            <w:r w:rsidR="001D1B90">
              <w:rPr>
                <w:rFonts w:ascii="Times New Roman" w:hAnsi="Times New Roman"/>
                <w:sz w:val="17"/>
                <w:szCs w:val="17"/>
              </w:rPr>
              <w:t xml:space="preserve"> </w:t>
            </w:r>
            <w:r w:rsidRPr="001D1B90">
              <w:rPr>
                <w:rFonts w:ascii="Times New Roman" w:hAnsi="Times New Roman"/>
                <w:sz w:val="17"/>
                <w:szCs w:val="17"/>
              </w:rPr>
              <w:t>Ижевске</w:t>
            </w:r>
          </w:p>
        </w:tc>
      </w:tr>
      <w:tr w:rsidR="00790A71" w:rsidRPr="001D1B90">
        <w:trPr>
          <w:cantSplit/>
          <w:trHeight w:val="223"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  <w:trHeight w:val="223"/>
        </w:trPr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</w:tr>
      <w:tr w:rsidR="00790A71" w:rsidRPr="001D1B90">
        <w:trPr>
          <w:cantSplit/>
        </w:trPr>
        <w:tc>
          <w:tcPr>
            <w:tcW w:w="5775" w:type="dxa"/>
            <w:gridSpan w:val="7"/>
            <w:shd w:val="clear" w:color="auto" w:fill="auto"/>
            <w:vAlign w:val="bottom"/>
          </w:tcPr>
          <w:p w:rsidR="00790A71" w:rsidRPr="001D1B90" w:rsidRDefault="00FE4B3D" w:rsidP="001D1B90">
            <w:r w:rsidRPr="001D1B90">
              <w:rPr>
                <w:rFonts w:ascii="Times New Roman" w:hAnsi="Times New Roman"/>
                <w:sz w:val="17"/>
                <w:szCs w:val="17"/>
              </w:rPr>
              <w:t xml:space="preserve">___________________ / </w:t>
            </w:r>
            <w:r w:rsidR="001D1B90" w:rsidRPr="001D1B90">
              <w:rPr>
                <w:rFonts w:ascii="Times New Roman" w:hAnsi="Times New Roman"/>
                <w:sz w:val="17"/>
                <w:szCs w:val="17"/>
              </w:rPr>
              <w:t>_____________________</w:t>
            </w:r>
            <w:r w:rsidRPr="001D1B90">
              <w:rPr>
                <w:rFonts w:ascii="Times New Roman" w:hAnsi="Times New Roman"/>
                <w:sz w:val="17"/>
                <w:szCs w:val="17"/>
              </w:rPr>
              <w:t>. /</w:t>
            </w:r>
          </w:p>
        </w:tc>
        <w:tc>
          <w:tcPr>
            <w:tcW w:w="4950" w:type="dxa"/>
            <w:gridSpan w:val="6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 xml:space="preserve"> __________________/ Русских  В.И. /                </w:t>
            </w:r>
          </w:p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Pr="001D1B90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Pr="001D1B90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FE4B3D">
            <w:r w:rsidRPr="001D1B90"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1650" w:type="dxa"/>
            <w:gridSpan w:val="2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2475" w:type="dxa"/>
            <w:gridSpan w:val="3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</w:tr>
      <w:tr w:rsidR="00790A71">
        <w:trPr>
          <w:cantSplit/>
        </w:trPr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  <w:tc>
          <w:tcPr>
            <w:tcW w:w="825" w:type="dxa"/>
            <w:shd w:val="clear" w:color="auto" w:fill="auto"/>
            <w:vAlign w:val="bottom"/>
          </w:tcPr>
          <w:p w:rsidR="00790A71" w:rsidRDefault="00790A71"/>
        </w:tc>
      </w:tr>
    </w:tbl>
    <w:p w:rsidR="00FE4B3D" w:rsidRDefault="00FE4B3D"/>
    <w:sectPr w:rsidR="00FE4B3D">
      <w:footerReference w:type="default" r:id="rId6"/>
      <w:footerReference w:type="first" r:id="rId7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265" w:rsidRDefault="00B64265">
      <w:pPr>
        <w:spacing w:after="0" w:line="240" w:lineRule="auto"/>
      </w:pPr>
      <w:r>
        <w:separator/>
      </w:r>
    </w:p>
  </w:endnote>
  <w:endnote w:type="continuationSeparator" w:id="0">
    <w:p w:rsidR="00B64265" w:rsidRDefault="00B6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6497621"/>
      <w:docPartObj>
        <w:docPartGallery w:val="Page Numbers (Top of Page)"/>
      </w:docPartObj>
    </w:sdtPr>
    <w:sdtEndPr/>
    <w:sdtContent>
      <w:p w:rsidR="00790A71" w:rsidRDefault="00FE4B3D">
        <w:r w:rsidRPr="006D48AD">
          <w:rPr>
            <w:rFonts w:ascii="Arial" w:hAnsi="Arial"/>
            <w:sz w:val="14"/>
            <w:highlight w:val="yellow"/>
          </w:rPr>
          <w:t xml:space="preserve">Договор № </w:t>
        </w:r>
        <w:r w:rsidR="006D48AD" w:rsidRPr="006D48AD">
          <w:rPr>
            <w:rFonts w:ascii="Arial" w:hAnsi="Arial"/>
            <w:sz w:val="14"/>
            <w:highlight w:val="yellow"/>
          </w:rPr>
          <w:t>______________</w:t>
        </w:r>
        <w:r w:rsidRPr="006D48AD">
          <w:rPr>
            <w:rFonts w:ascii="Arial" w:hAnsi="Arial"/>
            <w:sz w:val="14"/>
            <w:highlight w:val="yellow"/>
          </w:rPr>
          <w:t xml:space="preserve"> от </w:t>
        </w:r>
        <w:r w:rsidR="006D48AD" w:rsidRPr="006D48AD">
          <w:rPr>
            <w:rFonts w:ascii="Arial" w:hAnsi="Arial"/>
            <w:sz w:val="14"/>
            <w:highlight w:val="yellow"/>
          </w:rPr>
          <w:t>«____»</w:t>
        </w:r>
        <w:r w:rsidRPr="006D48AD">
          <w:rPr>
            <w:rFonts w:ascii="Arial" w:hAnsi="Arial"/>
            <w:sz w:val="14"/>
            <w:highlight w:val="yellow"/>
          </w:rPr>
          <w:t xml:space="preserve"> </w:t>
        </w:r>
        <w:r w:rsidR="006D48AD" w:rsidRPr="006D48AD">
          <w:rPr>
            <w:rFonts w:ascii="Arial" w:hAnsi="Arial"/>
            <w:sz w:val="14"/>
            <w:highlight w:val="yellow"/>
          </w:rPr>
          <w:t>_______</w:t>
        </w:r>
        <w:r w:rsidRPr="006D48AD">
          <w:rPr>
            <w:rFonts w:ascii="Arial" w:hAnsi="Arial"/>
            <w:sz w:val="14"/>
            <w:highlight w:val="yellow"/>
          </w:rPr>
          <w:t xml:space="preserve"> 2026 г.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14"/>
          </w:rPr>
          <w:fldChar w:fldCharType="begin"/>
        </w:r>
        <w:r>
          <w:rPr>
            <w:rFonts w:ascii="Arial" w:hAnsi="Arial"/>
            <w:sz w:val="14"/>
          </w:rPr>
          <w:instrText>PAGE   \* MERGEFORMAT</w:instrText>
        </w:r>
        <w:r>
          <w:rPr>
            <w:rFonts w:ascii="Arial" w:hAnsi="Arial"/>
            <w:sz w:val="14"/>
          </w:rPr>
          <w:fldChar w:fldCharType="separate"/>
        </w:r>
        <w:r w:rsidR="001D1B90">
          <w:rPr>
            <w:rFonts w:ascii="Arial" w:hAnsi="Arial"/>
            <w:noProof/>
            <w:sz w:val="14"/>
          </w:rPr>
          <w:t>1</w:t>
        </w:r>
        <w:r>
          <w:rPr>
            <w:rFonts w:ascii="Arial" w:hAnsi="Arial"/>
            <w:sz w:val="14"/>
          </w:rPr>
          <w:fldChar w:fldCharType="end"/>
        </w:r>
        <w:r>
          <w:rPr>
            <w:rFonts w:ascii="Arial" w:hAnsi="Arial"/>
            <w:sz w:val="14"/>
          </w:rPr>
          <w:t xml:space="preserve"> из </w:t>
        </w:r>
        <w:r>
          <w:rPr>
            <w:rFonts w:ascii="Arial" w:hAnsi="Arial"/>
            <w:sz w:val="14"/>
          </w:rPr>
          <w:fldChar w:fldCharType="begin"/>
        </w:r>
        <w:r>
          <w:rPr>
            <w:rFonts w:ascii="Arial" w:hAnsi="Arial"/>
            <w:sz w:val="14"/>
          </w:rPr>
          <w:instrText>NUMPAGES   \* MERGEFORMAT</w:instrText>
        </w:r>
        <w:r>
          <w:rPr>
            <w:rFonts w:ascii="Arial" w:hAnsi="Arial"/>
            <w:sz w:val="14"/>
          </w:rPr>
          <w:fldChar w:fldCharType="separate"/>
        </w:r>
        <w:r w:rsidR="001D1B90">
          <w:rPr>
            <w:rFonts w:ascii="Arial" w:hAnsi="Arial"/>
            <w:noProof/>
            <w:sz w:val="14"/>
          </w:rPr>
          <w:t>5</w:t>
        </w:r>
        <w:r>
          <w:rPr>
            <w:rFonts w:ascii="Arial" w:hAnsi="Arial"/>
            <w:sz w:val="14"/>
          </w:rPr>
          <w:fldChar w:fldCharType="end"/>
        </w:r>
      </w:p>
    </w:sdtContent>
  </w:sdt>
  <w:p w:rsidR="00790A71" w:rsidRDefault="00790A7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5243196"/>
      <w:docPartObj>
        <w:docPartGallery w:val="Page Numbers (Top of Page)"/>
      </w:docPartObj>
    </w:sdtPr>
    <w:sdtEndPr/>
    <w:sdtContent>
      <w:p w:rsidR="00790A71" w:rsidRDefault="00FE4B3D">
        <w:r>
          <w:rPr>
            <w:rFonts w:ascii="Arial" w:hAnsi="Arial"/>
            <w:sz w:val="14"/>
          </w:rPr>
          <w:t>Договор № СМ00-000689 от 18 августа 2026 г.</w:t>
        </w:r>
        <w:r>
          <w:tab/>
        </w:r>
        <w:r>
          <w:ptab w:relativeTo="margin" w:alignment="right" w:leader="none"/>
        </w:r>
        <w:r>
          <w:rPr>
            <w:rFonts w:ascii="Arial" w:hAnsi="Arial"/>
            <w:sz w:val="14"/>
          </w:rPr>
          <w:fldChar w:fldCharType="begin"/>
        </w:r>
        <w:r>
          <w:rPr>
            <w:rFonts w:ascii="Arial" w:hAnsi="Arial"/>
            <w:sz w:val="14"/>
          </w:rPr>
          <w:instrText>PAGE   \* MERGEFORMAT</w:instrText>
        </w:r>
        <w:r>
          <w:rPr>
            <w:rFonts w:ascii="Arial" w:hAnsi="Arial"/>
            <w:sz w:val="14"/>
          </w:rPr>
          <w:fldChar w:fldCharType="end"/>
        </w:r>
        <w:r>
          <w:rPr>
            <w:rFonts w:ascii="Arial" w:hAnsi="Arial"/>
            <w:sz w:val="14"/>
          </w:rPr>
          <w:t xml:space="preserve"> из </w:t>
        </w:r>
        <w:r>
          <w:rPr>
            <w:rFonts w:ascii="Arial" w:hAnsi="Arial"/>
            <w:sz w:val="14"/>
          </w:rPr>
          <w:fldChar w:fldCharType="begin"/>
        </w:r>
        <w:r>
          <w:rPr>
            <w:rFonts w:ascii="Arial" w:hAnsi="Arial"/>
            <w:sz w:val="14"/>
          </w:rPr>
          <w:instrText>NUMPAGES   \* MERGEFORMAT</w:instrText>
        </w:r>
        <w:r>
          <w:rPr>
            <w:rFonts w:ascii="Arial" w:hAnsi="Arial"/>
            <w:sz w:val="14"/>
          </w:rPr>
          <w:fldChar w:fldCharType="end"/>
        </w:r>
      </w:p>
    </w:sdtContent>
  </w:sdt>
  <w:p w:rsidR="00790A71" w:rsidRDefault="00790A7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265" w:rsidRDefault="00B64265">
      <w:pPr>
        <w:spacing w:after="0" w:line="240" w:lineRule="auto"/>
      </w:pPr>
      <w:r>
        <w:separator/>
      </w:r>
    </w:p>
  </w:footnote>
  <w:footnote w:type="continuationSeparator" w:id="0">
    <w:p w:rsidR="00B64265" w:rsidRDefault="00B64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71"/>
    <w:rsid w:val="001D1B90"/>
    <w:rsid w:val="006D48AD"/>
    <w:rsid w:val="00790A71"/>
    <w:rsid w:val="007974C2"/>
    <w:rsid w:val="008832C5"/>
    <w:rsid w:val="008B1C30"/>
    <w:rsid w:val="00B64265"/>
    <w:rsid w:val="00D40E3D"/>
    <w:rsid w:val="00FE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CBE"/>
  <w15:docId w15:val="{CA3FB3FF-C283-4FF3-B39C-17F9446F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8AD"/>
  </w:style>
  <w:style w:type="paragraph" w:customStyle="1" w:styleId="a6">
    <w:name w:val="Знак"/>
    <w:basedOn w:val="a"/>
    <w:rsid w:val="007974C2"/>
    <w:pPr>
      <w:spacing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2843</Words>
  <Characters>16209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Администратор безопасности</cp:lastModifiedBy>
  <cp:revision>3</cp:revision>
  <dcterms:created xsi:type="dcterms:W3CDTF">2026-08-25T11:51:00Z</dcterms:created>
  <dcterms:modified xsi:type="dcterms:W3CDTF">2026-08-25T11:58:00Z</dcterms:modified>
</cp:coreProperties>
</file>