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olor w:val="000000"/>
          <w:spacing w:val="3"/>
          <w:sz w:val="24"/>
          <w:szCs w:val="24"/>
          <w:lang w:val="en-US"/>
        </w:rPr>
      </w:pPr>
      <w:r>
        <w:rPr>
          <w:b/>
          <w:bCs/>
          <w:color w:val="000000"/>
          <w:spacing w:val="3"/>
          <w:sz w:val="28"/>
          <w:szCs w:val="24"/>
        </w:rPr>
        <w:t>Договор поставки №</w:t>
      </w:r>
      <w:r>
        <w:rPr>
          <w:b/>
          <w:color w:val="000000"/>
          <w:spacing w:val="3"/>
          <w:sz w:val="28"/>
          <w:szCs w:val="24"/>
        </w:rPr>
        <w:t xml:space="preserve"> М-34</w:t>
      </w:r>
      <w:r>
        <w:rPr>
          <w:b/>
          <w:color w:val="000000"/>
          <w:spacing w:val="3"/>
          <w:sz w:val="28"/>
          <w:szCs w:val="24"/>
          <w:lang w:val="en-US"/>
        </w:rPr>
        <w:t>6</w:t>
      </w:r>
    </w:p>
    <w:p>
      <w:pPr>
        <w:pStyle w:val="Normal"/>
        <w:jc w:val="center"/>
        <w:rPr>
          <w:b/>
          <w:color w:val="000000"/>
          <w:spacing w:val="3"/>
          <w:sz w:val="24"/>
          <w:szCs w:val="24"/>
          <w:lang w:val="en-US"/>
        </w:rPr>
      </w:pPr>
      <w:r>
        <w:rPr>
          <w:b/>
          <w:color w:val="000000"/>
          <w:spacing w:val="3"/>
          <w:sz w:val="24"/>
          <w:szCs w:val="24"/>
          <w:lang w:val="en-US"/>
        </w:rPr>
      </w:r>
    </w:p>
    <w:p>
      <w:pPr>
        <w:pStyle w:val="Normal"/>
        <w:shd w:fill="FFFFFF" w:val="clear"/>
        <w:tabs>
          <w:tab w:val="clear" w:pos="708"/>
          <w:tab w:val="left" w:pos="7166" w:leader="none"/>
          <w:tab w:val="left" w:pos="7603" w:leader="underscore"/>
          <w:tab w:val="left" w:pos="9250" w:leader="underscore"/>
        </w:tabs>
        <w:rPr>
          <w:color w:val="000000"/>
          <w:spacing w:val="-5"/>
          <w:sz w:val="24"/>
          <w:szCs w:val="24"/>
        </w:rPr>
      </w:pPr>
      <w:r>
        <w:rPr>
          <w:color w:val="000000"/>
          <w:spacing w:val="-5"/>
          <w:sz w:val="24"/>
          <w:szCs w:val="24"/>
        </w:rPr>
        <w:t xml:space="preserve">г. Химки, Московская область                                                                          </w:t>
      </w:r>
      <w:r>
        <w:rPr>
          <w:color w:val="000000"/>
          <w:sz w:val="24"/>
          <w:szCs w:val="24"/>
        </w:rPr>
        <w:t>«____»_________ 2026 г.</w:t>
      </w:r>
    </w:p>
    <w:p>
      <w:pPr>
        <w:pStyle w:val="Normal"/>
        <w:shd w:fill="FFFFFF" w:val="clear"/>
        <w:tabs>
          <w:tab w:val="clear" w:pos="708"/>
          <w:tab w:val="left" w:pos="7166" w:leader="none"/>
          <w:tab w:val="left" w:pos="7603" w:leader="underscore"/>
          <w:tab w:val="left" w:pos="9250" w:leader="underscore"/>
        </w:tabs>
        <w:rPr>
          <w:color w:val="000000"/>
          <w:spacing w:val="-5"/>
          <w:sz w:val="24"/>
          <w:szCs w:val="24"/>
        </w:rPr>
      </w:pPr>
      <w:r>
        <w:rPr>
          <w:color w:val="000000"/>
          <w:spacing w:val="-5"/>
          <w:sz w:val="24"/>
          <w:szCs w:val="24"/>
        </w:rPr>
      </w:r>
    </w:p>
    <w:p>
      <w:pPr>
        <w:pStyle w:val="Normal"/>
        <w:keepNext w:val="true"/>
        <w:tabs>
          <w:tab w:val="clear" w:pos="708"/>
          <w:tab w:val="left" w:pos="0" w:leader="none"/>
        </w:tabs>
        <w:jc w:val="both"/>
        <w:rPr>
          <w:b/>
          <w:sz w:val="24"/>
          <w:szCs w:val="24"/>
        </w:rPr>
      </w:pPr>
      <w:r>
        <w:rPr>
          <w:bCs/>
          <w:color w:val="000000"/>
          <w:sz w:val="24"/>
          <w:szCs w:val="24"/>
        </w:rPr>
        <w:tab/>
        <w:t xml:space="preserve">, именуемое в дальнейшем </w:t>
      </w:r>
      <w:r>
        <w:rPr>
          <w:b/>
          <w:bCs/>
          <w:color w:val="000000"/>
          <w:sz w:val="24"/>
          <w:szCs w:val="24"/>
        </w:rPr>
        <w:t>«Поставщик»</w:t>
      </w:r>
      <w:r>
        <w:rPr>
          <w:bCs/>
          <w:color w:val="000000"/>
          <w:sz w:val="24"/>
          <w:szCs w:val="24"/>
        </w:rPr>
        <w:t xml:space="preserve">, осуществляющее свою деятельность в соответствии с Лицензией </w:t>
      </w:r>
      <w:r>
        <w:rPr>
          <w:rFonts w:cs="Times New Roman CYR" w:ascii="Times New Roman CYR" w:hAnsi="Times New Roman CYR"/>
          <w:sz w:val="24"/>
          <w:szCs w:val="24"/>
        </w:rPr>
        <w:t>№</w:t>
      </w:r>
      <w:r>
        <w:rPr>
          <w:sz w:val="24"/>
          <w:szCs w:val="24"/>
        </w:rPr>
        <w:t xml:space="preserve"> Л017-00110-77/00578280 от 20.04.2015 г., </w:t>
      </w:r>
      <w:r>
        <w:rPr>
          <w:bCs/>
          <w:color w:val="000000"/>
          <w:sz w:val="24"/>
          <w:szCs w:val="24"/>
        </w:rPr>
        <w:t xml:space="preserve">в лице исполняющего обязанности генерального директора Максимовой Елены Владимировны, действующего на основании Приказа ФМБА России №971к от 29.05.2026г. и Устава, с одной стороны и </w:t>
      </w:r>
      <w:r>
        <w:rPr>
          <w:sz w:val="24"/>
          <w:szCs w:val="24"/>
        </w:rPr>
        <w:t>Федеральное государственное бюджетное учреждение здравоохранения «Клиническая больница № 8 Федерального медико-биологического агентства» (</w:t>
      </w:r>
      <w:r>
        <w:rPr>
          <w:b/>
          <w:sz w:val="24"/>
          <w:szCs w:val="24"/>
        </w:rPr>
        <w:t>ФГБУЗ КБ № 8 ФМБА России</w:t>
      </w:r>
      <w:r>
        <w:rPr>
          <w:sz w:val="24"/>
          <w:szCs w:val="24"/>
        </w:rPr>
        <w:t>)</w:t>
      </w:r>
      <w:r>
        <w:rPr>
          <w:bCs/>
          <w:color w:val="000000"/>
          <w:sz w:val="24"/>
          <w:szCs w:val="24"/>
        </w:rPr>
        <w:t xml:space="preserve">, действующее на основании Лицензии № </w:t>
      </w:r>
      <w:r>
        <w:rPr>
          <w:sz w:val="24"/>
          <w:szCs w:val="24"/>
        </w:rPr>
        <w:t xml:space="preserve"> Л017-00110-32/00588776 от 14.06.2019 г.</w:t>
      </w:r>
      <w:r>
        <w:rPr>
          <w:bCs/>
          <w:color w:val="000000"/>
          <w:sz w:val="24"/>
          <w:szCs w:val="24"/>
        </w:rPr>
        <w:t xml:space="preserve">, именуемое в дальнейшем </w:t>
      </w:r>
      <w:r>
        <w:rPr>
          <w:b/>
          <w:bCs/>
          <w:color w:val="000000"/>
          <w:sz w:val="24"/>
          <w:szCs w:val="24"/>
        </w:rPr>
        <w:t>«Покупатель»</w:t>
      </w:r>
      <w:r>
        <w:rPr>
          <w:bCs/>
          <w:color w:val="000000"/>
          <w:sz w:val="24"/>
          <w:szCs w:val="24"/>
        </w:rPr>
        <w:t>, в лице главного врача Курдяева Сергея Михайловича, действующего на основании Устава с другой стороны, совместно именуемые Стороны, заключили настоящий Договор о нижеследующем:</w:t>
      </w:r>
    </w:p>
    <w:p>
      <w:pPr>
        <w:pStyle w:val="Normal"/>
        <w:shd w:fill="FFFFFF" w:val="clear"/>
        <w:spacing w:lineRule="exact" w:line="250"/>
        <w:rPr>
          <w:b/>
          <w:sz w:val="24"/>
          <w:szCs w:val="24"/>
        </w:rPr>
      </w:pPr>
      <w:r>
        <w:rPr>
          <w:b/>
          <w:sz w:val="24"/>
          <w:szCs w:val="24"/>
        </w:rPr>
      </w:r>
    </w:p>
    <w:p>
      <w:pPr>
        <w:pStyle w:val="Normal"/>
        <w:numPr>
          <w:ilvl w:val="0"/>
          <w:numId w:val="3"/>
        </w:numPr>
        <w:shd w:fill="FFFFFF" w:val="clear"/>
        <w:tabs>
          <w:tab w:val="clear" w:pos="708"/>
          <w:tab w:val="left" w:pos="0" w:leader="none"/>
        </w:tabs>
        <w:ind w:hanging="360" w:left="0" w:right="0"/>
        <w:jc w:val="center"/>
        <w:rPr>
          <w:bCs/>
          <w:color w:val="000000"/>
          <w:sz w:val="24"/>
          <w:szCs w:val="24"/>
        </w:rPr>
      </w:pPr>
      <w:r>
        <w:rPr>
          <w:b/>
          <w:bCs/>
          <w:color w:val="000000"/>
          <w:sz w:val="24"/>
          <w:szCs w:val="24"/>
        </w:rPr>
        <w:t>Предмет договора</w:t>
      </w:r>
    </w:p>
    <w:p>
      <w:pPr>
        <w:pStyle w:val="Normal"/>
        <w:shd w:fill="FFFFFF" w:val="clear"/>
        <w:tabs>
          <w:tab w:val="clear" w:pos="708"/>
          <w:tab w:val="left" w:pos="0" w:leader="none"/>
        </w:tabs>
        <w:rPr>
          <w:bCs/>
          <w:color w:val="000000"/>
          <w:sz w:val="24"/>
          <w:szCs w:val="24"/>
        </w:rPr>
      </w:pPr>
      <w:r>
        <w:rPr>
          <w:bCs/>
          <w:color w:val="000000"/>
          <w:sz w:val="24"/>
          <w:szCs w:val="24"/>
        </w:rPr>
      </w:r>
    </w:p>
    <w:p>
      <w:pPr>
        <w:pStyle w:val="Normal"/>
        <w:shd w:fill="FFFFFF" w:val="clear"/>
        <w:tabs>
          <w:tab w:val="clear" w:pos="708"/>
          <w:tab w:val="left" w:pos="0" w:leader="none"/>
        </w:tabs>
        <w:jc w:val="both"/>
        <w:rPr>
          <w:sz w:val="24"/>
          <w:szCs w:val="24"/>
        </w:rPr>
      </w:pPr>
      <w:r>
        <w:rPr>
          <w:sz w:val="24"/>
          <w:szCs w:val="24"/>
        </w:rPr>
        <w:tab/>
        <w:t>1.1. Поставщик обязуется поставить наркотические средства и психотропные вещества (далее – Товар) по ценам, наименованию, в количестве в сроки согласно Спецификации (Приложение № 2 к настоящему Договору), а Покупатель обязуется принять и оплатить поставленный Товар в установленном Договором порядке и размере.</w:t>
      </w:r>
    </w:p>
    <w:p>
      <w:pPr>
        <w:pStyle w:val="Normal"/>
        <w:shd w:fill="FFFFFF" w:val="clear"/>
        <w:tabs>
          <w:tab w:val="clear" w:pos="708"/>
          <w:tab w:val="left" w:pos="0" w:leader="none"/>
        </w:tabs>
        <w:jc w:val="both"/>
        <w:rPr>
          <w:sz w:val="24"/>
          <w:szCs w:val="24"/>
        </w:rPr>
      </w:pPr>
      <w:r>
        <w:rPr>
          <w:sz w:val="24"/>
          <w:szCs w:val="24"/>
        </w:rPr>
        <w:tab/>
        <w:t>1.2. При заключении настоящего Договора Стороны обязаны представить друг другу лицензии на соответствующий вид деятельности.</w:t>
      </w:r>
    </w:p>
    <w:p>
      <w:pPr>
        <w:pStyle w:val="Normal"/>
        <w:shd w:fill="FFFFFF" w:val="clear"/>
        <w:tabs>
          <w:tab w:val="clear" w:pos="708"/>
          <w:tab w:val="left" w:pos="0" w:leader="none"/>
        </w:tabs>
        <w:jc w:val="both"/>
        <w:rPr>
          <w:sz w:val="24"/>
          <w:szCs w:val="24"/>
        </w:rPr>
      </w:pPr>
      <w:r>
        <w:rPr>
          <w:sz w:val="24"/>
          <w:szCs w:val="24"/>
        </w:rPr>
      </w:r>
    </w:p>
    <w:p>
      <w:pPr>
        <w:pStyle w:val="Normal"/>
        <w:shd w:fill="FFFFFF" w:val="clear"/>
        <w:tabs>
          <w:tab w:val="clear" w:pos="708"/>
          <w:tab w:val="left" w:pos="3259" w:leader="none"/>
        </w:tabs>
        <w:jc w:val="center"/>
        <w:rPr>
          <w:b/>
          <w:bCs/>
          <w:color w:val="000000"/>
          <w:sz w:val="24"/>
          <w:szCs w:val="24"/>
        </w:rPr>
      </w:pPr>
      <w:r>
        <w:rPr>
          <w:b/>
          <w:bCs/>
          <w:color w:val="000000"/>
          <w:spacing w:val="-6"/>
          <w:sz w:val="24"/>
          <w:szCs w:val="24"/>
        </w:rPr>
        <w:t>2.</w:t>
      </w:r>
      <w:r>
        <w:rPr>
          <w:b/>
          <w:bCs/>
          <w:color w:val="000000"/>
          <w:sz w:val="24"/>
          <w:szCs w:val="24"/>
        </w:rPr>
        <w:t xml:space="preserve"> Цена договора и порядок расчетов</w:t>
      </w:r>
    </w:p>
    <w:p>
      <w:pPr>
        <w:pStyle w:val="Normal"/>
        <w:shd w:fill="FFFFFF" w:val="clear"/>
        <w:tabs>
          <w:tab w:val="clear" w:pos="708"/>
          <w:tab w:val="left" w:pos="3259" w:leader="none"/>
        </w:tabs>
        <w:rPr>
          <w:b/>
          <w:bCs/>
          <w:color w:val="000000"/>
          <w:sz w:val="24"/>
          <w:szCs w:val="24"/>
        </w:rPr>
      </w:pPr>
      <w:r>
        <w:rPr>
          <w:b/>
          <w:bCs/>
          <w:color w:val="000000"/>
          <w:sz w:val="24"/>
          <w:szCs w:val="24"/>
        </w:rPr>
      </w:r>
    </w:p>
    <w:p>
      <w:pPr>
        <w:pStyle w:val="Normal"/>
        <w:shd w:fill="FFFFFF" w:val="clear"/>
        <w:tabs>
          <w:tab w:val="clear" w:pos="708"/>
          <w:tab w:val="left" w:pos="0" w:leader="none"/>
        </w:tabs>
        <w:spacing w:lineRule="exact" w:line="250"/>
        <w:jc w:val="both"/>
        <w:rPr/>
      </w:pPr>
      <w:r>
        <w:rPr>
          <w:bCs/>
          <w:color w:val="000000"/>
          <w:spacing w:val="-8"/>
          <w:sz w:val="24"/>
          <w:szCs w:val="24"/>
        </w:rPr>
        <w:tab/>
        <w:t>2.1.</w:t>
      </w:r>
      <w:r>
        <w:rPr>
          <w:color w:val="000000"/>
          <w:spacing w:val="2"/>
          <w:sz w:val="24"/>
          <w:szCs w:val="24"/>
        </w:rPr>
        <w:t>Общая цена Договора составляет</w:t>
      </w:r>
      <w:r>
        <w:rPr>
          <w:sz w:val="24"/>
          <w:szCs w:val="24"/>
        </w:rPr>
        <w:t xml:space="preserve">  рублей  копеек ( копеек)</w:t>
      </w:r>
      <w:r>
        <w:rPr>
          <w:bCs/>
          <w:color w:val="000000"/>
          <w:spacing w:val="-1"/>
          <w:sz w:val="24"/>
          <w:szCs w:val="24"/>
        </w:rPr>
        <w:t xml:space="preserve">, в т. ч. </w:t>
      </w:r>
      <w:r>
        <w:rPr>
          <w:color w:val="000000"/>
          <w:spacing w:val="-1"/>
          <w:sz w:val="24"/>
          <w:szCs w:val="24"/>
        </w:rPr>
        <w:t>НДС 10% - 58 рублей 70 копеек (Пятьдесят восемь рублей 70 копеек).</w:t>
      </w:r>
    </w:p>
    <w:p>
      <w:pPr>
        <w:pStyle w:val="Normal"/>
        <w:shd w:fill="FFFFFF" w:val="clear"/>
        <w:tabs>
          <w:tab w:val="clear" w:pos="708"/>
          <w:tab w:val="left" w:pos="0" w:leader="none"/>
        </w:tabs>
        <w:spacing w:lineRule="exact" w:line="250"/>
        <w:jc w:val="both"/>
        <w:rPr>
          <w:sz w:val="24"/>
          <w:szCs w:val="24"/>
        </w:rPr>
      </w:pPr>
      <w:r>
        <w:rPr>
          <w:sz w:val="24"/>
          <w:szCs w:val="24"/>
        </w:rPr>
        <w:tab/>
        <w:t>2.2. Номенклатура и цена за единицу товара определены в Спецификации.</w:t>
      </w:r>
    </w:p>
    <w:p>
      <w:pPr>
        <w:pStyle w:val="Normal"/>
        <w:shd w:fill="FFFFFF" w:val="clear"/>
        <w:tabs>
          <w:tab w:val="clear" w:pos="708"/>
          <w:tab w:val="left" w:pos="0" w:leader="none"/>
        </w:tabs>
        <w:spacing w:lineRule="exact" w:line="250"/>
        <w:jc w:val="both"/>
        <w:rPr>
          <w:sz w:val="24"/>
          <w:szCs w:val="24"/>
        </w:rPr>
      </w:pPr>
      <w:r>
        <w:rPr>
          <w:sz w:val="24"/>
          <w:szCs w:val="24"/>
        </w:rPr>
        <w:tab/>
        <w:t>2.3. Покупатель обязан оплатить Товар в течение 10 (десяти) рабочих дней с момента подписания товарной накладной.</w:t>
      </w:r>
    </w:p>
    <w:p>
      <w:pPr>
        <w:pStyle w:val="Normal"/>
        <w:shd w:fill="FFFFFF" w:val="clear"/>
        <w:tabs>
          <w:tab w:val="clear" w:pos="708"/>
          <w:tab w:val="left" w:pos="0" w:leader="none"/>
        </w:tabs>
        <w:spacing w:lineRule="exact" w:line="250"/>
        <w:jc w:val="both"/>
        <w:rPr>
          <w:sz w:val="24"/>
          <w:szCs w:val="24"/>
        </w:rPr>
      </w:pPr>
      <w:r>
        <w:rPr>
          <w:sz w:val="24"/>
          <w:szCs w:val="24"/>
        </w:rPr>
        <w:tab/>
        <w:t>2.4. Цена Договора является твердой и изменению не подлежит.</w:t>
      </w:r>
    </w:p>
    <w:p>
      <w:pPr>
        <w:pStyle w:val="Normal"/>
        <w:shd w:fill="FFFFFF" w:val="clear"/>
        <w:tabs>
          <w:tab w:val="clear" w:pos="708"/>
          <w:tab w:val="left" w:pos="0" w:leader="none"/>
        </w:tabs>
        <w:spacing w:lineRule="exact" w:line="250"/>
        <w:jc w:val="both"/>
        <w:rPr>
          <w:bCs/>
          <w:color w:val="000000"/>
          <w:sz w:val="24"/>
          <w:szCs w:val="24"/>
        </w:rPr>
      </w:pPr>
      <w:r>
        <w:rPr>
          <w:sz w:val="24"/>
          <w:szCs w:val="24"/>
        </w:rPr>
        <w:tab/>
        <w:t>2.5. В стоимость Товара не входит стоимость его доставки. Расходы по доставке Товара (за исключением самовывоза) оплачиваются Поставщиком.</w:t>
      </w:r>
    </w:p>
    <w:p>
      <w:pPr>
        <w:pStyle w:val="Normal"/>
        <w:shd w:fill="FFFFFF" w:val="clear"/>
        <w:tabs>
          <w:tab w:val="clear" w:pos="708"/>
          <w:tab w:val="left" w:pos="0" w:leader="none"/>
        </w:tabs>
        <w:spacing w:lineRule="exact" w:line="250"/>
        <w:jc w:val="both"/>
        <w:rPr>
          <w:bCs/>
          <w:color w:val="000000"/>
          <w:sz w:val="24"/>
          <w:szCs w:val="24"/>
        </w:rPr>
      </w:pPr>
      <w:r>
        <w:rPr>
          <w:bCs/>
          <w:color w:val="000000"/>
          <w:sz w:val="24"/>
          <w:szCs w:val="24"/>
        </w:rPr>
        <w:tab/>
        <w:t xml:space="preserve">2.6. Покупатель </w:t>
      </w:r>
      <w:r>
        <w:rPr>
          <w:color w:val="000000"/>
          <w:sz w:val="24"/>
          <w:szCs w:val="24"/>
        </w:rPr>
        <w:t xml:space="preserve">считается исполнившим обязательство по оплате полученного Товара, в момент поступления денежных средств на расчетный счет </w:t>
      </w:r>
      <w:r>
        <w:rPr>
          <w:bCs/>
          <w:color w:val="000000"/>
          <w:sz w:val="24"/>
          <w:szCs w:val="24"/>
        </w:rPr>
        <w:t>Поставщика.</w:t>
      </w:r>
    </w:p>
    <w:p>
      <w:pPr>
        <w:pStyle w:val="Normal"/>
        <w:shd w:fill="FFFFFF" w:val="clear"/>
        <w:tabs>
          <w:tab w:val="clear" w:pos="708"/>
          <w:tab w:val="left" w:pos="0" w:leader="none"/>
        </w:tabs>
        <w:spacing w:lineRule="exact" w:line="250"/>
        <w:jc w:val="both"/>
        <w:rPr>
          <w:bCs/>
          <w:color w:val="000000"/>
          <w:sz w:val="24"/>
          <w:szCs w:val="24"/>
        </w:rPr>
      </w:pPr>
      <w:r>
        <w:rPr>
          <w:bCs/>
          <w:color w:val="000000"/>
          <w:sz w:val="24"/>
          <w:szCs w:val="24"/>
        </w:rPr>
      </w:r>
    </w:p>
    <w:p>
      <w:pPr>
        <w:pStyle w:val="Normal"/>
        <w:shd w:fill="FFFFFF" w:val="clear"/>
        <w:tabs>
          <w:tab w:val="clear" w:pos="708"/>
          <w:tab w:val="left" w:pos="3259" w:leader="none"/>
        </w:tabs>
        <w:jc w:val="center"/>
        <w:rPr>
          <w:b/>
          <w:bCs/>
          <w:color w:val="000000"/>
          <w:sz w:val="24"/>
          <w:szCs w:val="24"/>
        </w:rPr>
      </w:pPr>
      <w:r>
        <w:rPr>
          <w:b/>
          <w:bCs/>
          <w:color w:val="000000"/>
          <w:sz w:val="24"/>
          <w:szCs w:val="24"/>
        </w:rPr>
        <w:t>3. Сроки и условия поставки</w:t>
      </w:r>
    </w:p>
    <w:p>
      <w:pPr>
        <w:pStyle w:val="Normal"/>
        <w:shd w:fill="FFFFFF" w:val="clear"/>
        <w:tabs>
          <w:tab w:val="clear" w:pos="708"/>
          <w:tab w:val="left" w:pos="3259" w:leader="none"/>
        </w:tabs>
        <w:jc w:val="both"/>
        <w:rPr>
          <w:b/>
          <w:bCs/>
          <w:color w:val="000000"/>
          <w:sz w:val="24"/>
          <w:szCs w:val="24"/>
        </w:rPr>
      </w:pPr>
      <w:r>
        <w:rPr>
          <w:b/>
          <w:bCs/>
          <w:color w:val="000000"/>
          <w:sz w:val="24"/>
          <w:szCs w:val="24"/>
        </w:rPr>
      </w:r>
    </w:p>
    <w:p>
      <w:pPr>
        <w:pStyle w:val="Normal"/>
        <w:shd w:fill="FFFFFF" w:val="clear"/>
        <w:tabs>
          <w:tab w:val="clear" w:pos="708"/>
          <w:tab w:val="left" w:pos="0" w:leader="none"/>
        </w:tabs>
        <w:jc w:val="both"/>
        <w:rPr>
          <w:bCs/>
          <w:color w:val="000000"/>
          <w:sz w:val="24"/>
          <w:szCs w:val="24"/>
        </w:rPr>
      </w:pPr>
      <w:r>
        <w:rPr>
          <w:bCs/>
          <w:color w:val="000000"/>
          <w:sz w:val="24"/>
          <w:szCs w:val="24"/>
        </w:rPr>
        <w:tab/>
        <w:t>3.1. Поставка Товара производится на основании Заявки Покупателя и в соответствии с подписанной Сторонами Спецификацией, являющейся с момента подписания неотъемлемой частью настоящего Договора.</w:t>
      </w:r>
    </w:p>
    <w:p>
      <w:pPr>
        <w:pStyle w:val="Normal"/>
        <w:shd w:fill="FFFFFF" w:val="clear"/>
        <w:tabs>
          <w:tab w:val="clear" w:pos="708"/>
          <w:tab w:val="left" w:pos="0" w:leader="none"/>
        </w:tabs>
        <w:jc w:val="both"/>
        <w:rPr>
          <w:bCs/>
          <w:color w:val="000000"/>
          <w:sz w:val="24"/>
          <w:szCs w:val="24"/>
        </w:rPr>
      </w:pPr>
      <w:r>
        <w:rPr>
          <w:bCs/>
          <w:color w:val="000000"/>
          <w:sz w:val="24"/>
          <w:szCs w:val="24"/>
        </w:rPr>
        <w:tab/>
        <w:t>3.2. Для целей оформления Спецификации Покупатель обязуется заблаговременно передать Поставщику посредством факсимильной связи предварительную заявку, составленную по форме Заявки определенной  в Приложение № 1 к настоящему Договору.</w:t>
      </w:r>
    </w:p>
    <w:p>
      <w:pPr>
        <w:pStyle w:val="Normal"/>
        <w:shd w:fill="FFFFFF" w:val="clear"/>
        <w:tabs>
          <w:tab w:val="clear" w:pos="708"/>
          <w:tab w:val="left" w:pos="0" w:leader="none"/>
        </w:tabs>
        <w:jc w:val="both"/>
        <w:rPr>
          <w:bCs/>
          <w:color w:val="000000"/>
          <w:sz w:val="24"/>
          <w:szCs w:val="24"/>
        </w:rPr>
      </w:pPr>
      <w:r>
        <w:rPr>
          <w:bCs/>
          <w:color w:val="000000"/>
          <w:sz w:val="24"/>
          <w:szCs w:val="24"/>
        </w:rPr>
        <w:tab/>
        <w:t>3.2.1.</w:t>
        <w:tab/>
        <w:t>По результатам рассмотрения предварительной заявки Покупателя Поставщик оформляет Спецификацию (допускается корректировка данных предварительной заявки по усмотрению Поставщика), подписывает его со своей Стороны и направляет Покупателю 2 (два) экземпляра с поставкой Товара, либо отказывается от подписания. Покупатель в течение 3 (трех) банковских дней с момента поставки Товара и получения оригиналов Спецификации и иных товаросопроводительных документов,  обязуется передать Поставщику один экземпляр оригинальной Спецификации, подписанной уполномоченным представителем Покупателя, оригинал Заявки, подписанной уполномоченным представителем Покупателя, составленной по форме Заявки (Приложение № 1), оригинал товарно-транспортной накладной, счета-фактуры, а также иных оригиналов документов, необходимых  к передаче в оригинальном виде.</w:t>
      </w:r>
    </w:p>
    <w:p>
      <w:pPr>
        <w:pStyle w:val="Normal"/>
        <w:shd w:fill="FFFFFF" w:val="clear"/>
        <w:tabs>
          <w:tab w:val="clear" w:pos="708"/>
          <w:tab w:val="left" w:pos="0" w:leader="none"/>
        </w:tabs>
        <w:jc w:val="both"/>
        <w:rPr>
          <w:bCs/>
          <w:color w:val="000000"/>
          <w:sz w:val="24"/>
          <w:szCs w:val="24"/>
        </w:rPr>
      </w:pPr>
      <w:r>
        <w:rPr>
          <w:bCs/>
          <w:color w:val="000000"/>
          <w:sz w:val="24"/>
          <w:szCs w:val="24"/>
        </w:rPr>
        <w:tab/>
        <w:t>3.2.2. Стороны устанавливают, что при отсутствии оформления Сторонами какой-либо Спецификации в виде единого оригинального документа подтверждением согласования Сторонами такой Спецификации будет также являться факт передачи Товара Поставщиком и принятие такого Товара Покупателем, как это предусмотрено Договором; в указанном случае Спецификация считается согласованной исходя из фактического срока и места поставки Товара, а также исходя из данных о Товаре и, если транспортные расходы возмещаются отдельно, сумме транспортных расходов, указанных в сопровождающих Товар товарно-транспортных документах и счетах (счетах-фактурах).</w:t>
      </w:r>
    </w:p>
    <w:p>
      <w:pPr>
        <w:pStyle w:val="Normal"/>
        <w:shd w:fill="FFFFFF" w:val="clear"/>
        <w:tabs>
          <w:tab w:val="clear" w:pos="708"/>
          <w:tab w:val="left" w:pos="0" w:leader="none"/>
        </w:tabs>
        <w:jc w:val="both"/>
        <w:rPr>
          <w:bCs/>
          <w:color w:val="000000"/>
          <w:sz w:val="24"/>
          <w:szCs w:val="24"/>
        </w:rPr>
      </w:pPr>
      <w:r>
        <w:rPr>
          <w:bCs/>
          <w:color w:val="000000"/>
          <w:sz w:val="24"/>
          <w:szCs w:val="24"/>
        </w:rPr>
        <w:tab/>
        <w:t>3.3. Поставка Товара осуществляется силами привлеченного перевозчика – Федерального государственного унитарного предприятия «Главный центр специальной связи» (Спецсвязь России) за счет средств Поставщика. По предварительному согласованию Сторон поставка Товара может осуществляться путем самовывоза, силами и за счет средств Покупателя.</w:t>
      </w:r>
    </w:p>
    <w:p>
      <w:pPr>
        <w:pStyle w:val="Normal"/>
        <w:shd w:fill="FFFFFF" w:val="clear"/>
        <w:tabs>
          <w:tab w:val="clear" w:pos="708"/>
          <w:tab w:val="left" w:pos="0" w:leader="none"/>
        </w:tabs>
        <w:jc w:val="both"/>
        <w:rPr>
          <w:bCs/>
          <w:color w:val="000000"/>
          <w:sz w:val="24"/>
          <w:szCs w:val="24"/>
        </w:rPr>
      </w:pPr>
      <w:r>
        <w:rPr>
          <w:bCs/>
          <w:color w:val="000000"/>
          <w:sz w:val="24"/>
          <w:szCs w:val="24"/>
        </w:rPr>
        <w:tab/>
        <w:t>3.4. Поставщик считается исполнившим свои обязательства по отгрузке Товара в момент передачи его привлеченному перевозчику, для доставки Товара Покупателю.</w:t>
      </w:r>
    </w:p>
    <w:p>
      <w:pPr>
        <w:pStyle w:val="Normal"/>
        <w:shd w:fill="FFFFFF" w:val="clear"/>
        <w:tabs>
          <w:tab w:val="clear" w:pos="708"/>
          <w:tab w:val="left" w:pos="0" w:leader="none"/>
        </w:tabs>
        <w:jc w:val="both"/>
        <w:rPr>
          <w:bCs/>
          <w:color w:val="000000"/>
          <w:sz w:val="24"/>
          <w:szCs w:val="24"/>
        </w:rPr>
      </w:pPr>
      <w:r>
        <w:rPr>
          <w:bCs/>
          <w:color w:val="000000"/>
          <w:sz w:val="24"/>
          <w:szCs w:val="24"/>
        </w:rPr>
        <w:tab/>
        <w:t>3.5. Поставка Товара осуществляется в сроки, установленными перевозчиком. Передача Товара перевозчику для осуществления доставки будет производиться в срок не превышающий 15 (пятнадцати) рабочих дней с момента получения Поставщиком Заявки от Покупателя.</w:t>
      </w:r>
    </w:p>
    <w:p>
      <w:pPr>
        <w:pStyle w:val="Normal"/>
        <w:shd w:fill="FFFFFF" w:val="clear"/>
        <w:tabs>
          <w:tab w:val="clear" w:pos="708"/>
          <w:tab w:val="left" w:pos="0" w:leader="none"/>
        </w:tabs>
        <w:jc w:val="both"/>
        <w:rPr>
          <w:bCs/>
          <w:color w:val="000000"/>
          <w:sz w:val="24"/>
          <w:szCs w:val="24"/>
        </w:rPr>
      </w:pPr>
      <w:r>
        <w:rPr>
          <w:bCs/>
          <w:color w:val="000000"/>
          <w:sz w:val="24"/>
          <w:szCs w:val="24"/>
        </w:rPr>
        <w:tab/>
        <w:t>3.6. Стороны договорились, что приемка Товара по количеству и качеству производится в сроки и порядке, определенном Инструкцией о порядке приемки продукции производственно-технического назначения и товаров народного потребления по количеству № П-6, утвержденной Постановлением Госарбитража при Совете Министров СССР от 15.06.1965 г. и Инструкцией о порядке приемки продукции производственно-технического назначения и товаров народного потребления по качеству № П-7, утвержденной Постановлением Госарбитража при Совете Министров СССР от 25.04.1966 г. Вышеуказанные Инструкции подлежат применению в части, не противоречащей Гражданскому кодексу Российской Федерации.</w:t>
      </w:r>
    </w:p>
    <w:p>
      <w:pPr>
        <w:pStyle w:val="Normal"/>
        <w:shd w:fill="FFFFFF" w:val="clear"/>
        <w:tabs>
          <w:tab w:val="clear" w:pos="708"/>
          <w:tab w:val="left" w:pos="0" w:leader="none"/>
        </w:tabs>
        <w:jc w:val="both"/>
        <w:rPr>
          <w:bCs/>
          <w:color w:val="000000"/>
          <w:sz w:val="24"/>
          <w:szCs w:val="24"/>
        </w:rPr>
      </w:pPr>
      <w:r>
        <w:rPr>
          <w:bCs/>
          <w:color w:val="000000"/>
          <w:sz w:val="24"/>
          <w:szCs w:val="24"/>
        </w:rPr>
        <w:tab/>
        <w:t>3.7. Поставщик направляет в ИС МДЛП сведения об отгруженном маркированном Товаре сразу после окончания его отгрузки со своего склада, но не позднее, чем в сроки, установленные законодательством.</w:t>
      </w:r>
    </w:p>
    <w:p>
      <w:pPr>
        <w:pStyle w:val="Normal"/>
        <w:shd w:fill="FFFFFF" w:val="clear"/>
        <w:tabs>
          <w:tab w:val="clear" w:pos="708"/>
          <w:tab w:val="left" w:pos="0" w:leader="none"/>
        </w:tabs>
        <w:jc w:val="both"/>
        <w:rPr>
          <w:bCs/>
          <w:color w:val="000000"/>
          <w:sz w:val="24"/>
          <w:szCs w:val="24"/>
        </w:rPr>
      </w:pPr>
      <w:r>
        <w:rPr>
          <w:bCs/>
          <w:color w:val="000000"/>
          <w:sz w:val="24"/>
          <w:szCs w:val="24"/>
        </w:rPr>
        <w:tab/>
        <w:t>3.8. Покупатель  выполняет в ИС МДЛП подтверждение сведений об отгруженном маркированном Товаре в сроки, установленные законодательством.</w:t>
      </w:r>
    </w:p>
    <w:p>
      <w:pPr>
        <w:pStyle w:val="Normal"/>
        <w:shd w:fill="FFFFFF" w:val="clear"/>
        <w:tabs>
          <w:tab w:val="clear" w:pos="708"/>
          <w:tab w:val="left" w:pos="0" w:leader="none"/>
        </w:tabs>
        <w:jc w:val="both"/>
        <w:rPr>
          <w:bCs/>
          <w:color w:val="000000"/>
          <w:sz w:val="24"/>
          <w:szCs w:val="24"/>
        </w:rPr>
      </w:pPr>
      <w:r>
        <w:rPr>
          <w:bCs/>
          <w:color w:val="000000"/>
          <w:sz w:val="24"/>
          <w:szCs w:val="24"/>
        </w:rPr>
      </w:r>
    </w:p>
    <w:p>
      <w:pPr>
        <w:pStyle w:val="Normal"/>
        <w:widowControl/>
        <w:suppressAutoHyphens w:val="true"/>
        <w:autoSpaceDE w:val="true"/>
        <w:spacing w:lineRule="exact" w:line="240"/>
        <w:jc w:val="center"/>
        <w:rPr>
          <w:b/>
          <w:sz w:val="24"/>
          <w:szCs w:val="24"/>
        </w:rPr>
      </w:pPr>
      <w:r>
        <w:rPr>
          <w:b/>
          <w:sz w:val="24"/>
          <w:szCs w:val="24"/>
        </w:rPr>
        <w:t>4. Количество и качество товара</w:t>
      </w:r>
    </w:p>
    <w:p>
      <w:pPr>
        <w:pStyle w:val="Normal"/>
        <w:widowControl/>
        <w:suppressAutoHyphens w:val="true"/>
        <w:autoSpaceDE w:val="true"/>
        <w:spacing w:lineRule="exact" w:line="240"/>
        <w:rPr>
          <w:b/>
          <w:sz w:val="24"/>
          <w:szCs w:val="24"/>
        </w:rPr>
      </w:pPr>
      <w:r>
        <w:rPr>
          <w:b/>
          <w:sz w:val="24"/>
          <w:szCs w:val="24"/>
        </w:rPr>
      </w:r>
    </w:p>
    <w:p>
      <w:pPr>
        <w:pStyle w:val="Normal"/>
        <w:widowControl/>
        <w:suppressAutoHyphens w:val="true"/>
        <w:autoSpaceDE w:val="true"/>
        <w:ind w:firstLine="708" w:right="0"/>
        <w:jc w:val="both"/>
        <w:rPr>
          <w:sz w:val="24"/>
          <w:szCs w:val="24"/>
        </w:rPr>
      </w:pPr>
      <w:r>
        <w:rPr>
          <w:sz w:val="24"/>
          <w:szCs w:val="24"/>
        </w:rPr>
        <w:t>4.1. Качество Товара должно соответствовать техническим условиям или другой нормативно-технической документации применительно к каждому из видов Товара.</w:t>
      </w:r>
    </w:p>
    <w:p>
      <w:pPr>
        <w:pStyle w:val="Normal"/>
        <w:widowControl/>
        <w:suppressAutoHyphens w:val="true"/>
        <w:autoSpaceDE w:val="true"/>
        <w:ind w:firstLine="708" w:right="0"/>
        <w:jc w:val="both"/>
        <w:rPr>
          <w:sz w:val="24"/>
          <w:szCs w:val="24"/>
        </w:rPr>
      </w:pPr>
      <w:r>
        <w:rPr>
          <w:sz w:val="24"/>
          <w:szCs w:val="24"/>
        </w:rPr>
        <w:t>4.2. Товар должен поставляться в таре и упаковке, соответствующих государственным стандартам, техническим условиям, другой нормативно-технической документации в зависимости от вида Товара, стоимость тары и упаковки включена в цену Товара. Упаковка Товара должна соответствовать требованиям, обычно предъявляемым при транспортировке подобного вида Товара согласованным Сторонами видом транспорта. Упаковка Товара должна обеспечивать его сохранность при соблюдении перевозчиком требований/условий установленных или необходимых для транспортировки такого Товара.</w:t>
      </w:r>
    </w:p>
    <w:p>
      <w:pPr>
        <w:pStyle w:val="Normal"/>
        <w:widowControl/>
        <w:suppressAutoHyphens w:val="true"/>
        <w:autoSpaceDE w:val="true"/>
        <w:ind w:firstLine="708" w:right="0"/>
        <w:jc w:val="both"/>
        <w:rPr>
          <w:sz w:val="24"/>
          <w:szCs w:val="24"/>
        </w:rPr>
      </w:pPr>
      <w:r>
        <w:rPr>
          <w:sz w:val="24"/>
          <w:szCs w:val="24"/>
        </w:rPr>
        <w:t>4.4. На момент поставки остаточный срок годности Товара должен быть не менее 10 (десяти) месяцев от срока годности, установленного производителем Товара, если в Приложении не будет установлено иное. Поставка товара с меньшим сроком годности осуществляется с согласия Покупателя.</w:t>
      </w:r>
    </w:p>
    <w:p>
      <w:pPr>
        <w:pStyle w:val="Normal"/>
        <w:widowControl/>
        <w:suppressAutoHyphens w:val="true"/>
        <w:autoSpaceDE w:val="true"/>
        <w:jc w:val="both"/>
        <w:rPr>
          <w:sz w:val="24"/>
          <w:szCs w:val="24"/>
        </w:rPr>
      </w:pPr>
      <w:r>
        <w:rPr>
          <w:sz w:val="24"/>
          <w:szCs w:val="24"/>
        </w:rPr>
      </w:r>
    </w:p>
    <w:p>
      <w:pPr>
        <w:pStyle w:val="Normal"/>
        <w:widowControl/>
        <w:suppressAutoHyphens w:val="true"/>
        <w:autoSpaceDE w:val="true"/>
        <w:spacing w:lineRule="exact" w:line="240"/>
        <w:jc w:val="center"/>
        <w:rPr>
          <w:b/>
          <w:sz w:val="24"/>
          <w:szCs w:val="24"/>
          <w:lang w:val="en-US"/>
        </w:rPr>
      </w:pPr>
      <w:r>
        <w:rPr>
          <w:b/>
          <w:sz w:val="24"/>
          <w:szCs w:val="24"/>
        </w:rPr>
        <w:t>5. Ответственность сторон</w:t>
      </w:r>
    </w:p>
    <w:p>
      <w:pPr>
        <w:pStyle w:val="Normal"/>
        <w:widowControl/>
        <w:suppressAutoHyphens w:val="true"/>
        <w:autoSpaceDE w:val="true"/>
        <w:spacing w:lineRule="exact" w:line="240"/>
        <w:rPr>
          <w:b/>
          <w:sz w:val="24"/>
          <w:szCs w:val="24"/>
          <w:lang w:val="en-US"/>
        </w:rPr>
      </w:pPr>
      <w:r>
        <w:rPr>
          <w:b/>
          <w:sz w:val="24"/>
          <w:szCs w:val="24"/>
          <w:lang w:val="en-US"/>
        </w:rPr>
      </w:r>
    </w:p>
    <w:p>
      <w:pPr>
        <w:pStyle w:val="Normal"/>
        <w:widowControl/>
        <w:autoSpaceDE w:val="true"/>
        <w:ind w:firstLine="708" w:right="0"/>
        <w:jc w:val="both"/>
        <w:rPr>
          <w:sz w:val="24"/>
          <w:szCs w:val="24"/>
        </w:rPr>
      </w:pPr>
      <w:r>
        <w:rPr>
          <w:sz w:val="24"/>
          <w:szCs w:val="24"/>
        </w:rPr>
        <w:t>5.1.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w:t>
      </w:r>
    </w:p>
    <w:p>
      <w:pPr>
        <w:pStyle w:val="Normal"/>
        <w:shd w:fill="FFFFFF" w:val="clear"/>
        <w:spacing w:lineRule="exact" w:line="245"/>
        <w:ind w:firstLine="708" w:right="0"/>
        <w:jc w:val="both"/>
        <w:rPr>
          <w:sz w:val="24"/>
          <w:szCs w:val="24"/>
        </w:rPr>
      </w:pPr>
      <w:r>
        <w:rPr>
          <w:sz w:val="24"/>
          <w:szCs w:val="24"/>
        </w:rPr>
        <w:t xml:space="preserve">5.2. В случае просрочки исполнения Покупателем обязательств, предусмотренных Договором, Поставщик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Normal"/>
        <w:shd w:fill="FFFFFF" w:val="clear"/>
        <w:spacing w:lineRule="exact" w:line="245"/>
        <w:ind w:firstLine="708" w:right="0"/>
        <w:jc w:val="both"/>
        <w:rPr>
          <w:sz w:val="24"/>
          <w:szCs w:val="24"/>
        </w:rPr>
      </w:pPr>
      <w:r>
        <w:rPr>
          <w:sz w:val="24"/>
          <w:szCs w:val="24"/>
        </w:rPr>
        <w:t xml:space="preserve">5.3. В случае просрочки исполнения Поставщиком обязательств, предусмотренных Договором, Покупатель вправе потребовать уплаты пеней.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стоимости, недопоставленного (не поставленного) товара. </w:t>
      </w:r>
    </w:p>
    <w:p>
      <w:pPr>
        <w:pStyle w:val="Normal"/>
        <w:shd w:fill="FFFFFF" w:val="clear"/>
        <w:spacing w:lineRule="exact" w:line="245"/>
        <w:ind w:firstLine="708" w:right="0"/>
        <w:jc w:val="both"/>
        <w:rPr>
          <w:bCs/>
          <w:color w:val="000000"/>
          <w:spacing w:val="-1"/>
          <w:sz w:val="24"/>
          <w:szCs w:val="24"/>
        </w:rPr>
      </w:pPr>
      <w:r>
        <w:rPr>
          <w:sz w:val="24"/>
          <w:szCs w:val="24"/>
        </w:rPr>
        <w:t>5.4.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pPr>
        <w:pStyle w:val="Normal"/>
        <w:shd w:fill="FFFFFF" w:val="clear"/>
        <w:rPr>
          <w:bCs/>
          <w:color w:val="000000"/>
          <w:spacing w:val="-1"/>
          <w:sz w:val="24"/>
          <w:szCs w:val="24"/>
        </w:rPr>
      </w:pPr>
      <w:r>
        <w:rPr>
          <w:bCs/>
          <w:color w:val="000000"/>
          <w:spacing w:val="-1"/>
          <w:sz w:val="24"/>
          <w:szCs w:val="24"/>
        </w:rPr>
      </w:r>
    </w:p>
    <w:p>
      <w:pPr>
        <w:pStyle w:val="Normal"/>
        <w:widowControl/>
        <w:suppressAutoHyphens w:val="true"/>
        <w:autoSpaceDE w:val="true"/>
        <w:spacing w:lineRule="exact" w:line="240"/>
        <w:jc w:val="center"/>
        <w:rPr>
          <w:b/>
          <w:sz w:val="24"/>
          <w:szCs w:val="24"/>
          <w:lang w:val="en-US"/>
        </w:rPr>
      </w:pPr>
      <w:r>
        <w:rPr>
          <w:b/>
          <w:sz w:val="24"/>
          <w:szCs w:val="24"/>
        </w:rPr>
        <w:t>6. Форс-мажор</w:t>
      </w:r>
    </w:p>
    <w:p>
      <w:pPr>
        <w:pStyle w:val="Normal"/>
        <w:widowControl/>
        <w:suppressAutoHyphens w:val="true"/>
        <w:autoSpaceDE w:val="true"/>
        <w:spacing w:lineRule="exact" w:line="240"/>
        <w:rPr>
          <w:b/>
          <w:sz w:val="24"/>
          <w:szCs w:val="24"/>
          <w:lang w:val="en-US"/>
        </w:rPr>
      </w:pPr>
      <w:r>
        <w:rPr>
          <w:b/>
          <w:sz w:val="24"/>
          <w:szCs w:val="24"/>
          <w:lang w:val="en-US"/>
        </w:rPr>
      </w:r>
    </w:p>
    <w:p>
      <w:pPr>
        <w:pStyle w:val="Normal"/>
        <w:widowControl/>
        <w:suppressAutoHyphens w:val="true"/>
        <w:autoSpaceDE w:val="true"/>
        <w:ind w:firstLine="708" w:right="0"/>
        <w:jc w:val="both"/>
        <w:rPr>
          <w:sz w:val="24"/>
          <w:szCs w:val="24"/>
        </w:rPr>
      </w:pPr>
      <w:r>
        <w:rPr>
          <w:sz w:val="24"/>
          <w:szCs w:val="24"/>
        </w:rPr>
        <w:t>6.1. Стороны освобождаются от ответственности за неисполнение или ненадлежащее исполнение обязательств по Договору в случае, если такое неисполнение произошло вследствие обстоятельств непреодолимой силы (форс-мажор), т.е. чрезвычайных и непредотвратимых при данных условиях обстоятельств. В этом случае установленные сроки выполнения обязательств, указанных в Договоре, переносятся на срок, в течение которого действуют форс-мажорные обстоятельства.</w:t>
      </w:r>
    </w:p>
    <w:p>
      <w:pPr>
        <w:pStyle w:val="Normal"/>
        <w:widowControl/>
        <w:suppressAutoHyphens w:val="true"/>
        <w:autoSpaceDE w:val="true"/>
        <w:ind w:firstLine="708" w:right="0"/>
        <w:jc w:val="both"/>
        <w:rPr>
          <w:sz w:val="24"/>
          <w:szCs w:val="24"/>
        </w:rPr>
      </w:pPr>
      <w:r>
        <w:rPr>
          <w:sz w:val="24"/>
          <w:szCs w:val="24"/>
        </w:rPr>
        <w:t>6.2.Сторона, для которой создалась невозможность исполнения обязательств по Договору, обязана известить в письменной форме другую Сторону в течение 10 (Десяти) календарных дней о наступлении или прекращении вышеуказанных обстоятельств.</w:t>
      </w:r>
    </w:p>
    <w:p>
      <w:pPr>
        <w:pStyle w:val="Normal"/>
        <w:widowControl/>
        <w:suppressAutoHyphens w:val="true"/>
        <w:autoSpaceDE w:val="true"/>
        <w:ind w:firstLine="708" w:right="0"/>
        <w:jc w:val="both"/>
        <w:rPr>
          <w:sz w:val="24"/>
          <w:szCs w:val="24"/>
        </w:rPr>
      </w:pPr>
      <w:r>
        <w:rPr>
          <w:sz w:val="24"/>
          <w:szCs w:val="24"/>
        </w:rPr>
        <w:t>6.3.Факт возникновения обстоятельств, указанных в п. 6.1 Договора, и срок их действия должен быть подтвержден актом Торгово-Промышленной палаты Российской Федерации либо Торгово-промышленной палаты, расположенной по месту нахождения соответствующей Стороны Договора, либо компетентного государственного органа.</w:t>
      </w:r>
    </w:p>
    <w:p>
      <w:pPr>
        <w:pStyle w:val="Normal"/>
        <w:widowControl/>
        <w:suppressAutoHyphens w:val="true"/>
        <w:autoSpaceDE w:val="true"/>
        <w:ind w:firstLine="708" w:right="0"/>
        <w:jc w:val="both"/>
        <w:rPr>
          <w:b/>
          <w:sz w:val="24"/>
          <w:szCs w:val="24"/>
          <w:lang w:val="en-US"/>
        </w:rPr>
      </w:pPr>
      <w:r>
        <w:rPr>
          <w:sz w:val="24"/>
          <w:szCs w:val="24"/>
        </w:rPr>
        <w:t>6.4.Если указанные в п. 6.1 Договора обстоятельства продолжают действовать более 60 (Шестидесяти) календарных дней, любая из Сторон может предложить другой Стороне внести соответствующие изменения в Договор либо его расторгнуть, в случае такого расторжения Договора ни одна из Сторон не вправе требовать от другой Стороны возмещения убытков, причиненных таким изменением/расторжением Договора.</w:t>
      </w:r>
    </w:p>
    <w:p>
      <w:pPr>
        <w:pStyle w:val="Normal"/>
        <w:widowControl/>
        <w:suppressAutoHyphens w:val="true"/>
        <w:autoSpaceDE w:val="true"/>
        <w:spacing w:lineRule="exact" w:line="240"/>
        <w:rPr>
          <w:b/>
          <w:sz w:val="24"/>
          <w:szCs w:val="24"/>
          <w:lang w:val="en-US"/>
        </w:rPr>
      </w:pPr>
      <w:r>
        <w:rPr>
          <w:b/>
          <w:sz w:val="24"/>
          <w:szCs w:val="24"/>
          <w:lang w:val="en-US"/>
        </w:rPr>
      </w:r>
    </w:p>
    <w:p>
      <w:pPr>
        <w:pStyle w:val="Normal"/>
        <w:widowControl/>
        <w:suppressAutoHyphens w:val="true"/>
        <w:autoSpaceDE w:val="true"/>
        <w:spacing w:lineRule="exact" w:line="240"/>
        <w:jc w:val="center"/>
        <w:rPr>
          <w:b/>
          <w:sz w:val="24"/>
          <w:szCs w:val="24"/>
        </w:rPr>
      </w:pPr>
      <w:r>
        <w:rPr>
          <w:b/>
          <w:sz w:val="24"/>
          <w:szCs w:val="24"/>
        </w:rPr>
        <w:t xml:space="preserve"> </w:t>
      </w:r>
      <w:r>
        <w:rPr>
          <w:b/>
          <w:sz w:val="24"/>
          <w:szCs w:val="24"/>
        </w:rPr>
        <w:t>7. Разрешение споров</w:t>
      </w:r>
    </w:p>
    <w:p>
      <w:pPr>
        <w:pStyle w:val="Normal"/>
        <w:widowControl/>
        <w:suppressAutoHyphens w:val="true"/>
        <w:autoSpaceDE w:val="true"/>
        <w:spacing w:lineRule="exact" w:line="240"/>
        <w:jc w:val="center"/>
        <w:rPr>
          <w:b/>
          <w:sz w:val="24"/>
          <w:szCs w:val="24"/>
        </w:rPr>
      </w:pPr>
      <w:r>
        <w:rPr>
          <w:b/>
          <w:sz w:val="24"/>
          <w:szCs w:val="24"/>
        </w:rPr>
      </w:r>
    </w:p>
    <w:p>
      <w:pPr>
        <w:pStyle w:val="Normal"/>
        <w:widowControl/>
        <w:suppressAutoHyphens w:val="true"/>
        <w:autoSpaceDE w:val="true"/>
        <w:ind w:firstLine="708" w:right="0"/>
        <w:jc w:val="both"/>
        <w:rPr>
          <w:sz w:val="24"/>
          <w:szCs w:val="24"/>
        </w:rPr>
      </w:pPr>
      <w:r>
        <w:rPr>
          <w:sz w:val="24"/>
          <w:szCs w:val="24"/>
        </w:rPr>
        <w:t>7.1.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Московской области.</w:t>
      </w:r>
    </w:p>
    <w:p>
      <w:pPr>
        <w:pStyle w:val="Normal"/>
        <w:widowControl/>
        <w:autoSpaceDE w:val="true"/>
        <w:ind w:firstLine="708" w:right="0"/>
        <w:jc w:val="both"/>
        <w:rPr>
          <w:sz w:val="24"/>
          <w:szCs w:val="24"/>
        </w:rPr>
      </w:pPr>
      <w:r>
        <w:rPr>
          <w:sz w:val="24"/>
          <w:szCs w:val="24"/>
        </w:rPr>
        <w:t>7.2.Сторонами устанавливается обязательный претензионный порядок урегулирования споров в отношении количества/качества поставляемого Товара. Претензии направляются заявителем посредством почтовой связи (в т.ч. экспресс-почтой) или вручаются контрагенту под роспись.</w:t>
      </w:r>
    </w:p>
    <w:p>
      <w:pPr>
        <w:pStyle w:val="Normal"/>
        <w:widowControl/>
        <w:autoSpaceDE w:val="true"/>
        <w:ind w:firstLine="708" w:right="0"/>
        <w:jc w:val="both"/>
        <w:rPr>
          <w:sz w:val="24"/>
          <w:szCs w:val="24"/>
        </w:rPr>
      </w:pPr>
      <w:r>
        <w:rPr>
          <w:sz w:val="24"/>
          <w:szCs w:val="24"/>
        </w:rPr>
        <w:t>7.3. Претензии по количеству предъявляются не позднее 15 (пятнадцати) календарных дней со дня принятия Товара Покупателем (грузополучателем).</w:t>
      </w:r>
    </w:p>
    <w:p>
      <w:pPr>
        <w:pStyle w:val="Normal"/>
        <w:widowControl/>
        <w:autoSpaceDE w:val="true"/>
        <w:ind w:firstLine="708" w:right="0"/>
        <w:jc w:val="both"/>
        <w:rPr>
          <w:sz w:val="24"/>
          <w:szCs w:val="24"/>
        </w:rPr>
      </w:pPr>
      <w:r>
        <w:rPr>
          <w:sz w:val="24"/>
          <w:szCs w:val="24"/>
        </w:rPr>
        <w:t>7.4. Претензии по качеству предъявляются на протяжении всего срока годности Товара, но не позднее 15 (пятнадцати) календарных дней со дня обнаружения несоответствия качества Товара условиям Договора.</w:t>
      </w:r>
    </w:p>
    <w:p>
      <w:pPr>
        <w:pStyle w:val="Normal"/>
        <w:widowControl/>
        <w:autoSpaceDE w:val="true"/>
        <w:ind w:firstLine="708" w:right="0"/>
        <w:jc w:val="both"/>
        <w:rPr>
          <w:sz w:val="24"/>
          <w:szCs w:val="24"/>
        </w:rPr>
      </w:pPr>
      <w:r>
        <w:rPr>
          <w:sz w:val="24"/>
          <w:szCs w:val="24"/>
        </w:rPr>
        <w:t>7.5. Ответ на претензию должен быть направлен заявителю в течение 15 (пятнадцати) календарных дней со дня её получения.</w:t>
      </w:r>
    </w:p>
    <w:p>
      <w:pPr>
        <w:pStyle w:val="Normal"/>
        <w:widowControl/>
        <w:autoSpaceDE w:val="true"/>
        <w:ind w:firstLine="708" w:right="0"/>
        <w:jc w:val="both"/>
        <w:rPr>
          <w:sz w:val="24"/>
          <w:szCs w:val="24"/>
        </w:rPr>
      </w:pPr>
      <w:r>
        <w:rPr>
          <w:sz w:val="24"/>
          <w:szCs w:val="24"/>
        </w:rPr>
        <w:t>7.6. При нарушении Покупателем изложенных в п.п. 7.2 – 7.4 настоящего Договора условий Поставщик вправе отклонить какие-либо претензии Покупателя по количеству/качеству Товара без возмещения Покупателю какого-либо ущерба и/или убытков и/или процентов и/или упущенной выгоды и не несет ответственности за несоответствие Товара условиям Договора о количестве и/или качестве.</w:t>
      </w:r>
    </w:p>
    <w:p>
      <w:pPr>
        <w:pStyle w:val="Normal"/>
        <w:widowControl/>
        <w:autoSpaceDE w:val="true"/>
        <w:ind w:firstLine="708" w:right="0"/>
        <w:jc w:val="both"/>
        <w:rPr>
          <w:sz w:val="24"/>
          <w:szCs w:val="24"/>
        </w:rPr>
      </w:pPr>
      <w:r>
        <w:rPr>
          <w:sz w:val="24"/>
          <w:szCs w:val="24"/>
        </w:rPr>
      </w:r>
    </w:p>
    <w:p>
      <w:pPr>
        <w:pStyle w:val="Normal"/>
        <w:widowControl/>
        <w:autoSpaceDE w:val="true"/>
        <w:jc w:val="center"/>
        <w:rPr>
          <w:b/>
          <w:sz w:val="24"/>
          <w:szCs w:val="24"/>
        </w:rPr>
      </w:pPr>
      <w:r>
        <w:rPr>
          <w:b/>
          <w:sz w:val="24"/>
          <w:szCs w:val="24"/>
        </w:rPr>
        <w:t>8. Срок действия договора</w:t>
      </w:r>
    </w:p>
    <w:p>
      <w:pPr>
        <w:pStyle w:val="Normal"/>
        <w:widowControl/>
        <w:autoSpaceDE w:val="true"/>
        <w:rPr>
          <w:b/>
          <w:sz w:val="24"/>
          <w:szCs w:val="24"/>
        </w:rPr>
      </w:pPr>
      <w:r>
        <w:rPr>
          <w:b/>
          <w:sz w:val="24"/>
          <w:szCs w:val="24"/>
        </w:rPr>
      </w:r>
    </w:p>
    <w:p>
      <w:pPr>
        <w:pStyle w:val="Normal"/>
        <w:widowControl/>
        <w:autoSpaceDE w:val="true"/>
        <w:ind w:firstLine="708" w:right="0"/>
        <w:jc w:val="both"/>
        <w:rPr>
          <w:sz w:val="24"/>
          <w:szCs w:val="24"/>
        </w:rPr>
      </w:pPr>
      <w:r>
        <w:rPr>
          <w:sz w:val="24"/>
          <w:szCs w:val="24"/>
        </w:rPr>
        <w:t>8.1. Настоящий Договор вступает в силу с момента его подписания Сторонами и действует до «31» августа 2026 года, но в любом случае до полного исполнения Покупателем своих обязательств, предусмотренных п. 2.3. настоящего Договора.</w:t>
      </w:r>
    </w:p>
    <w:p>
      <w:pPr>
        <w:pStyle w:val="Normal"/>
        <w:widowControl/>
        <w:autoSpaceDE w:val="true"/>
        <w:jc w:val="both"/>
        <w:rPr>
          <w:sz w:val="24"/>
          <w:szCs w:val="24"/>
        </w:rPr>
      </w:pPr>
      <w:r>
        <w:rPr>
          <w:sz w:val="24"/>
          <w:szCs w:val="24"/>
        </w:rPr>
      </w:r>
    </w:p>
    <w:p>
      <w:pPr>
        <w:pStyle w:val="Normal"/>
        <w:widowControl/>
        <w:suppressAutoHyphens w:val="true"/>
        <w:autoSpaceDE w:val="true"/>
        <w:spacing w:lineRule="exact" w:line="240"/>
        <w:jc w:val="center"/>
        <w:rPr>
          <w:b/>
          <w:sz w:val="24"/>
          <w:szCs w:val="24"/>
          <w:lang w:val="en-US"/>
        </w:rPr>
      </w:pPr>
      <w:r>
        <w:rPr>
          <w:b/>
          <w:sz w:val="24"/>
          <w:szCs w:val="24"/>
        </w:rPr>
        <w:t>9. Заключительные положения</w:t>
      </w:r>
    </w:p>
    <w:p>
      <w:pPr>
        <w:pStyle w:val="Normal"/>
        <w:widowControl/>
        <w:suppressAutoHyphens w:val="true"/>
        <w:autoSpaceDE w:val="true"/>
        <w:spacing w:lineRule="exact" w:line="240"/>
        <w:rPr>
          <w:b/>
          <w:sz w:val="24"/>
          <w:szCs w:val="24"/>
          <w:lang w:val="en-US"/>
        </w:rPr>
      </w:pPr>
      <w:r>
        <w:rPr>
          <w:b/>
          <w:sz w:val="24"/>
          <w:szCs w:val="24"/>
          <w:lang w:val="en-US"/>
        </w:rPr>
      </w:r>
    </w:p>
    <w:p>
      <w:pPr>
        <w:pStyle w:val="Normal"/>
        <w:widowControl/>
        <w:tabs>
          <w:tab w:val="clear" w:pos="708"/>
          <w:tab w:val="left" w:pos="-2127" w:leader="none"/>
        </w:tabs>
        <w:suppressAutoHyphens w:val="true"/>
        <w:autoSpaceDE w:val="true"/>
        <w:jc w:val="both"/>
        <w:rPr>
          <w:sz w:val="24"/>
          <w:szCs w:val="24"/>
        </w:rPr>
      </w:pPr>
      <w:r>
        <w:rPr>
          <w:sz w:val="24"/>
          <w:szCs w:val="24"/>
        </w:rPr>
        <w:tab/>
        <w:t>9.1. Настоящий Договор, все дополнения и Приложения к нему, а также иная информация, полученная Сторонами при исполнении настоящего Договора, рассматриваются как конфиденциальные документы (сведения) и не подлежат раскрытию третьим лицам в течение всего срока действия настоящего Договора и на протяжении года по его истечении, без предварительного письменного согласия на это другой Стороны.</w:t>
      </w:r>
    </w:p>
    <w:p>
      <w:pPr>
        <w:pStyle w:val="Normal"/>
        <w:widowControl/>
        <w:tabs>
          <w:tab w:val="clear" w:pos="708"/>
          <w:tab w:val="left" w:pos="-2127" w:leader="none"/>
          <w:tab w:val="left" w:pos="0" w:leader="none"/>
        </w:tabs>
        <w:suppressAutoHyphens w:val="true"/>
        <w:autoSpaceDE w:val="true"/>
        <w:jc w:val="both"/>
        <w:rPr>
          <w:sz w:val="24"/>
          <w:szCs w:val="24"/>
          <w:lang w:val="en-US"/>
        </w:rPr>
      </w:pPr>
      <w:r>
        <w:rPr>
          <w:sz w:val="24"/>
          <w:szCs w:val="24"/>
        </w:rPr>
        <w:tab/>
        <w:t>Информация не будет считаться конфиденциальной, и получающая Сторона не будет иметь никаких обязательств в отношении данной информации, если она удовлетворяет одному из следующих критериев:</w:t>
      </w:r>
    </w:p>
    <w:p>
      <w:pPr>
        <w:pStyle w:val="Normal"/>
        <w:widowControl/>
        <w:tabs>
          <w:tab w:val="clear" w:pos="708"/>
          <w:tab w:val="left" w:pos="-2127" w:leader="none"/>
          <w:tab w:val="left" w:pos="0" w:leader="none"/>
        </w:tabs>
        <w:suppressAutoHyphens w:val="true"/>
        <w:autoSpaceDE w:val="true"/>
        <w:jc w:val="both"/>
        <w:rPr>
          <w:sz w:val="24"/>
          <w:szCs w:val="24"/>
          <w:lang w:val="en-US"/>
        </w:rPr>
      </w:pPr>
      <w:r>
        <w:rPr>
          <w:sz w:val="24"/>
          <w:szCs w:val="24"/>
          <w:lang w:val="en-US"/>
        </w:rPr>
        <w:tab/>
      </w:r>
      <w:r>
        <w:rPr>
          <w:sz w:val="24"/>
          <w:szCs w:val="24"/>
        </w:rPr>
        <w:t>- информация становится общеизвестной до момента получения ее получающей Стороной;</w:t>
      </w:r>
    </w:p>
    <w:p>
      <w:pPr>
        <w:pStyle w:val="Normal"/>
        <w:widowControl/>
        <w:tabs>
          <w:tab w:val="clear" w:pos="708"/>
          <w:tab w:val="left" w:pos="-2127" w:leader="none"/>
          <w:tab w:val="left" w:pos="0" w:leader="none"/>
        </w:tabs>
        <w:suppressAutoHyphens w:val="true"/>
        <w:autoSpaceDE w:val="true"/>
        <w:jc w:val="both"/>
        <w:rPr>
          <w:sz w:val="24"/>
          <w:szCs w:val="24"/>
        </w:rPr>
      </w:pPr>
      <w:r>
        <w:rPr>
          <w:sz w:val="24"/>
          <w:szCs w:val="24"/>
          <w:lang w:val="en-US"/>
        </w:rPr>
        <w:tab/>
      </w:r>
      <w:r>
        <w:rPr>
          <w:sz w:val="24"/>
          <w:szCs w:val="24"/>
        </w:rPr>
        <w:t>- информация представлена третьей стороне раскрывающей Стороной без аналогичного ограничения на права третьей стороны;</w:t>
      </w:r>
    </w:p>
    <w:p>
      <w:pPr>
        <w:pStyle w:val="Normal"/>
        <w:widowControl/>
        <w:tabs>
          <w:tab w:val="clear" w:pos="708"/>
          <w:tab w:val="left" w:pos="-2127" w:leader="none"/>
          <w:tab w:val="left" w:pos="0" w:leader="none"/>
        </w:tabs>
        <w:suppressAutoHyphens w:val="true"/>
        <w:autoSpaceDE w:val="true"/>
        <w:jc w:val="both"/>
        <w:rPr>
          <w:sz w:val="24"/>
          <w:szCs w:val="24"/>
        </w:rPr>
      </w:pPr>
      <w:r>
        <w:rPr>
          <w:sz w:val="24"/>
          <w:szCs w:val="24"/>
        </w:rPr>
        <w:tab/>
        <w:t>- информация предоставляется (передается) получившей ее Стороной компетентному государственному органу/органу местного самоуправления, а также в иных случаях, когда такое предоставление должно быть произведено в силу закона.</w:t>
      </w:r>
    </w:p>
    <w:p>
      <w:pPr>
        <w:pStyle w:val="Normal"/>
        <w:widowControl/>
        <w:tabs>
          <w:tab w:val="clear" w:pos="708"/>
          <w:tab w:val="left" w:pos="-2127" w:leader="none"/>
        </w:tabs>
        <w:suppressAutoHyphens w:val="true"/>
        <w:autoSpaceDE w:val="true"/>
        <w:jc w:val="both"/>
        <w:rPr>
          <w:sz w:val="24"/>
          <w:szCs w:val="24"/>
        </w:rPr>
      </w:pPr>
      <w:r>
        <w:rPr>
          <w:sz w:val="24"/>
          <w:szCs w:val="24"/>
        </w:rPr>
        <w:tab/>
        <w:t>9.2.Документы по настоящему Договору, полученные одной Стороной от другой посредством факсимильной связи, имеют полную юридическую силу, что не освобождает Стороны от передачи в дальнейшем в кратчайшие сроки оригиналов таких документов. Риск искажения информации при ее передаче посредством факсимильной связи несет Сторона, передающая такую информацию.</w:t>
      </w:r>
    </w:p>
    <w:p>
      <w:pPr>
        <w:pStyle w:val="Normal"/>
        <w:widowControl/>
        <w:tabs>
          <w:tab w:val="clear" w:pos="708"/>
          <w:tab w:val="left" w:pos="-2127" w:leader="none"/>
        </w:tabs>
        <w:suppressAutoHyphens w:val="true"/>
        <w:autoSpaceDE w:val="true"/>
        <w:jc w:val="both"/>
        <w:rPr>
          <w:sz w:val="24"/>
          <w:szCs w:val="24"/>
        </w:rPr>
      </w:pPr>
      <w:r>
        <w:rPr>
          <w:sz w:val="24"/>
          <w:szCs w:val="24"/>
        </w:rPr>
        <w:tab/>
        <w:t>9.3. В случае изменения реквизитов (почтовых, банковских, отгрузочных и т.п.), окончания или приостановления срока действия лицензии, ее отзыва или аннулирования, смены исполнительного органа, досрочного прекращения полномочий лиц, представляющих Сторону в отношениях с контрагентом на основании доверенностей либо учредительных документов, а равно о возникновении ограничений в отношении полномочий таких представителей, Сторона, испытывающая такого рода изменения, обязана известить о них другую Сторону в течение 3 (Трех) календарных дней с момента возникновения таких обстоятельств. Сторона, не сообщившая другой Стороне об указанных обстоятельствах, несет риск вызванных этим неблагоприятных последствий.</w:t>
      </w:r>
    </w:p>
    <w:p>
      <w:pPr>
        <w:pStyle w:val="Normal"/>
        <w:widowControl/>
        <w:tabs>
          <w:tab w:val="clear" w:pos="708"/>
          <w:tab w:val="left" w:pos="-2127" w:leader="none"/>
        </w:tabs>
        <w:suppressAutoHyphens w:val="true"/>
        <w:autoSpaceDE w:val="true"/>
        <w:jc w:val="both"/>
        <w:rPr>
          <w:sz w:val="24"/>
          <w:szCs w:val="24"/>
        </w:rPr>
      </w:pPr>
      <w:r>
        <w:rPr>
          <w:sz w:val="24"/>
          <w:szCs w:val="24"/>
        </w:rPr>
        <w:tab/>
        <w:t>9.4. Все приложения, дополнения, изменения к настоящему договору являются его неотъемлемой частью и имеют юридическую силу, если они выполнены в письменной форме и подписаны уполномоченными представителями Сторон.</w:t>
      </w:r>
    </w:p>
    <w:p>
      <w:pPr>
        <w:pStyle w:val="Normal"/>
        <w:widowControl/>
        <w:tabs>
          <w:tab w:val="clear" w:pos="708"/>
          <w:tab w:val="left" w:pos="-2127" w:leader="none"/>
        </w:tabs>
        <w:suppressAutoHyphens w:val="true"/>
        <w:autoSpaceDE w:val="true"/>
        <w:jc w:val="both"/>
        <w:rPr>
          <w:sz w:val="24"/>
          <w:szCs w:val="24"/>
        </w:rPr>
      </w:pPr>
      <w:r>
        <w:rPr>
          <w:sz w:val="24"/>
          <w:szCs w:val="24"/>
        </w:rPr>
        <w:tab/>
        <w:t xml:space="preserve">9.5. Расторжение настоящего Договора, изменение его условий, допускается по соглашению Сторон или по решению суда по основаниям, предусмотренным законодательством Российской Федерации. </w:t>
      </w:r>
    </w:p>
    <w:p>
      <w:pPr>
        <w:pStyle w:val="Normal"/>
        <w:widowControl/>
        <w:tabs>
          <w:tab w:val="clear" w:pos="708"/>
          <w:tab w:val="left" w:pos="-2127" w:leader="none"/>
        </w:tabs>
        <w:suppressAutoHyphens w:val="true"/>
        <w:autoSpaceDE w:val="true"/>
        <w:jc w:val="both"/>
        <w:rPr>
          <w:sz w:val="24"/>
          <w:szCs w:val="24"/>
        </w:rPr>
      </w:pPr>
      <w:r>
        <w:rPr>
          <w:sz w:val="24"/>
          <w:szCs w:val="24"/>
        </w:rPr>
        <w:tab/>
        <w:t>9.6. Во всем, что не предусмотрено настоящим Договором, стороны руководствуются законодательством</w:t>
      </w:r>
      <w:r>
        <w:rPr/>
        <w:t xml:space="preserve"> </w:t>
      </w:r>
      <w:r>
        <w:rPr>
          <w:sz w:val="24"/>
          <w:szCs w:val="24"/>
        </w:rPr>
        <w:t>Российской Федерации.</w:t>
      </w:r>
    </w:p>
    <w:p>
      <w:pPr>
        <w:pStyle w:val="Normal"/>
        <w:widowControl/>
        <w:tabs>
          <w:tab w:val="clear" w:pos="708"/>
          <w:tab w:val="left" w:pos="-2127" w:leader="none"/>
        </w:tabs>
        <w:suppressAutoHyphens w:val="true"/>
        <w:autoSpaceDE w:val="true"/>
        <w:jc w:val="both"/>
        <w:rPr>
          <w:sz w:val="24"/>
          <w:szCs w:val="24"/>
        </w:rPr>
      </w:pPr>
      <w:r>
        <w:rPr>
          <w:sz w:val="24"/>
          <w:szCs w:val="24"/>
        </w:rPr>
        <w:tab/>
        <w:t>9.7. Если в результате изменения законодательства какие-либо положения настоящего Договора утратят свою силу, стороны обязуются согласовать порядок исполнения Договора; при этом все остальные его положения остаются обязательными для Сторон.</w:t>
      </w:r>
    </w:p>
    <w:p>
      <w:pPr>
        <w:pStyle w:val="Normal"/>
        <w:widowControl/>
        <w:tabs>
          <w:tab w:val="clear" w:pos="708"/>
          <w:tab w:val="left" w:pos="-2127" w:leader="none"/>
        </w:tabs>
        <w:suppressAutoHyphens w:val="true"/>
        <w:autoSpaceDE w:val="true"/>
        <w:jc w:val="both"/>
        <w:rPr>
          <w:sz w:val="24"/>
          <w:szCs w:val="24"/>
        </w:rPr>
      </w:pPr>
      <w:r>
        <w:rPr>
          <w:sz w:val="24"/>
          <w:szCs w:val="24"/>
        </w:rPr>
        <w:tab/>
        <w:t>9.8. Настоящий Договор составлен в двух экземплярах, по одному для каждой из Сторон, оба экземпляра имеют равную юридическую силу.</w:t>
      </w:r>
    </w:p>
    <w:p>
      <w:pPr>
        <w:pStyle w:val="Normal"/>
        <w:widowControl/>
        <w:suppressAutoHyphens w:val="true"/>
        <w:autoSpaceDE w:val="true"/>
        <w:spacing w:lineRule="exact" w:line="240"/>
        <w:jc w:val="center"/>
        <w:rPr>
          <w:sz w:val="24"/>
          <w:szCs w:val="24"/>
        </w:rPr>
      </w:pPr>
      <w:r>
        <w:rPr>
          <w:sz w:val="24"/>
          <w:szCs w:val="24"/>
        </w:rPr>
      </w:r>
    </w:p>
    <w:p>
      <w:pPr>
        <w:pStyle w:val="Normal"/>
        <w:widowControl/>
        <w:suppressAutoHyphens w:val="true"/>
        <w:autoSpaceDE w:val="true"/>
        <w:spacing w:lineRule="exact" w:line="240"/>
        <w:jc w:val="center"/>
        <w:rPr>
          <w:b/>
          <w:sz w:val="24"/>
          <w:szCs w:val="24"/>
          <w:lang w:val="en-US"/>
        </w:rPr>
      </w:pPr>
      <w:r>
        <w:rPr>
          <w:b/>
          <w:sz w:val="24"/>
          <w:szCs w:val="24"/>
        </w:rPr>
        <w:t>10. Адреса и банковские реквизиты сторон</w:t>
      </w:r>
    </w:p>
    <w:p>
      <w:pPr>
        <w:pStyle w:val="Normal"/>
        <w:widowControl/>
        <w:suppressAutoHyphens w:val="true"/>
        <w:autoSpaceDE w:val="true"/>
        <w:spacing w:lineRule="exact" w:line="240"/>
        <w:jc w:val="center"/>
        <w:rPr>
          <w:b/>
          <w:sz w:val="24"/>
          <w:szCs w:val="24"/>
          <w:lang w:val="en-US"/>
        </w:rPr>
      </w:pPr>
      <w:r>
        <w:rPr>
          <w:b/>
          <w:sz w:val="24"/>
          <w:szCs w:val="24"/>
          <w:lang w:val="en-US"/>
        </w:rPr>
      </w:r>
    </w:p>
    <w:tbl>
      <w:tblPr>
        <w:tblW w:w="10888" w:type="dxa"/>
        <w:jc w:val="left"/>
        <w:tblInd w:w="108" w:type="dxa"/>
        <w:tblLayout w:type="fixed"/>
        <w:tblCellMar>
          <w:top w:w="0" w:type="dxa"/>
          <w:left w:w="108" w:type="dxa"/>
          <w:bottom w:w="0" w:type="dxa"/>
          <w:right w:w="108" w:type="dxa"/>
        </w:tblCellMar>
      </w:tblPr>
      <w:tblGrid>
        <w:gridCol w:w="5502"/>
        <w:gridCol w:w="5386"/>
      </w:tblGrid>
      <w:tr>
        <w:trPr/>
        <w:tc>
          <w:tcPr>
            <w:tcW w:w="5502" w:type="dxa"/>
            <w:tcBorders/>
          </w:tcPr>
          <w:p>
            <w:pPr>
              <w:pStyle w:val="Normal"/>
              <w:keepNext w:val="true"/>
              <w:widowControl/>
              <w:numPr>
                <w:ilvl w:val="0"/>
                <w:numId w:val="0"/>
              </w:numPr>
              <w:suppressAutoHyphens w:val="true"/>
              <w:ind w:hanging="0" w:left="0"/>
              <w:outlineLvl w:val="7"/>
              <w:rPr>
                <w:b/>
                <w:sz w:val="24"/>
                <w:szCs w:val="24"/>
              </w:rPr>
            </w:pPr>
            <w:r>
              <w:rPr>
                <w:b/>
                <w:bCs/>
                <w:sz w:val="24"/>
                <w:szCs w:val="24"/>
              </w:rPr>
              <w:t>П</w:t>
            </w:r>
            <w:r>
              <w:rPr/>
              <w:t>оставщик</w:t>
            </w:r>
          </w:p>
          <w:tbl>
            <w:tblPr>
              <w:tblW w:w="4962" w:type="dxa"/>
              <w:jc w:val="left"/>
              <w:tblInd w:w="0" w:type="dxa"/>
              <w:tblLayout w:type="fixed"/>
              <w:tblCellMar>
                <w:top w:w="0" w:type="dxa"/>
                <w:left w:w="108" w:type="dxa"/>
                <w:bottom w:w="0" w:type="dxa"/>
                <w:right w:w="108" w:type="dxa"/>
              </w:tblCellMar>
            </w:tblPr>
            <w:tblGrid>
              <w:gridCol w:w="4962"/>
            </w:tblGrid>
            <w:tr>
              <w:trPr>
                <w:cantSplit/>
              </w:trPr>
              <w:tc>
                <w:tcPr>
                  <w:tcW w:w="4962" w:type="dxa"/>
                  <w:tcBorders/>
                </w:tcPr>
                <w:p>
                  <w:pPr>
                    <w:pStyle w:val="Normal"/>
                    <w:widowControl/>
                    <w:autoSpaceDE w:val="true"/>
                    <w:snapToGrid w:val="false"/>
                    <w:rPr>
                      <w:b/>
                      <w:sz w:val="24"/>
                      <w:szCs w:val="24"/>
                    </w:rPr>
                  </w:pPr>
                  <w:r>
                    <w:rPr>
                      <w:b/>
                      <w:sz w:val="24"/>
                      <w:szCs w:val="24"/>
                    </w:rPr>
                  </w:r>
                </w:p>
              </w:tc>
            </w:tr>
            <w:tr>
              <w:trPr>
                <w:trHeight w:val="2899" w:hRule="atLeast"/>
                <w:cantSplit/>
              </w:trPr>
              <w:tc>
                <w:tcPr>
                  <w:tcW w:w="4962" w:type="dxa"/>
                  <w:tcBorders/>
                </w:tcPr>
                <w:p>
                  <w:pPr>
                    <w:pStyle w:val="Normal"/>
                    <w:widowControl/>
                    <w:autoSpaceDE w:val="true"/>
                    <w:snapToGrid w:val="false"/>
                    <w:rPr>
                      <w:b/>
                      <w:sz w:val="24"/>
                      <w:szCs w:val="24"/>
                    </w:rPr>
                  </w:pPr>
                  <w:r>
                    <w:rPr>
                      <w:b/>
                      <w:sz w:val="24"/>
                      <w:szCs w:val="24"/>
                    </w:rPr>
                  </w:r>
                </w:p>
              </w:tc>
            </w:tr>
          </w:tbl>
          <w:p>
            <w:pPr>
              <w:pStyle w:val="Normal"/>
              <w:keepNext w:val="true"/>
              <w:widowControl/>
              <w:numPr>
                <w:ilvl w:val="0"/>
                <w:numId w:val="0"/>
              </w:numPr>
              <w:autoSpaceDE w:val="true"/>
              <w:spacing w:lineRule="atLeast" w:line="260"/>
              <w:ind w:hanging="0" w:left="0"/>
              <w:jc w:val="both"/>
              <w:outlineLvl w:val="4"/>
              <w:rPr>
                <w:bCs/>
                <w:sz w:val="24"/>
                <w:szCs w:val="24"/>
              </w:rPr>
            </w:pPr>
            <w:r>
              <w:rPr>
                <w:bCs/>
                <w:sz w:val="24"/>
                <w:szCs w:val="24"/>
              </w:rPr>
            </w:r>
          </w:p>
        </w:tc>
        <w:tc>
          <w:tcPr>
            <w:tcW w:w="5386" w:type="dxa"/>
            <w:tcBorders/>
          </w:tcPr>
          <w:p>
            <w:pPr>
              <w:pStyle w:val="Normal"/>
              <w:widowControl/>
              <w:autoSpaceDE w:val="true"/>
              <w:spacing w:lineRule="atLeast" w:line="240"/>
              <w:rPr>
                <w:b/>
                <w:bCs/>
                <w:sz w:val="24"/>
                <w:szCs w:val="24"/>
              </w:rPr>
            </w:pPr>
            <w:r>
              <w:rPr>
                <w:b/>
                <w:sz w:val="24"/>
                <w:szCs w:val="24"/>
              </w:rPr>
              <w:t xml:space="preserve">Покупатель </w:t>
            </w:r>
          </w:p>
          <w:p>
            <w:pPr>
              <w:pStyle w:val="Normal"/>
              <w:rPr>
                <w:b/>
                <w:bCs/>
                <w:sz w:val="24"/>
                <w:szCs w:val="24"/>
              </w:rPr>
            </w:pPr>
            <w:r>
              <w:rPr>
                <w:b/>
                <w:bCs/>
                <w:sz w:val="24"/>
                <w:szCs w:val="24"/>
              </w:rPr>
              <w:t>ФГБУЗ КБ №8 ФМБА России</w:t>
            </w:r>
          </w:p>
          <w:p>
            <w:pPr>
              <w:pStyle w:val="Normal"/>
              <w:rPr>
                <w:b/>
                <w:bCs/>
                <w:sz w:val="24"/>
                <w:szCs w:val="24"/>
              </w:rPr>
            </w:pPr>
            <w:r>
              <w:rPr>
                <w:b/>
                <w:bCs/>
                <w:sz w:val="24"/>
                <w:szCs w:val="24"/>
              </w:rPr>
            </w:r>
          </w:p>
          <w:p>
            <w:pPr>
              <w:pStyle w:val="Normal"/>
              <w:rPr>
                <w:sz w:val="24"/>
                <w:szCs w:val="24"/>
                <w:lang w:eastAsia="en-US"/>
              </w:rPr>
            </w:pPr>
            <w:r>
              <w:rPr>
                <w:sz w:val="24"/>
                <w:szCs w:val="24"/>
                <w:lang w:eastAsia="en-US"/>
              </w:rPr>
              <w:t xml:space="preserve">Почтовый (юридический) адрес: </w:t>
            </w:r>
          </w:p>
          <w:p>
            <w:pPr>
              <w:pStyle w:val="Normal"/>
              <w:rPr>
                <w:sz w:val="24"/>
                <w:szCs w:val="24"/>
                <w:lang w:eastAsia="en-US"/>
              </w:rPr>
            </w:pPr>
            <w:r>
              <w:rPr>
                <w:sz w:val="24"/>
                <w:szCs w:val="24"/>
                <w:lang w:eastAsia="en-US"/>
              </w:rPr>
              <w:t>249030, Калужская область, г. Обнинск,</w:t>
            </w:r>
          </w:p>
          <w:p>
            <w:pPr>
              <w:pStyle w:val="Normal"/>
              <w:rPr>
                <w:sz w:val="24"/>
                <w:szCs w:val="24"/>
                <w:lang w:eastAsia="en-US"/>
              </w:rPr>
            </w:pPr>
            <w:r>
              <w:rPr>
                <w:sz w:val="24"/>
                <w:szCs w:val="24"/>
                <w:lang w:eastAsia="en-US"/>
              </w:rPr>
              <w:t>пр. Ленина, 85.</w:t>
            </w:r>
          </w:p>
          <w:p>
            <w:pPr>
              <w:pStyle w:val="Normal"/>
              <w:rPr>
                <w:sz w:val="24"/>
                <w:szCs w:val="24"/>
                <w:lang w:eastAsia="en-US"/>
              </w:rPr>
            </w:pPr>
            <w:r>
              <w:rPr>
                <w:sz w:val="24"/>
                <w:szCs w:val="24"/>
                <w:lang w:eastAsia="en-US"/>
              </w:rPr>
            </w:r>
          </w:p>
          <w:p>
            <w:pPr>
              <w:pStyle w:val="Normal"/>
              <w:rPr>
                <w:sz w:val="24"/>
                <w:szCs w:val="24"/>
                <w:lang w:eastAsia="en-US"/>
              </w:rPr>
            </w:pPr>
            <w:r>
              <w:rPr>
                <w:sz w:val="24"/>
                <w:szCs w:val="24"/>
                <w:lang w:eastAsia="en-US"/>
              </w:rPr>
              <w:t>ИНН/КПП 4025002173/402501001</w:t>
            </w:r>
          </w:p>
          <w:p>
            <w:pPr>
              <w:pStyle w:val="Normal"/>
              <w:rPr>
                <w:sz w:val="24"/>
                <w:szCs w:val="24"/>
                <w:lang w:eastAsia="en-US"/>
              </w:rPr>
            </w:pPr>
            <w:r>
              <w:rPr>
                <w:sz w:val="24"/>
                <w:szCs w:val="24"/>
                <w:lang w:eastAsia="en-US"/>
              </w:rPr>
              <w:t>ОГРН/ОКТМО 1024000940919/29715000</w:t>
            </w:r>
          </w:p>
          <w:p>
            <w:pPr>
              <w:pStyle w:val="Normal"/>
              <w:widowControl/>
              <w:autoSpaceDE w:val="true"/>
              <w:rPr>
                <w:sz w:val="24"/>
                <w:szCs w:val="24"/>
                <w:lang w:eastAsia="en-US"/>
              </w:rPr>
            </w:pPr>
            <w:r>
              <w:rPr>
                <w:sz w:val="24"/>
                <w:szCs w:val="24"/>
                <w:lang w:eastAsia="en-US"/>
              </w:rPr>
              <w:t>УФК по Калужской области (ФГБУЗ КБ №8 ФМБА России,</w:t>
            </w:r>
          </w:p>
          <w:p>
            <w:pPr>
              <w:pStyle w:val="Normal"/>
              <w:widowControl/>
              <w:autoSpaceDE w:val="true"/>
              <w:rPr>
                <w:sz w:val="24"/>
                <w:szCs w:val="24"/>
                <w:lang w:eastAsia="en-US"/>
              </w:rPr>
            </w:pPr>
            <w:r>
              <w:rPr>
                <w:sz w:val="24"/>
                <w:szCs w:val="24"/>
                <w:lang w:eastAsia="en-US"/>
              </w:rPr>
              <w:t xml:space="preserve"> </w:t>
            </w:r>
            <w:r>
              <w:rPr>
                <w:sz w:val="24"/>
                <w:szCs w:val="24"/>
                <w:lang w:eastAsia="en-US"/>
              </w:rPr>
              <w:t>л/с 20376У24990, 22376У24990)</w:t>
            </w:r>
          </w:p>
          <w:p>
            <w:pPr>
              <w:pStyle w:val="Normal"/>
              <w:widowControl/>
              <w:autoSpaceDE w:val="true"/>
              <w:rPr>
                <w:sz w:val="24"/>
                <w:szCs w:val="24"/>
                <w:lang w:eastAsia="en-US"/>
              </w:rPr>
            </w:pPr>
            <w:r>
              <w:rPr>
                <w:sz w:val="24"/>
                <w:szCs w:val="24"/>
                <w:lang w:eastAsia="en-US"/>
              </w:rPr>
              <w:t>БИК 012908002</w:t>
            </w:r>
          </w:p>
          <w:p>
            <w:pPr>
              <w:pStyle w:val="Normal"/>
              <w:widowControl/>
              <w:autoSpaceDE w:val="true"/>
              <w:rPr>
                <w:sz w:val="24"/>
                <w:szCs w:val="24"/>
                <w:lang w:eastAsia="en-US"/>
              </w:rPr>
            </w:pPr>
            <w:r>
              <w:rPr>
                <w:sz w:val="24"/>
                <w:szCs w:val="24"/>
                <w:lang w:eastAsia="en-US"/>
              </w:rPr>
              <w:t>БАНК ОКЦ №9 ГУ Банка России по ЦФО</w:t>
            </w:r>
          </w:p>
          <w:p>
            <w:pPr>
              <w:pStyle w:val="Normal"/>
              <w:widowControl/>
              <w:autoSpaceDE w:val="true"/>
              <w:rPr>
                <w:sz w:val="24"/>
                <w:szCs w:val="24"/>
                <w:lang w:eastAsia="en-US"/>
              </w:rPr>
            </w:pPr>
            <w:r>
              <w:rPr>
                <w:sz w:val="24"/>
                <w:szCs w:val="24"/>
                <w:lang w:eastAsia="en-US"/>
              </w:rPr>
              <w:t>// УФК по Калужской области</w:t>
            </w:r>
          </w:p>
          <w:p>
            <w:pPr>
              <w:pStyle w:val="Normal"/>
              <w:widowControl/>
              <w:autoSpaceDE w:val="true"/>
              <w:rPr>
                <w:sz w:val="24"/>
                <w:szCs w:val="24"/>
                <w:lang w:eastAsia="en-US"/>
              </w:rPr>
            </w:pPr>
            <w:r>
              <w:rPr>
                <w:sz w:val="24"/>
                <w:szCs w:val="24"/>
                <w:lang w:eastAsia="en-US"/>
              </w:rPr>
              <w:t>г. Калуга</w:t>
            </w:r>
          </w:p>
          <w:p>
            <w:pPr>
              <w:pStyle w:val="Normal"/>
              <w:widowControl/>
              <w:autoSpaceDE w:val="true"/>
              <w:rPr>
                <w:sz w:val="24"/>
                <w:szCs w:val="24"/>
                <w:lang w:eastAsia="en-US"/>
              </w:rPr>
            </w:pPr>
            <w:r>
              <w:rPr>
                <w:sz w:val="24"/>
                <w:szCs w:val="24"/>
                <w:lang w:eastAsia="en-US"/>
              </w:rPr>
              <w:t>Казначейский счет:</w:t>
            </w:r>
          </w:p>
          <w:p>
            <w:pPr>
              <w:pStyle w:val="Normal"/>
              <w:widowControl/>
              <w:autoSpaceDE w:val="true"/>
              <w:rPr>
                <w:sz w:val="24"/>
                <w:szCs w:val="24"/>
                <w:lang w:eastAsia="en-US"/>
              </w:rPr>
            </w:pPr>
            <w:r>
              <w:rPr>
                <w:sz w:val="24"/>
                <w:szCs w:val="24"/>
                <w:lang w:eastAsia="en-US"/>
              </w:rPr>
              <w:t>03214643000000013700</w:t>
            </w:r>
          </w:p>
          <w:p>
            <w:pPr>
              <w:pStyle w:val="Normal"/>
              <w:widowControl/>
              <w:autoSpaceDE w:val="true"/>
              <w:rPr>
                <w:sz w:val="24"/>
                <w:szCs w:val="24"/>
                <w:lang w:eastAsia="en-US"/>
              </w:rPr>
            </w:pPr>
            <w:r>
              <w:rPr>
                <w:sz w:val="24"/>
                <w:szCs w:val="24"/>
                <w:lang w:eastAsia="en-US"/>
              </w:rPr>
              <w:t>Единый казначейский счет:</w:t>
            </w:r>
          </w:p>
          <w:p>
            <w:pPr>
              <w:pStyle w:val="Normal"/>
              <w:widowControl/>
              <w:autoSpaceDE w:val="true"/>
              <w:rPr>
                <w:sz w:val="24"/>
                <w:szCs w:val="24"/>
                <w:lang w:eastAsia="en-US"/>
              </w:rPr>
            </w:pPr>
            <w:r>
              <w:rPr>
                <w:sz w:val="24"/>
                <w:szCs w:val="24"/>
                <w:lang w:eastAsia="en-US"/>
              </w:rPr>
              <w:t>40102810045370000030</w:t>
            </w:r>
          </w:p>
          <w:p>
            <w:pPr>
              <w:pStyle w:val="Normal"/>
              <w:widowControl/>
              <w:autoSpaceDE w:val="true"/>
              <w:rPr>
                <w:sz w:val="24"/>
                <w:szCs w:val="24"/>
                <w:lang w:eastAsia="en-US"/>
              </w:rPr>
            </w:pPr>
            <w:r>
              <w:rPr>
                <w:sz w:val="24"/>
                <w:szCs w:val="24"/>
                <w:lang w:eastAsia="en-US"/>
              </w:rPr>
              <w:t>ОГРН 1024000940919</w:t>
            </w:r>
          </w:p>
          <w:p>
            <w:pPr>
              <w:pStyle w:val="Normal"/>
              <w:widowControl/>
              <w:autoSpaceDE w:val="true"/>
              <w:rPr>
                <w:sz w:val="24"/>
                <w:szCs w:val="24"/>
                <w:lang w:eastAsia="en-US"/>
              </w:rPr>
            </w:pPr>
            <w:r>
              <w:rPr>
                <w:sz w:val="24"/>
                <w:szCs w:val="24"/>
                <w:lang w:eastAsia="en-US"/>
              </w:rPr>
              <w:t>ОКВЭД 86.10</w:t>
            </w:r>
          </w:p>
          <w:p>
            <w:pPr>
              <w:pStyle w:val="Normal"/>
              <w:widowControl/>
              <w:autoSpaceDE w:val="true"/>
              <w:rPr>
                <w:sz w:val="24"/>
                <w:szCs w:val="24"/>
                <w:lang w:eastAsia="en-US"/>
              </w:rPr>
            </w:pPr>
            <w:r>
              <w:rPr>
                <w:sz w:val="24"/>
                <w:szCs w:val="24"/>
                <w:lang w:eastAsia="en-US"/>
              </w:rPr>
              <w:t>ОКПО 35315763</w:t>
            </w:r>
          </w:p>
          <w:p>
            <w:pPr>
              <w:pStyle w:val="Normal"/>
              <w:rPr>
                <w:sz w:val="24"/>
                <w:szCs w:val="24"/>
                <w:lang w:eastAsia="en-US"/>
              </w:rPr>
            </w:pPr>
            <w:r>
              <w:rPr>
                <w:sz w:val="24"/>
                <w:szCs w:val="24"/>
                <w:lang w:eastAsia="en-US"/>
              </w:rPr>
            </w:r>
          </w:p>
          <w:p>
            <w:pPr>
              <w:pStyle w:val="Normal"/>
              <w:widowControl/>
              <w:autoSpaceDE w:val="true"/>
              <w:spacing w:lineRule="atLeast" w:line="240"/>
              <w:rPr>
                <w:b/>
                <w:sz w:val="24"/>
                <w:szCs w:val="24"/>
                <w:lang w:eastAsia="en-US"/>
              </w:rPr>
            </w:pPr>
            <w:r>
              <w:rPr>
                <w:b/>
                <w:sz w:val="24"/>
                <w:szCs w:val="24"/>
                <w:lang w:eastAsia="en-US"/>
              </w:rPr>
            </w:r>
          </w:p>
        </w:tc>
      </w:tr>
    </w:tbl>
    <w:p>
      <w:pPr>
        <w:pStyle w:val="Normal"/>
        <w:widowControl/>
        <w:suppressAutoHyphens w:val="true"/>
        <w:autoSpaceDE w:val="true"/>
        <w:spacing w:lineRule="exact" w:line="240"/>
        <w:jc w:val="center"/>
        <w:rPr>
          <w:b/>
          <w:sz w:val="24"/>
          <w:szCs w:val="24"/>
        </w:rPr>
      </w:pPr>
      <w:r>
        <w:rPr>
          <w:b/>
          <w:bCs/>
          <w:sz w:val="24"/>
          <w:szCs w:val="24"/>
        </w:rPr>
        <w:t>11. Подписи сторон</w:t>
      </w:r>
    </w:p>
    <w:p>
      <w:pPr>
        <w:pStyle w:val="Normal"/>
        <w:widowControl/>
        <w:suppressAutoHyphens w:val="true"/>
        <w:autoSpaceDE w:val="true"/>
        <w:spacing w:lineRule="exact" w:line="240"/>
        <w:jc w:val="center"/>
        <w:rPr>
          <w:b/>
          <w:sz w:val="24"/>
          <w:szCs w:val="24"/>
        </w:rPr>
      </w:pPr>
      <w:r>
        <w:rPr>
          <w:b/>
          <w:sz w:val="24"/>
          <w:szCs w:val="24"/>
        </w:rPr>
      </w:r>
    </w:p>
    <w:tbl>
      <w:tblPr>
        <w:tblW w:w="9540" w:type="dxa"/>
        <w:jc w:val="left"/>
        <w:tblInd w:w="108" w:type="dxa"/>
        <w:tblLayout w:type="fixed"/>
        <w:tblCellMar>
          <w:top w:w="0" w:type="dxa"/>
          <w:left w:w="108" w:type="dxa"/>
          <w:bottom w:w="0" w:type="dxa"/>
          <w:right w:w="108" w:type="dxa"/>
        </w:tblCellMar>
      </w:tblPr>
      <w:tblGrid>
        <w:gridCol w:w="5103"/>
        <w:gridCol w:w="4437"/>
      </w:tblGrid>
      <w:tr>
        <w:trPr>
          <w:trHeight w:val="1136" w:hRule="atLeast"/>
        </w:trPr>
        <w:tc>
          <w:tcPr>
            <w:tcW w:w="5103" w:type="dxa"/>
            <w:tcBorders/>
          </w:tcPr>
          <w:p>
            <w:pPr>
              <w:pStyle w:val="Normal"/>
              <w:widowControl/>
              <w:autoSpaceDE w:val="true"/>
              <w:snapToGrid w:val="false"/>
              <w:jc w:val="both"/>
              <w:rPr/>
            </w:pPr>
            <w:r>
              <w:rPr/>
            </w:r>
          </w:p>
        </w:tc>
        <w:tc>
          <w:tcPr>
            <w:tcW w:w="4437" w:type="dxa"/>
            <w:tcBorders/>
          </w:tcPr>
          <w:p>
            <w:pPr>
              <w:pStyle w:val="Normal"/>
              <w:keepNext w:val="true"/>
              <w:widowControl/>
              <w:numPr>
                <w:ilvl w:val="0"/>
                <w:numId w:val="0"/>
              </w:numPr>
              <w:autoSpaceDE w:val="true"/>
              <w:ind w:hanging="0" w:left="0"/>
              <w:jc w:val="both"/>
              <w:outlineLvl w:val="6"/>
              <w:rPr>
                <w:b/>
                <w:sz w:val="24"/>
                <w:szCs w:val="24"/>
              </w:rPr>
            </w:pPr>
            <w:r>
              <w:rPr>
                <w:b/>
                <w:bCs/>
                <w:sz w:val="24"/>
                <w:szCs w:val="24"/>
              </w:rPr>
              <w:t>От Покупателя</w:t>
            </w:r>
          </w:p>
          <w:p>
            <w:pPr>
              <w:pStyle w:val="Normal"/>
              <w:keepNext w:val="true"/>
              <w:widowControl/>
              <w:numPr>
                <w:ilvl w:val="0"/>
                <w:numId w:val="0"/>
              </w:numPr>
              <w:autoSpaceDE w:val="true"/>
              <w:ind w:hanging="0" w:left="0"/>
              <w:jc w:val="both"/>
              <w:outlineLvl w:val="6"/>
              <w:rPr>
                <w:b/>
                <w:bCs/>
                <w:sz w:val="24"/>
                <w:szCs w:val="24"/>
              </w:rPr>
            </w:pPr>
            <w:r>
              <w:rPr>
                <w:b/>
                <w:sz w:val="24"/>
                <w:szCs w:val="24"/>
              </w:rPr>
              <w:t>Главный врач</w:t>
            </w:r>
          </w:p>
          <w:p>
            <w:pPr>
              <w:pStyle w:val="Normal"/>
              <w:rPr>
                <w:b/>
                <w:bCs/>
                <w:sz w:val="24"/>
                <w:szCs w:val="24"/>
              </w:rPr>
            </w:pPr>
            <w:r>
              <w:rPr>
                <w:b/>
                <w:bCs/>
                <w:sz w:val="24"/>
                <w:szCs w:val="24"/>
              </w:rPr>
              <w:t>ФГБУЗ КБ №8 ФМБА России</w:t>
            </w:r>
          </w:p>
          <w:p>
            <w:pPr>
              <w:pStyle w:val="Normal"/>
              <w:widowControl/>
              <w:autoSpaceDE w:val="true"/>
              <w:jc w:val="both"/>
              <w:rPr>
                <w:b/>
                <w:bCs/>
                <w:sz w:val="24"/>
                <w:szCs w:val="24"/>
              </w:rPr>
            </w:pPr>
            <w:r>
              <w:rPr>
                <w:b/>
                <w:bCs/>
                <w:sz w:val="24"/>
                <w:szCs w:val="24"/>
              </w:rPr>
            </w:r>
          </w:p>
          <w:p>
            <w:pPr>
              <w:pStyle w:val="Normal"/>
              <w:widowControl/>
              <w:autoSpaceDE w:val="true"/>
              <w:jc w:val="both"/>
              <w:rPr>
                <w:b/>
                <w:bCs/>
                <w:sz w:val="24"/>
                <w:szCs w:val="24"/>
              </w:rPr>
            </w:pPr>
            <w:r>
              <w:rPr>
                <w:b/>
                <w:bCs/>
                <w:sz w:val="24"/>
                <w:szCs w:val="24"/>
              </w:rPr>
            </w:r>
          </w:p>
          <w:p>
            <w:pPr>
              <w:pStyle w:val="Normal"/>
              <w:widowControl/>
              <w:autoSpaceDE w:val="true"/>
              <w:jc w:val="both"/>
              <w:rPr>
                <w:sz w:val="24"/>
                <w:szCs w:val="24"/>
              </w:rPr>
            </w:pPr>
            <w:r>
              <w:rPr>
                <w:sz w:val="24"/>
                <w:szCs w:val="24"/>
              </w:rPr>
            </w:r>
          </w:p>
          <w:p>
            <w:pPr>
              <w:pStyle w:val="Normal"/>
              <w:widowControl/>
              <w:autoSpaceDE w:val="true"/>
              <w:jc w:val="both"/>
              <w:rPr>
                <w:sz w:val="24"/>
                <w:szCs w:val="24"/>
              </w:rPr>
            </w:pPr>
            <w:r>
              <w:rPr>
                <w:sz w:val="24"/>
                <w:szCs w:val="24"/>
              </w:rPr>
              <w:t>________________ /</w:t>
            </w:r>
            <w:r>
              <w:rPr>
                <w:b/>
                <w:sz w:val="24"/>
                <w:szCs w:val="24"/>
              </w:rPr>
              <w:t>С.М. Курдяев/</w:t>
            </w:r>
          </w:p>
          <w:p>
            <w:pPr>
              <w:pStyle w:val="Normal"/>
              <w:widowControl/>
              <w:autoSpaceDE w:val="true"/>
              <w:jc w:val="both"/>
              <w:rPr>
                <w:sz w:val="24"/>
                <w:szCs w:val="24"/>
              </w:rPr>
            </w:pPr>
            <w:r>
              <w:rPr>
                <w:sz w:val="24"/>
                <w:szCs w:val="24"/>
              </w:rPr>
            </w:r>
          </w:p>
        </w:tc>
      </w:tr>
    </w:tbl>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jc w:val="right"/>
        <w:rPr>
          <w:b/>
          <w:sz w:val="22"/>
          <w:szCs w:val="24"/>
        </w:rPr>
      </w:pPr>
      <w:r>
        <w:rPr>
          <w:b/>
          <w:sz w:val="22"/>
          <w:szCs w:val="24"/>
        </w:rPr>
      </w:r>
    </w:p>
    <w:p>
      <w:pPr>
        <w:pStyle w:val="Normal"/>
        <w:jc w:val="right"/>
        <w:rPr>
          <w:b/>
          <w:sz w:val="22"/>
          <w:szCs w:val="24"/>
        </w:rPr>
      </w:pPr>
      <w:r>
        <w:rPr>
          <w:b/>
          <w:sz w:val="22"/>
          <w:szCs w:val="24"/>
        </w:rPr>
      </w:r>
    </w:p>
    <w:p>
      <w:pPr>
        <w:pStyle w:val="Normal"/>
        <w:jc w:val="right"/>
        <w:rPr>
          <w:b/>
          <w:sz w:val="22"/>
          <w:szCs w:val="24"/>
        </w:rPr>
      </w:pPr>
      <w:r>
        <w:rPr>
          <w:b/>
          <w:sz w:val="22"/>
          <w:szCs w:val="24"/>
        </w:rPr>
      </w:r>
    </w:p>
    <w:p>
      <w:pPr>
        <w:pStyle w:val="Normal"/>
        <w:ind w:firstLine="708" w:right="0"/>
        <w:jc w:val="right"/>
        <w:rPr>
          <w:b/>
          <w:sz w:val="24"/>
          <w:szCs w:val="24"/>
        </w:rPr>
      </w:pPr>
      <w:r>
        <w:rPr>
          <w:b/>
          <w:sz w:val="22"/>
          <w:szCs w:val="24"/>
        </w:rPr>
        <w:t>Проект заявки согласован сторонами</w:t>
      </w:r>
    </w:p>
    <w:p>
      <w:pPr>
        <w:pStyle w:val="Normal"/>
        <w:ind w:firstLine="708" w:left="1416" w:right="0"/>
        <w:jc w:val="right"/>
        <w:rPr>
          <w:b/>
          <w:sz w:val="24"/>
          <w:szCs w:val="24"/>
        </w:rPr>
      </w:pPr>
      <w:r>
        <w:rPr>
          <w:b/>
          <w:sz w:val="24"/>
          <w:szCs w:val="24"/>
        </w:rPr>
      </w:r>
    </w:p>
    <w:p>
      <w:pPr>
        <w:pStyle w:val="Normal"/>
        <w:jc w:val="right"/>
        <w:rPr/>
      </w:pPr>
      <w:r>
        <w:rPr/>
        <w:t>Приложение № 1 (форма Заявки)</w:t>
      </w:r>
    </w:p>
    <w:p>
      <w:pPr>
        <w:pStyle w:val="Normal"/>
        <w:jc w:val="right"/>
        <w:rPr>
          <w:sz w:val="24"/>
          <w:szCs w:val="24"/>
        </w:rPr>
      </w:pPr>
      <w:r>
        <w:rPr/>
        <w:t>к Договору № М-346 от ___________2026 г.</w:t>
      </w:r>
    </w:p>
    <w:p>
      <w:pPr>
        <w:pStyle w:val="Normal"/>
        <w:rPr>
          <w:sz w:val="24"/>
          <w:szCs w:val="24"/>
        </w:rPr>
      </w:pPr>
      <w:r>
        <w:rPr>
          <w:sz w:val="24"/>
          <w:szCs w:val="24"/>
        </w:rPr>
      </w:r>
    </w:p>
    <w:tbl>
      <w:tblPr>
        <w:tblpPr w:vertAnchor="text" w:horzAnchor="margin" w:rightFromText="180" w:tblpX="0" w:tblpY="2"/>
        <w:tblW w:w="5000" w:type="pct"/>
        <w:jc w:val="left"/>
        <w:tblInd w:w="108" w:type="dxa"/>
        <w:tblLayout w:type="fixed"/>
        <w:tblCellMar>
          <w:top w:w="0" w:type="dxa"/>
          <w:left w:w="108" w:type="dxa"/>
          <w:bottom w:w="0" w:type="dxa"/>
          <w:right w:w="108" w:type="dxa"/>
        </w:tblCellMar>
      </w:tblPr>
      <w:tblGrid>
        <w:gridCol w:w="2314"/>
      </w:tblGrid>
      <w:tr>
        <w:trPr>
          <w:trHeight w:val="856" w:hRule="atLeast"/>
        </w:trPr>
        <w:tc>
          <w:tcPr>
            <w:tcW w:w="2314" w:type="dxa"/>
            <w:tcBorders/>
          </w:tcPr>
          <w:p>
            <w:pPr>
              <w:pStyle w:val="Normal"/>
              <w:jc w:val="center"/>
              <w:rPr>
                <w:szCs w:val="24"/>
              </w:rPr>
            </w:pPr>
            <w:r>
              <w:rPr>
                <w:szCs w:val="24"/>
              </w:rPr>
              <w:t>На официальном бланке организации</w:t>
            </w:r>
          </w:p>
          <w:p>
            <w:pPr>
              <w:pStyle w:val="Normal"/>
              <w:jc w:val="center"/>
              <w:rPr>
                <w:szCs w:val="24"/>
              </w:rPr>
            </w:pPr>
            <w:r>
              <w:rPr>
                <w:szCs w:val="24"/>
              </w:rPr>
              <w:t>Дата ___    Исх.№ __</w:t>
            </w:r>
          </w:p>
        </w:tc>
      </w:tr>
    </w:tbl>
    <w:p>
      <w:pPr>
        <w:pStyle w:val="Normal"/>
        <w:jc w:val="right"/>
        <w:rPr>
          <w:sz w:val="18"/>
          <w:szCs w:val="24"/>
        </w:rPr>
      </w:pPr>
      <w:r/>
      <w:r>
        <w:rPr>
          <w:sz w:val="18"/>
          <w:szCs w:val="24"/>
        </w:rPr>
        <w:t xml:space="preserve">Генеральному директору </w:t>
      </w:r>
    </w:p>
    <w:p>
      <w:pPr>
        <w:pStyle w:val="Normal"/>
        <w:jc w:val="right"/>
        <w:rPr>
          <w:b/>
          <w:sz w:val="18"/>
          <w:szCs w:val="24"/>
        </w:rPr>
      </w:pPr>
      <w:r>
        <w:rPr>
          <w:sz w:val="18"/>
          <w:szCs w:val="24"/>
        </w:rPr>
        <w:t>.</w:t>
      </w:r>
    </w:p>
    <w:p>
      <w:pPr>
        <w:pStyle w:val="Normal"/>
        <w:rPr>
          <w:b/>
          <w:sz w:val="18"/>
          <w:szCs w:val="24"/>
        </w:rPr>
      </w:pPr>
      <w:r>
        <w:rPr>
          <w:b/>
          <w:sz w:val="18"/>
          <w:szCs w:val="24"/>
        </w:rPr>
      </w:r>
    </w:p>
    <w:p>
      <w:pPr>
        <w:pStyle w:val="Normal"/>
        <w:rPr>
          <w:b/>
          <w:sz w:val="18"/>
          <w:szCs w:val="24"/>
        </w:rPr>
      </w:pPr>
      <w:r>
        <w:rPr>
          <w:b/>
          <w:sz w:val="18"/>
          <w:szCs w:val="24"/>
        </w:rPr>
      </w:r>
    </w:p>
    <w:p>
      <w:pPr>
        <w:pStyle w:val="Normal"/>
        <w:jc w:val="center"/>
        <w:rPr>
          <w:b/>
          <w:i/>
          <w:sz w:val="18"/>
          <w:szCs w:val="24"/>
        </w:rPr>
      </w:pPr>
      <w:r>
        <w:rPr>
          <w:b/>
          <w:sz w:val="18"/>
          <w:szCs w:val="24"/>
        </w:rPr>
        <w:t>Заявка на _________ 20__ года</w:t>
      </w:r>
    </w:p>
    <w:p>
      <w:pPr>
        <w:pStyle w:val="Normal"/>
        <w:jc w:val="center"/>
        <w:rPr>
          <w:b/>
          <w:sz w:val="18"/>
          <w:szCs w:val="24"/>
        </w:rPr>
      </w:pPr>
      <w:r>
        <w:rPr>
          <w:b/>
          <w:i/>
          <w:sz w:val="18"/>
          <w:szCs w:val="24"/>
        </w:rPr>
        <w:t>(месяц)</w:t>
      </w:r>
    </w:p>
    <w:p>
      <w:pPr>
        <w:pStyle w:val="Normal"/>
        <w:jc w:val="center"/>
        <w:rPr>
          <w:b/>
          <w:sz w:val="18"/>
          <w:szCs w:val="24"/>
        </w:rPr>
      </w:pPr>
      <w:r>
        <w:rPr>
          <w:b/>
          <w:sz w:val="18"/>
          <w:szCs w:val="24"/>
        </w:rPr>
        <w:t>( Требование - Накладная № ________ от «    » ______ 20_ г.)</w:t>
      </w:r>
    </w:p>
    <w:p>
      <w:pPr>
        <w:pStyle w:val="Normal"/>
        <w:jc w:val="center"/>
        <w:rPr>
          <w:b/>
          <w:sz w:val="18"/>
          <w:szCs w:val="24"/>
        </w:rPr>
      </w:pPr>
      <w:r>
        <w:rPr>
          <w:b/>
          <w:sz w:val="18"/>
          <w:szCs w:val="24"/>
        </w:rPr>
      </w:r>
    </w:p>
    <w:p>
      <w:pPr>
        <w:pStyle w:val="Normal"/>
        <w:jc w:val="center"/>
        <w:rPr>
          <w:b/>
          <w:sz w:val="18"/>
          <w:szCs w:val="24"/>
        </w:rPr>
      </w:pPr>
      <w:r>
        <w:rPr>
          <w:b/>
          <w:sz w:val="18"/>
          <w:szCs w:val="24"/>
        </w:rPr>
      </w:r>
    </w:p>
    <w:tbl>
      <w:tblPr>
        <w:tblW w:w="9828" w:type="dxa"/>
        <w:jc w:val="left"/>
        <w:tblInd w:w="0" w:type="dxa"/>
        <w:tblLayout w:type="fixed"/>
        <w:tblCellMar>
          <w:top w:w="0" w:type="dxa"/>
          <w:left w:w="108" w:type="dxa"/>
          <w:bottom w:w="0" w:type="dxa"/>
          <w:right w:w="108" w:type="dxa"/>
        </w:tblCellMar>
      </w:tblPr>
      <w:tblGrid>
        <w:gridCol w:w="811"/>
        <w:gridCol w:w="4074"/>
        <w:gridCol w:w="1233"/>
        <w:gridCol w:w="1525"/>
        <w:gridCol w:w="2185"/>
      </w:tblGrid>
      <w:tr>
        <w:trPr/>
        <w:tc>
          <w:tcPr>
            <w:tcW w:w="811"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pPr>
            <w:r>
              <w:rPr>
                <w:b/>
                <w:sz w:val="18"/>
                <w:szCs w:val="24"/>
              </w:rPr>
              <w:t xml:space="preserve">№ </w:t>
            </w:r>
            <w:r>
              <w:rPr>
                <w:b/>
                <w:sz w:val="18"/>
                <w:szCs w:val="24"/>
              </w:rPr>
              <w:t>пп</w:t>
            </w:r>
          </w:p>
        </w:tc>
        <w:tc>
          <w:tcPr>
            <w:tcW w:w="4074"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sz w:val="18"/>
                <w:szCs w:val="24"/>
              </w:rPr>
            </w:pPr>
            <w:r>
              <w:rPr>
                <w:b/>
                <w:sz w:val="18"/>
                <w:szCs w:val="24"/>
              </w:rPr>
              <w:t>Наименование товара</w:t>
            </w:r>
          </w:p>
          <w:p>
            <w:pPr>
              <w:pStyle w:val="Normal"/>
              <w:jc w:val="center"/>
              <w:rPr>
                <w:b/>
                <w:sz w:val="18"/>
                <w:szCs w:val="24"/>
              </w:rPr>
            </w:pPr>
            <w:r>
              <w:rPr>
                <w:b/>
                <w:sz w:val="18"/>
                <w:szCs w:val="24"/>
              </w:rPr>
              <w:t>(дозировка, фасовка)</w:t>
            </w:r>
          </w:p>
        </w:tc>
        <w:tc>
          <w:tcPr>
            <w:tcW w:w="1233"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sz w:val="18"/>
                <w:szCs w:val="24"/>
              </w:rPr>
            </w:pPr>
            <w:r>
              <w:rPr>
                <w:b/>
                <w:sz w:val="18"/>
                <w:szCs w:val="24"/>
              </w:rPr>
              <w:t>Ед. изм.</w:t>
            </w:r>
          </w:p>
        </w:tc>
        <w:tc>
          <w:tcPr>
            <w:tcW w:w="3710" w:type="dxa"/>
            <w:gridSpan w:val="2"/>
            <w:tcBorders>
              <w:top w:val="single" w:sz="4" w:space="0" w:color="000000"/>
              <w:left w:val="single" w:sz="4" w:space="0" w:color="000000"/>
              <w:bottom w:val="single" w:sz="4" w:space="0" w:color="000000"/>
              <w:right w:val="single" w:sz="4" w:space="0" w:color="000000"/>
            </w:tcBorders>
          </w:tcPr>
          <w:p>
            <w:pPr>
              <w:pStyle w:val="Normal"/>
              <w:jc w:val="center"/>
              <w:rPr>
                <w:b/>
                <w:sz w:val="18"/>
                <w:szCs w:val="24"/>
              </w:rPr>
            </w:pPr>
            <w:r>
              <w:rPr>
                <w:b/>
                <w:sz w:val="18"/>
                <w:szCs w:val="24"/>
              </w:rPr>
              <w:t>Количество</w:t>
            </w:r>
          </w:p>
        </w:tc>
      </w:tr>
      <w:tr>
        <w:trPr/>
        <w:tc>
          <w:tcPr>
            <w:tcW w:w="811" w:type="dxa"/>
            <w:vMerge w:val="continue"/>
            <w:tcBorders>
              <w:top w:val="single" w:sz="4" w:space="0" w:color="000000"/>
              <w:left w:val="single" w:sz="4" w:space="0" w:color="000000"/>
              <w:bottom w:val="single" w:sz="4" w:space="0" w:color="000000"/>
              <w:right w:val="single" w:sz="4" w:space="0" w:color="000000"/>
            </w:tcBorders>
          </w:tcPr>
          <w:p>
            <w:pPr>
              <w:pStyle w:val="Normal"/>
              <w:widowControl/>
              <w:autoSpaceDE w:val="true"/>
              <w:snapToGrid w:val="false"/>
              <w:rPr>
                <w:rFonts w:ascii="Calibri" w:hAnsi="Calibri" w:eastAsia="Calibri" w:cs="Calibri"/>
                <w:b/>
                <w:sz w:val="18"/>
                <w:szCs w:val="24"/>
                <w:lang w:eastAsia="en-US"/>
              </w:rPr>
            </w:pPr>
            <w:r>
              <w:rPr>
                <w:rFonts w:eastAsia="Calibri" w:cs="Calibri" w:ascii="Calibri" w:hAnsi="Calibri"/>
                <w:b/>
                <w:sz w:val="18"/>
                <w:szCs w:val="24"/>
                <w:lang w:eastAsia="en-US"/>
              </w:rPr>
            </w:r>
          </w:p>
        </w:tc>
        <w:tc>
          <w:tcPr>
            <w:tcW w:w="4074" w:type="dxa"/>
            <w:vMerge w:val="continue"/>
            <w:tcBorders>
              <w:top w:val="single" w:sz="4" w:space="0" w:color="000000"/>
              <w:left w:val="single" w:sz="4" w:space="0" w:color="000000"/>
              <w:bottom w:val="single" w:sz="4" w:space="0" w:color="000000"/>
              <w:right w:val="single" w:sz="4" w:space="0" w:color="000000"/>
            </w:tcBorders>
          </w:tcPr>
          <w:p>
            <w:pPr>
              <w:pStyle w:val="Normal"/>
              <w:widowControl/>
              <w:autoSpaceDE w:val="true"/>
              <w:snapToGrid w:val="false"/>
              <w:rPr>
                <w:rFonts w:ascii="Calibri" w:hAnsi="Calibri" w:eastAsia="Calibri" w:cs="Calibri"/>
                <w:b/>
                <w:sz w:val="18"/>
                <w:szCs w:val="24"/>
                <w:lang w:eastAsia="en-US"/>
              </w:rPr>
            </w:pPr>
            <w:r>
              <w:rPr>
                <w:rFonts w:eastAsia="Calibri" w:cs="Calibri" w:ascii="Calibri" w:hAnsi="Calibri"/>
                <w:b/>
                <w:sz w:val="18"/>
                <w:szCs w:val="24"/>
                <w:lang w:eastAsia="en-US"/>
              </w:rPr>
            </w:r>
          </w:p>
        </w:tc>
        <w:tc>
          <w:tcPr>
            <w:tcW w:w="1233" w:type="dxa"/>
            <w:vMerge w:val="continue"/>
            <w:tcBorders>
              <w:top w:val="single" w:sz="4" w:space="0" w:color="000000"/>
              <w:left w:val="single" w:sz="4" w:space="0" w:color="000000"/>
              <w:bottom w:val="single" w:sz="4" w:space="0" w:color="000000"/>
              <w:right w:val="single" w:sz="4" w:space="0" w:color="000000"/>
            </w:tcBorders>
          </w:tcPr>
          <w:p>
            <w:pPr>
              <w:pStyle w:val="Normal"/>
              <w:widowControl/>
              <w:autoSpaceDE w:val="true"/>
              <w:snapToGrid w:val="false"/>
              <w:rPr>
                <w:b/>
                <w:sz w:val="18"/>
                <w:szCs w:val="24"/>
              </w:rPr>
            </w:pPr>
            <w:r>
              <w:rPr>
                <w:b/>
                <w:sz w:val="18"/>
                <w:szCs w:val="24"/>
              </w:rPr>
            </w:r>
          </w:p>
        </w:tc>
        <w:tc>
          <w:tcPr>
            <w:tcW w:w="1525"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24"/>
              </w:rPr>
            </w:pPr>
            <w:r>
              <w:rPr>
                <w:sz w:val="18"/>
                <w:szCs w:val="24"/>
              </w:rPr>
              <w:t>Затребовано</w:t>
            </w:r>
          </w:p>
        </w:tc>
        <w:tc>
          <w:tcPr>
            <w:tcW w:w="2185"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24"/>
              </w:rPr>
            </w:pPr>
            <w:r>
              <w:rPr>
                <w:sz w:val="18"/>
                <w:szCs w:val="24"/>
              </w:rPr>
              <w:t>Отпущено</w:t>
            </w:r>
          </w:p>
        </w:tc>
      </w:tr>
      <w:tr>
        <w:trPr/>
        <w:tc>
          <w:tcPr>
            <w:tcW w:w="811"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24"/>
              </w:rPr>
            </w:pPr>
            <w:r>
              <w:rPr>
                <w:sz w:val="18"/>
                <w:szCs w:val="24"/>
              </w:rPr>
              <w:t>1</w:t>
            </w:r>
          </w:p>
        </w:tc>
        <w:tc>
          <w:tcPr>
            <w:tcW w:w="4074"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18"/>
                <w:szCs w:val="24"/>
              </w:rPr>
            </w:pPr>
            <w:r>
              <w:rPr>
                <w:sz w:val="18"/>
                <w:szCs w:val="24"/>
              </w:rPr>
            </w:r>
          </w:p>
        </w:tc>
        <w:tc>
          <w:tcPr>
            <w:tcW w:w="123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18"/>
                <w:szCs w:val="24"/>
              </w:rPr>
            </w:pPr>
            <w:r>
              <w:rPr>
                <w:sz w:val="18"/>
                <w:szCs w:val="24"/>
              </w:rPr>
            </w:r>
          </w:p>
        </w:tc>
        <w:tc>
          <w:tcPr>
            <w:tcW w:w="152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18"/>
                <w:szCs w:val="24"/>
              </w:rPr>
            </w:pPr>
            <w:r>
              <w:rPr>
                <w:sz w:val="18"/>
                <w:szCs w:val="24"/>
              </w:rPr>
            </w:r>
          </w:p>
        </w:tc>
        <w:tc>
          <w:tcPr>
            <w:tcW w:w="218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18"/>
                <w:szCs w:val="24"/>
              </w:rPr>
            </w:pPr>
            <w:r>
              <w:rPr>
                <w:sz w:val="18"/>
                <w:szCs w:val="24"/>
              </w:rPr>
            </w:r>
          </w:p>
        </w:tc>
      </w:tr>
      <w:tr>
        <w:trPr/>
        <w:tc>
          <w:tcPr>
            <w:tcW w:w="811"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24"/>
              </w:rPr>
            </w:pPr>
            <w:r>
              <w:rPr>
                <w:sz w:val="18"/>
                <w:szCs w:val="24"/>
              </w:rPr>
              <w:t>2</w:t>
            </w:r>
          </w:p>
        </w:tc>
        <w:tc>
          <w:tcPr>
            <w:tcW w:w="4074"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18"/>
                <w:szCs w:val="24"/>
              </w:rPr>
            </w:pPr>
            <w:r>
              <w:rPr>
                <w:sz w:val="18"/>
                <w:szCs w:val="24"/>
              </w:rPr>
            </w:r>
          </w:p>
        </w:tc>
        <w:tc>
          <w:tcPr>
            <w:tcW w:w="123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18"/>
                <w:szCs w:val="24"/>
              </w:rPr>
            </w:pPr>
            <w:r>
              <w:rPr>
                <w:sz w:val="18"/>
                <w:szCs w:val="24"/>
              </w:rPr>
            </w:r>
          </w:p>
        </w:tc>
        <w:tc>
          <w:tcPr>
            <w:tcW w:w="152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18"/>
                <w:szCs w:val="24"/>
              </w:rPr>
            </w:pPr>
            <w:r>
              <w:rPr>
                <w:sz w:val="18"/>
                <w:szCs w:val="24"/>
              </w:rPr>
            </w:r>
          </w:p>
        </w:tc>
        <w:tc>
          <w:tcPr>
            <w:tcW w:w="218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18"/>
                <w:szCs w:val="24"/>
              </w:rPr>
            </w:pPr>
            <w:r>
              <w:rPr>
                <w:sz w:val="18"/>
                <w:szCs w:val="24"/>
              </w:rPr>
            </w:r>
          </w:p>
        </w:tc>
      </w:tr>
      <w:tr>
        <w:trPr/>
        <w:tc>
          <w:tcPr>
            <w:tcW w:w="811"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24"/>
              </w:rPr>
            </w:pPr>
            <w:r>
              <w:rPr>
                <w:sz w:val="18"/>
                <w:szCs w:val="24"/>
              </w:rPr>
              <w:t>3</w:t>
            </w:r>
          </w:p>
        </w:tc>
        <w:tc>
          <w:tcPr>
            <w:tcW w:w="4074"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18"/>
                <w:szCs w:val="24"/>
              </w:rPr>
            </w:pPr>
            <w:r>
              <w:rPr>
                <w:sz w:val="18"/>
                <w:szCs w:val="24"/>
              </w:rPr>
            </w:r>
          </w:p>
        </w:tc>
        <w:tc>
          <w:tcPr>
            <w:tcW w:w="123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18"/>
                <w:szCs w:val="24"/>
              </w:rPr>
            </w:pPr>
            <w:r>
              <w:rPr>
                <w:sz w:val="18"/>
                <w:szCs w:val="24"/>
              </w:rPr>
            </w:r>
          </w:p>
        </w:tc>
        <w:tc>
          <w:tcPr>
            <w:tcW w:w="152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18"/>
                <w:szCs w:val="24"/>
              </w:rPr>
            </w:pPr>
            <w:r>
              <w:rPr>
                <w:sz w:val="18"/>
                <w:szCs w:val="24"/>
              </w:rPr>
            </w:r>
          </w:p>
        </w:tc>
        <w:tc>
          <w:tcPr>
            <w:tcW w:w="218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18"/>
                <w:szCs w:val="24"/>
              </w:rPr>
            </w:pPr>
            <w:r>
              <w:rPr>
                <w:sz w:val="18"/>
                <w:szCs w:val="24"/>
              </w:rPr>
            </w:r>
          </w:p>
        </w:tc>
      </w:tr>
      <w:tr>
        <w:trPr/>
        <w:tc>
          <w:tcPr>
            <w:tcW w:w="811"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Calibri" w:hAnsi="Calibri" w:eastAsia="Calibri" w:cs="Calibri"/>
                <w:sz w:val="18"/>
                <w:szCs w:val="24"/>
                <w:lang w:eastAsia="en-US"/>
              </w:rPr>
            </w:pPr>
            <w:r>
              <w:rPr>
                <w:rFonts w:eastAsia="Calibri" w:cs="Calibri" w:ascii="Calibri" w:hAnsi="Calibri"/>
                <w:sz w:val="18"/>
                <w:szCs w:val="24"/>
                <w:lang w:eastAsia="en-US"/>
              </w:rPr>
            </w:r>
          </w:p>
        </w:tc>
        <w:tc>
          <w:tcPr>
            <w:tcW w:w="4074" w:type="dxa"/>
            <w:tcBorders>
              <w:top w:val="single" w:sz="4" w:space="0" w:color="000000"/>
              <w:left w:val="single" w:sz="4" w:space="0" w:color="000000"/>
              <w:bottom w:val="single" w:sz="4" w:space="0" w:color="000000"/>
              <w:right w:val="single" w:sz="4" w:space="0" w:color="000000"/>
            </w:tcBorders>
          </w:tcPr>
          <w:p>
            <w:pPr>
              <w:pStyle w:val="Normal"/>
              <w:rPr>
                <w:sz w:val="18"/>
                <w:szCs w:val="24"/>
              </w:rPr>
            </w:pPr>
            <w:r>
              <w:rPr>
                <w:sz w:val="18"/>
                <w:szCs w:val="24"/>
              </w:rPr>
              <w:t>Итого: _____ наименования</w:t>
            </w:r>
          </w:p>
        </w:tc>
        <w:tc>
          <w:tcPr>
            <w:tcW w:w="123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18"/>
                <w:szCs w:val="24"/>
              </w:rPr>
            </w:pPr>
            <w:r>
              <w:rPr>
                <w:sz w:val="18"/>
                <w:szCs w:val="24"/>
              </w:rPr>
            </w:r>
          </w:p>
        </w:tc>
        <w:tc>
          <w:tcPr>
            <w:tcW w:w="152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18"/>
                <w:szCs w:val="24"/>
              </w:rPr>
            </w:pPr>
            <w:r>
              <w:rPr>
                <w:sz w:val="18"/>
                <w:szCs w:val="24"/>
              </w:rPr>
            </w:r>
          </w:p>
        </w:tc>
        <w:tc>
          <w:tcPr>
            <w:tcW w:w="218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18"/>
                <w:szCs w:val="24"/>
              </w:rPr>
            </w:pPr>
            <w:r>
              <w:rPr>
                <w:sz w:val="18"/>
                <w:szCs w:val="24"/>
              </w:rPr>
            </w:r>
          </w:p>
        </w:tc>
      </w:tr>
    </w:tbl>
    <w:p>
      <w:pPr>
        <w:pStyle w:val="Normal"/>
        <w:jc w:val="both"/>
        <w:rPr>
          <w:sz w:val="18"/>
          <w:szCs w:val="24"/>
        </w:rPr>
      </w:pPr>
      <w:r>
        <w:rPr>
          <w:sz w:val="18"/>
          <w:szCs w:val="24"/>
        </w:rPr>
      </w:r>
    </w:p>
    <w:p>
      <w:pPr>
        <w:pStyle w:val="Normal"/>
        <w:jc w:val="both"/>
        <w:rPr>
          <w:sz w:val="18"/>
          <w:szCs w:val="24"/>
        </w:rPr>
      </w:pPr>
      <w:r>
        <w:rPr>
          <w:sz w:val="18"/>
          <w:szCs w:val="24"/>
        </w:rPr>
        <w:t xml:space="preserve">Должность ответственного лица (кто затребовал) ______________  </w:t>
        <w:tab/>
        <w:t>(_______________)</w:t>
      </w:r>
    </w:p>
    <w:p>
      <w:pPr>
        <w:pStyle w:val="Normal"/>
        <w:jc w:val="both"/>
        <w:rPr>
          <w:sz w:val="18"/>
          <w:szCs w:val="24"/>
        </w:rPr>
      </w:pPr>
      <w:r>
        <w:rPr>
          <w:sz w:val="18"/>
          <w:szCs w:val="24"/>
        </w:rPr>
        <w:tab/>
        <w:tab/>
        <w:tab/>
        <w:tab/>
        <w:tab/>
        <w:tab/>
        <w:tab/>
        <w:tab/>
      </w:r>
      <w:r>
        <w:rPr>
          <w:i/>
          <w:sz w:val="14"/>
          <w:szCs w:val="24"/>
        </w:rPr>
        <w:t>(подпись)</w:t>
        <w:tab/>
        <w:tab/>
        <w:t>(ФИО)</w:t>
      </w:r>
    </w:p>
    <w:p>
      <w:pPr>
        <w:pStyle w:val="Normal"/>
        <w:rPr>
          <w:sz w:val="18"/>
          <w:szCs w:val="24"/>
          <w:lang w:val="en-US"/>
        </w:rPr>
      </w:pPr>
      <w:r>
        <w:rPr>
          <w:sz w:val="18"/>
          <w:szCs w:val="24"/>
        </w:rPr>
        <w:t>Контактный телефон ответственного лица</w:t>
        <w:tab/>
        <w:t>______________________</w:t>
      </w:r>
    </w:p>
    <w:p>
      <w:pPr>
        <w:pStyle w:val="Normal"/>
        <w:rPr>
          <w:sz w:val="18"/>
          <w:szCs w:val="24"/>
        </w:rPr>
      </w:pPr>
      <w:r>
        <w:rPr>
          <w:sz w:val="18"/>
          <w:szCs w:val="24"/>
          <w:lang w:val="en-US"/>
        </w:rPr>
        <w:t>email</w:t>
      </w:r>
      <w:r>
        <w:rPr>
          <w:sz w:val="18"/>
          <w:szCs w:val="24"/>
        </w:rPr>
        <w:t xml:space="preserve"> ответственного лица</w:t>
        <w:tab/>
        <w:tab/>
        <w:tab/>
        <w:tab/>
        <w:t>______________________</w:t>
      </w:r>
    </w:p>
    <w:p>
      <w:pPr>
        <w:pStyle w:val="Normal"/>
        <w:rPr>
          <w:sz w:val="18"/>
          <w:szCs w:val="24"/>
        </w:rPr>
      </w:pPr>
      <w:r>
        <w:rPr>
          <w:sz w:val="18"/>
          <w:szCs w:val="24"/>
        </w:rPr>
      </w:r>
    </w:p>
    <w:p>
      <w:pPr>
        <w:pStyle w:val="Normal"/>
        <w:rPr>
          <w:sz w:val="18"/>
          <w:szCs w:val="24"/>
        </w:rPr>
      </w:pPr>
      <w:r>
        <w:rPr>
          <w:b/>
          <w:sz w:val="18"/>
          <w:szCs w:val="24"/>
        </w:rPr>
        <w:t>Адрес доставки</w:t>
      </w:r>
      <w:r>
        <w:rPr>
          <w:sz w:val="18"/>
          <w:szCs w:val="24"/>
        </w:rPr>
        <w:t xml:space="preserve"> ______________________________________________________________________________</w:t>
      </w:r>
    </w:p>
    <w:p>
      <w:pPr>
        <w:pStyle w:val="Normal"/>
        <w:jc w:val="center"/>
        <w:rPr>
          <w:b/>
          <w:sz w:val="18"/>
          <w:szCs w:val="24"/>
        </w:rPr>
      </w:pPr>
      <w:r>
        <w:rPr>
          <w:sz w:val="18"/>
          <w:szCs w:val="24"/>
        </w:rPr>
        <w:t>(</w:t>
      </w:r>
      <w:r>
        <w:rPr>
          <w:i/>
          <w:sz w:val="18"/>
          <w:szCs w:val="24"/>
        </w:rPr>
        <w:t>указать адрес согласно лицензии на НС и ПВ</w:t>
      </w:r>
      <w:r>
        <w:rPr>
          <w:sz w:val="18"/>
          <w:szCs w:val="24"/>
        </w:rPr>
        <w:t>)</w:t>
      </w:r>
    </w:p>
    <w:p>
      <w:pPr>
        <w:pStyle w:val="Normal"/>
        <w:spacing w:before="120" w:after="0"/>
        <w:rPr>
          <w:sz w:val="18"/>
          <w:szCs w:val="24"/>
        </w:rPr>
      </w:pPr>
      <w:r>
        <w:rPr>
          <w:b/>
          <w:sz w:val="18"/>
          <w:szCs w:val="24"/>
        </w:rPr>
        <w:t>Идентификатор места деятельности МДЛП</w:t>
      </w:r>
      <w:r>
        <w:rPr>
          <w:sz w:val="18"/>
          <w:szCs w:val="24"/>
        </w:rPr>
        <w:t>: ______________________________________</w:t>
      </w:r>
    </w:p>
    <w:p>
      <w:pPr>
        <w:pStyle w:val="Normal"/>
        <w:rPr>
          <w:sz w:val="18"/>
          <w:szCs w:val="24"/>
        </w:rPr>
      </w:pPr>
      <w:r>
        <w:rPr>
          <w:sz w:val="18"/>
          <w:szCs w:val="24"/>
        </w:rPr>
        <w:tab/>
        <w:tab/>
        <w:tab/>
        <w:tab/>
        <w:tab/>
        <w:tab/>
        <w:tab/>
        <w:t>(</w:t>
      </w:r>
      <w:r>
        <w:rPr>
          <w:i/>
          <w:sz w:val="18"/>
          <w:szCs w:val="24"/>
        </w:rPr>
        <w:t xml:space="preserve">указать </w:t>
      </w:r>
      <w:r>
        <w:rPr>
          <w:rFonts w:eastAsia="Calibri"/>
          <w:i/>
          <w:sz w:val="18"/>
          <w:szCs w:val="24"/>
          <w:lang w:eastAsia="en-US"/>
        </w:rPr>
        <w:t>четырнадцатизначное</w:t>
      </w:r>
      <w:r>
        <w:rPr>
          <w:i/>
          <w:sz w:val="18"/>
          <w:szCs w:val="24"/>
        </w:rPr>
        <w:t xml:space="preserve"> число</w:t>
      </w:r>
      <w:r>
        <w:rPr>
          <w:sz w:val="18"/>
          <w:szCs w:val="24"/>
        </w:rPr>
        <w:t xml:space="preserve">) </w:t>
      </w:r>
    </w:p>
    <w:p>
      <w:pPr>
        <w:pStyle w:val="Normal"/>
        <w:rPr>
          <w:sz w:val="18"/>
          <w:szCs w:val="24"/>
        </w:rPr>
      </w:pPr>
      <w:r>
        <w:rPr>
          <w:sz w:val="18"/>
          <w:szCs w:val="24"/>
        </w:rPr>
      </w:r>
    </w:p>
    <w:p>
      <w:pPr>
        <w:pStyle w:val="Normal"/>
        <w:rPr>
          <w:sz w:val="18"/>
          <w:szCs w:val="24"/>
        </w:rPr>
      </w:pPr>
      <w:r>
        <w:rPr>
          <w:sz w:val="18"/>
          <w:szCs w:val="24"/>
        </w:rPr>
        <w:t>ИНН/КПП___________/_____________</w:t>
      </w:r>
    </w:p>
    <w:p>
      <w:pPr>
        <w:pStyle w:val="Normal"/>
        <w:rPr>
          <w:sz w:val="18"/>
          <w:szCs w:val="24"/>
        </w:rPr>
      </w:pPr>
      <w:r>
        <w:rPr>
          <w:sz w:val="18"/>
          <w:szCs w:val="24"/>
        </w:rPr>
        <w:t>Номер расчетного счета______________________</w:t>
      </w:r>
    </w:p>
    <w:p>
      <w:pPr>
        <w:pStyle w:val="Normal"/>
        <w:rPr>
          <w:sz w:val="18"/>
          <w:szCs w:val="24"/>
        </w:rPr>
      </w:pPr>
      <w:r>
        <w:rPr>
          <w:sz w:val="18"/>
          <w:szCs w:val="24"/>
        </w:rPr>
        <w:t>Наименование банка______________________</w:t>
      </w:r>
    </w:p>
    <w:p>
      <w:pPr>
        <w:pStyle w:val="Normal"/>
        <w:rPr>
          <w:sz w:val="18"/>
          <w:szCs w:val="24"/>
        </w:rPr>
      </w:pPr>
      <w:r>
        <w:rPr>
          <w:sz w:val="18"/>
          <w:szCs w:val="24"/>
        </w:rPr>
        <w:t>БИК______________________</w:t>
      </w:r>
    </w:p>
    <w:p>
      <w:pPr>
        <w:pStyle w:val="Normal"/>
        <w:jc w:val="center"/>
        <w:rPr>
          <w:sz w:val="18"/>
          <w:szCs w:val="24"/>
        </w:rPr>
      </w:pPr>
      <w:r>
        <w:rPr>
          <w:sz w:val="18"/>
          <w:szCs w:val="24"/>
        </w:rPr>
      </w:r>
    </w:p>
    <w:p>
      <w:pPr>
        <w:pStyle w:val="Normal"/>
        <w:numPr>
          <w:ilvl w:val="0"/>
          <w:numId w:val="0"/>
        </w:numPr>
        <w:ind w:hanging="0" w:left="0"/>
        <w:outlineLvl w:val="0"/>
        <w:rPr>
          <w:b/>
          <w:sz w:val="18"/>
          <w:szCs w:val="24"/>
        </w:rPr>
      </w:pPr>
      <w:r>
        <w:rPr>
          <w:sz w:val="18"/>
          <w:szCs w:val="24"/>
        </w:rPr>
        <w:t>Гарантируем оплату товара в течение 5 (пяти)</w:t>
      </w:r>
      <w:r>
        <w:rPr>
          <w:color w:val="FF0000"/>
          <w:sz w:val="18"/>
          <w:szCs w:val="24"/>
        </w:rPr>
        <w:t xml:space="preserve"> </w:t>
      </w:r>
      <w:r>
        <w:rPr>
          <w:sz w:val="18"/>
          <w:szCs w:val="24"/>
        </w:rPr>
        <w:t xml:space="preserve">банковских дней с момента поставки товара. </w:t>
      </w:r>
    </w:p>
    <w:p>
      <w:pPr>
        <w:pStyle w:val="Normal"/>
        <w:rPr>
          <w:b/>
          <w:sz w:val="18"/>
          <w:szCs w:val="24"/>
        </w:rPr>
      </w:pPr>
      <w:r>
        <w:rPr>
          <w:b/>
          <w:sz w:val="18"/>
          <w:szCs w:val="24"/>
        </w:rPr>
      </w:r>
    </w:p>
    <w:p>
      <w:pPr>
        <w:pStyle w:val="Normal"/>
        <w:rPr>
          <w:b/>
          <w:color w:val="000000"/>
          <w:sz w:val="36"/>
          <w:szCs w:val="24"/>
        </w:rPr>
      </w:pPr>
      <w:r>
        <w:rPr>
          <w:b/>
          <w:sz w:val="18"/>
          <w:szCs w:val="24"/>
        </w:rPr>
        <w:t xml:space="preserve">Источник финансирования товара по данной заявке </w:t>
      </w:r>
      <w:r>
        <w:rPr>
          <w:b/>
          <w:i/>
          <w:sz w:val="18"/>
          <w:szCs w:val="24"/>
        </w:rPr>
        <w:t>(нужное отметить, заявка оформляется отдельно для каждого источника финансирования):</w:t>
      </w:r>
    </w:p>
    <w:p>
      <w:pPr>
        <w:pStyle w:val="Normal"/>
        <w:rPr>
          <w:rFonts w:eastAsia="Calibri"/>
          <w:b/>
          <w:color w:val="000000"/>
          <w:sz w:val="36"/>
          <w:szCs w:val="24"/>
          <w:lang w:eastAsia="en-US"/>
        </w:rPr>
      </w:pPr>
      <w:r>
        <w:rPr>
          <w:b/>
          <w:color w:val="000000"/>
          <w:sz w:val="36"/>
          <w:szCs w:val="24"/>
        </w:rPr>
        <w:t>□</w:t>
      </w:r>
      <w:r>
        <w:rPr>
          <w:b/>
          <w:color w:val="000000"/>
          <w:sz w:val="18"/>
          <w:szCs w:val="24"/>
        </w:rPr>
        <w:t xml:space="preserve"> </w:t>
      </w:r>
      <w:r>
        <w:rPr>
          <w:b/>
          <w:color w:val="000000"/>
          <w:sz w:val="18"/>
          <w:szCs w:val="24"/>
        </w:rPr>
        <w:t xml:space="preserve">- </w:t>
      </w:r>
      <w:r>
        <w:rPr>
          <w:rFonts w:eastAsia="Calibri"/>
          <w:color w:val="000000"/>
          <w:sz w:val="18"/>
          <w:szCs w:val="24"/>
          <w:lang w:eastAsia="en-US"/>
        </w:rPr>
        <w:t>собственные средства</w:t>
        <w:tab/>
        <w:tab/>
        <w:tab/>
        <w:tab/>
        <w:t>□ – средства бюджетов внебюджетных фондов</w:t>
      </w:r>
    </w:p>
    <w:p>
      <w:pPr>
        <w:pStyle w:val="Normal"/>
        <w:rPr>
          <w:sz w:val="18"/>
          <w:szCs w:val="24"/>
        </w:rPr>
      </w:pPr>
      <w:r>
        <w:rPr>
          <w:rFonts w:eastAsia="Calibri"/>
          <w:b/>
          <w:color w:val="000000"/>
          <w:sz w:val="36"/>
          <w:szCs w:val="24"/>
          <w:lang w:eastAsia="en-US"/>
        </w:rPr>
        <w:t>□</w:t>
      </w:r>
      <w:r>
        <w:rPr>
          <w:rFonts w:eastAsia="Calibri"/>
          <w:b/>
          <w:color w:val="000000"/>
          <w:sz w:val="18"/>
          <w:szCs w:val="24"/>
          <w:lang w:eastAsia="en-US"/>
        </w:rPr>
        <w:t>-</w:t>
      </w:r>
      <w:r>
        <w:rPr>
          <w:rFonts w:eastAsia="Calibri"/>
          <w:color w:val="000000"/>
          <w:sz w:val="18"/>
          <w:szCs w:val="24"/>
          <w:lang w:eastAsia="en-US"/>
        </w:rPr>
        <w:t xml:space="preserve"> средства федерального бюджета</w:t>
        <w:tab/>
        <w:tab/>
        <w:tab/>
        <w:t>□ – средства регионального бюджета</w:t>
      </w:r>
    </w:p>
    <w:p>
      <w:pPr>
        <w:pStyle w:val="Normal"/>
        <w:rPr>
          <w:sz w:val="18"/>
          <w:szCs w:val="24"/>
        </w:rPr>
      </w:pPr>
      <w:r>
        <w:rPr>
          <w:sz w:val="18"/>
          <w:szCs w:val="24"/>
        </w:rPr>
        <w:t>□</w:t>
      </w:r>
      <w:r>
        <w:rPr>
          <w:sz w:val="18"/>
          <w:szCs w:val="24"/>
        </w:rPr>
        <w:t>- смешанные средства бюджетов</w:t>
      </w:r>
    </w:p>
    <w:p>
      <w:pPr>
        <w:pStyle w:val="Normal"/>
        <w:rPr>
          <w:sz w:val="18"/>
          <w:szCs w:val="24"/>
        </w:rPr>
      </w:pPr>
      <w:r>
        <w:rPr>
          <w:sz w:val="18"/>
          <w:szCs w:val="24"/>
        </w:rPr>
      </w:r>
    </w:p>
    <w:p>
      <w:pPr>
        <w:pStyle w:val="Normal"/>
        <w:rPr>
          <w:sz w:val="18"/>
          <w:szCs w:val="24"/>
        </w:rPr>
      </w:pPr>
      <w:r>
        <w:rPr>
          <w:sz w:val="18"/>
          <w:szCs w:val="24"/>
        </w:rPr>
      </w:r>
    </w:p>
    <w:p>
      <w:pPr>
        <w:pStyle w:val="Normal"/>
        <w:rPr>
          <w:sz w:val="18"/>
          <w:szCs w:val="24"/>
        </w:rPr>
      </w:pPr>
      <w:r>
        <w:rPr>
          <w:sz w:val="18"/>
          <w:szCs w:val="24"/>
        </w:rPr>
        <w:t>Должность руководитель учреждения</w:t>
        <w:tab/>
        <w:tab/>
        <w:t xml:space="preserve">____________  </w:t>
        <w:tab/>
        <w:t>(_______________)</w:t>
      </w:r>
    </w:p>
    <w:p>
      <w:pPr>
        <w:pStyle w:val="Normal"/>
        <w:rPr>
          <w:sz w:val="18"/>
          <w:szCs w:val="24"/>
        </w:rPr>
      </w:pPr>
      <w:r>
        <w:rPr>
          <w:sz w:val="18"/>
          <w:szCs w:val="24"/>
        </w:rPr>
        <w:tab/>
        <w:tab/>
        <w:tab/>
        <w:tab/>
        <w:tab/>
        <w:tab/>
      </w:r>
      <w:r>
        <w:rPr>
          <w:i/>
          <w:sz w:val="14"/>
          <w:szCs w:val="24"/>
        </w:rPr>
        <w:t>(подпись)</w:t>
        <w:tab/>
        <w:tab/>
        <w:tab/>
        <w:t>(ФИО)</w:t>
      </w:r>
    </w:p>
    <w:p>
      <w:pPr>
        <w:pStyle w:val="Normal"/>
        <w:rPr>
          <w:sz w:val="18"/>
          <w:szCs w:val="24"/>
        </w:rPr>
      </w:pPr>
      <w:r>
        <w:rPr>
          <w:sz w:val="18"/>
          <w:szCs w:val="24"/>
        </w:rPr>
        <w:t xml:space="preserve">Главный бухгалтер                                          </w:t>
        <w:tab/>
        <w:tab/>
        <w:t xml:space="preserve"> ____________ </w:t>
        <w:tab/>
        <w:t xml:space="preserve">(_______________)    </w:t>
      </w:r>
    </w:p>
    <w:p>
      <w:pPr>
        <w:pStyle w:val="Normal"/>
        <w:rPr>
          <w:szCs w:val="24"/>
        </w:rPr>
      </w:pPr>
      <w:r>
        <w:rPr>
          <w:sz w:val="18"/>
          <w:szCs w:val="24"/>
        </w:rPr>
        <w:tab/>
        <w:tab/>
        <w:tab/>
        <w:tab/>
        <w:tab/>
        <w:tab/>
        <w:t>(</w:t>
      </w:r>
      <w:r>
        <w:rPr>
          <w:i/>
          <w:sz w:val="14"/>
          <w:szCs w:val="24"/>
        </w:rPr>
        <w:t>подпись)</w:t>
        <w:tab/>
        <w:tab/>
        <w:tab/>
        <w:t>(ФИО)</w:t>
      </w:r>
    </w:p>
    <w:p>
      <w:pPr>
        <w:pStyle w:val="Normal"/>
        <w:numPr>
          <w:ilvl w:val="0"/>
          <w:numId w:val="0"/>
        </w:numPr>
        <w:ind w:hanging="0" w:left="0"/>
        <w:outlineLvl w:val="0"/>
        <w:rPr>
          <w:sz w:val="24"/>
          <w:szCs w:val="24"/>
        </w:rPr>
      </w:pPr>
      <w:r>
        <w:rPr>
          <w:szCs w:val="24"/>
        </w:rPr>
        <w:t xml:space="preserve">М.П.     </w:t>
      </w:r>
    </w:p>
    <w:p>
      <w:pPr>
        <w:pStyle w:val="Normal"/>
        <w:numPr>
          <w:ilvl w:val="0"/>
          <w:numId w:val="0"/>
        </w:numPr>
        <w:ind w:hanging="0" w:left="0"/>
        <w:outlineLvl w:val="0"/>
        <w:rPr>
          <w:sz w:val="24"/>
          <w:szCs w:val="24"/>
        </w:rPr>
      </w:pPr>
      <w:r>
        <w:rPr>
          <w:sz w:val="24"/>
          <w:szCs w:val="24"/>
        </w:rPr>
      </w:r>
    </w:p>
    <w:p>
      <w:pPr>
        <w:pStyle w:val="Normal"/>
        <w:numPr>
          <w:ilvl w:val="0"/>
          <w:numId w:val="0"/>
        </w:numPr>
        <w:ind w:hanging="0" w:left="0"/>
        <w:outlineLvl w:val="0"/>
        <w:rPr>
          <w:sz w:val="24"/>
          <w:szCs w:val="24"/>
        </w:rPr>
      </w:pPr>
      <w:r>
        <w:rPr>
          <w:sz w:val="24"/>
          <w:szCs w:val="24"/>
        </w:rPr>
      </w:r>
    </w:p>
    <w:p>
      <w:pPr>
        <w:pStyle w:val="Normal"/>
        <w:numPr>
          <w:ilvl w:val="0"/>
          <w:numId w:val="0"/>
        </w:numPr>
        <w:ind w:hanging="0" w:left="0"/>
        <w:outlineLvl w:val="0"/>
        <w:rPr>
          <w:sz w:val="24"/>
          <w:szCs w:val="24"/>
        </w:rPr>
      </w:pPr>
      <w:r>
        <w:rPr>
          <w:sz w:val="24"/>
          <w:szCs w:val="24"/>
        </w:rPr>
      </w:r>
    </w:p>
    <w:p>
      <w:pPr>
        <w:pStyle w:val="Normal"/>
        <w:numPr>
          <w:ilvl w:val="0"/>
          <w:numId w:val="0"/>
        </w:numPr>
        <w:ind w:hanging="0" w:left="0"/>
        <w:outlineLvl w:val="0"/>
        <w:rPr>
          <w:sz w:val="24"/>
          <w:szCs w:val="24"/>
        </w:rPr>
      </w:pPr>
      <w:r>
        <w:rPr>
          <w:sz w:val="24"/>
          <w:szCs w:val="24"/>
        </w:rPr>
      </w:r>
    </w:p>
    <w:tbl>
      <w:tblPr>
        <w:tblW w:w="9540" w:type="dxa"/>
        <w:jc w:val="left"/>
        <w:tblInd w:w="108" w:type="dxa"/>
        <w:tblLayout w:type="fixed"/>
        <w:tblCellMar>
          <w:top w:w="0" w:type="dxa"/>
          <w:left w:w="108" w:type="dxa"/>
          <w:bottom w:w="0" w:type="dxa"/>
          <w:right w:w="108" w:type="dxa"/>
        </w:tblCellMar>
      </w:tblPr>
      <w:tblGrid>
        <w:gridCol w:w="5103"/>
        <w:gridCol w:w="4437"/>
      </w:tblGrid>
      <w:tr>
        <w:trPr>
          <w:trHeight w:val="1136" w:hRule="atLeast"/>
        </w:trPr>
        <w:tc>
          <w:tcPr>
            <w:tcW w:w="5103" w:type="dxa"/>
            <w:tcBorders/>
          </w:tcPr>
          <w:p>
            <w:pPr>
              <w:pStyle w:val="Normal"/>
              <w:snapToGrid w:val="false"/>
              <w:jc w:val="both"/>
              <w:rPr/>
            </w:pPr>
            <w:r>
              <w:rPr/>
            </w:r>
          </w:p>
        </w:tc>
        <w:tc>
          <w:tcPr>
            <w:tcW w:w="4437" w:type="dxa"/>
            <w:tcBorders/>
          </w:tcPr>
          <w:p>
            <w:pPr>
              <w:pStyle w:val="Heading7"/>
              <w:spacing w:lineRule="auto" w:line="240"/>
              <w:ind w:hanging="0" w:left="0" w:right="0"/>
              <w:rPr>
                <w:b/>
                <w:sz w:val="24"/>
                <w:szCs w:val="24"/>
              </w:rPr>
            </w:pPr>
            <w:r>
              <w:rPr>
                <w:bCs w:val="false"/>
              </w:rPr>
              <w:t>От ПОКУПАТЕЛЯ</w:t>
            </w:r>
          </w:p>
          <w:p>
            <w:pPr>
              <w:pStyle w:val="Normal"/>
              <w:tabs>
                <w:tab w:val="clear" w:pos="708"/>
                <w:tab w:val="left" w:pos="495" w:leader="none"/>
              </w:tabs>
              <w:rPr>
                <w:b/>
                <w:sz w:val="24"/>
                <w:szCs w:val="24"/>
              </w:rPr>
            </w:pPr>
            <w:r>
              <w:rPr>
                <w:b/>
                <w:sz w:val="24"/>
                <w:szCs w:val="24"/>
              </w:rPr>
              <w:t>Главный врач</w:t>
            </w:r>
          </w:p>
          <w:p>
            <w:pPr>
              <w:pStyle w:val="Normal"/>
              <w:tabs>
                <w:tab w:val="clear" w:pos="708"/>
                <w:tab w:val="left" w:pos="495" w:leader="none"/>
              </w:tabs>
              <w:rPr>
                <w:b/>
                <w:sz w:val="24"/>
                <w:szCs w:val="24"/>
              </w:rPr>
            </w:pPr>
            <w:r>
              <w:rPr>
                <w:b/>
                <w:sz w:val="24"/>
                <w:szCs w:val="24"/>
              </w:rPr>
              <w:t>ФГБУЗ КБ №8 ФМБА России</w:t>
            </w:r>
          </w:p>
          <w:p>
            <w:pPr>
              <w:pStyle w:val="Normal"/>
              <w:tabs>
                <w:tab w:val="clear" w:pos="708"/>
                <w:tab w:val="left" w:pos="495" w:leader="none"/>
              </w:tabs>
              <w:rPr>
                <w:b/>
                <w:sz w:val="24"/>
                <w:szCs w:val="24"/>
              </w:rPr>
            </w:pPr>
            <w:r>
              <w:rPr>
                <w:b/>
                <w:sz w:val="24"/>
                <w:szCs w:val="24"/>
              </w:rPr>
            </w:r>
          </w:p>
          <w:p>
            <w:pPr>
              <w:pStyle w:val="Normal"/>
              <w:tabs>
                <w:tab w:val="clear" w:pos="708"/>
                <w:tab w:val="left" w:pos="495" w:leader="none"/>
              </w:tabs>
              <w:rPr>
                <w:b/>
                <w:sz w:val="24"/>
                <w:szCs w:val="24"/>
              </w:rPr>
            </w:pPr>
            <w:r>
              <w:rPr>
                <w:b/>
                <w:sz w:val="24"/>
                <w:szCs w:val="24"/>
              </w:rPr>
            </w:r>
          </w:p>
          <w:p>
            <w:pPr>
              <w:pStyle w:val="Normal"/>
              <w:ind w:firstLine="531" w:left="-531" w:right="0"/>
              <w:jc w:val="both"/>
              <w:rPr>
                <w:b/>
                <w:sz w:val="24"/>
                <w:szCs w:val="24"/>
              </w:rPr>
            </w:pPr>
            <w:r>
              <w:rPr>
                <w:b/>
                <w:sz w:val="24"/>
                <w:szCs w:val="24"/>
              </w:rPr>
              <w:t>________________ /С.М. Курдяев/</w:t>
            </w:r>
          </w:p>
          <w:p>
            <w:pPr>
              <w:pStyle w:val="Normal"/>
              <w:ind w:firstLine="531" w:left="-531" w:right="0"/>
              <w:jc w:val="both"/>
              <w:rPr>
                <w:b/>
                <w:sz w:val="24"/>
                <w:szCs w:val="24"/>
              </w:rPr>
            </w:pPr>
            <w:r>
              <w:rPr>
                <w:b/>
                <w:sz w:val="24"/>
                <w:szCs w:val="24"/>
              </w:rPr>
            </w:r>
          </w:p>
        </w:tc>
      </w:tr>
    </w:tbl>
    <w:p>
      <w:pPr>
        <w:pStyle w:val="Normal"/>
        <w:numPr>
          <w:ilvl w:val="0"/>
          <w:numId w:val="0"/>
        </w:numPr>
        <w:tabs>
          <w:tab w:val="clear" w:pos="708"/>
          <w:tab w:val="left" w:pos="700" w:leader="none"/>
          <w:tab w:val="left" w:pos="3636" w:leader="none"/>
          <w:tab w:val="left" w:pos="5448" w:leader="none"/>
          <w:tab w:val="left" w:pos="7042" w:leader="none"/>
          <w:tab w:val="left" w:pos="8463" w:leader="none"/>
          <w:tab w:val="left" w:pos="9982" w:leader="none"/>
          <w:tab w:val="left" w:pos="11245" w:leader="none"/>
          <w:tab w:val="left" w:pos="12677" w:leader="none"/>
        </w:tabs>
        <w:ind w:hanging="0" w:left="0"/>
        <w:jc w:val="right"/>
        <w:outlineLvl w:val="0"/>
        <w:rPr>
          <w:sz w:val="24"/>
          <w:szCs w:val="24"/>
        </w:rPr>
      </w:pPr>
      <w:r>
        <w:rPr>
          <w:sz w:val="24"/>
          <w:szCs w:val="24"/>
        </w:rPr>
      </w:r>
    </w:p>
    <w:p>
      <w:pPr>
        <w:pStyle w:val="Normal"/>
        <w:numPr>
          <w:ilvl w:val="0"/>
          <w:numId w:val="0"/>
        </w:numPr>
        <w:tabs>
          <w:tab w:val="clear" w:pos="708"/>
          <w:tab w:val="left" w:pos="700" w:leader="none"/>
          <w:tab w:val="left" w:pos="3636" w:leader="none"/>
          <w:tab w:val="left" w:pos="5448" w:leader="none"/>
          <w:tab w:val="left" w:pos="7042" w:leader="none"/>
          <w:tab w:val="left" w:pos="8463" w:leader="none"/>
          <w:tab w:val="left" w:pos="9982" w:leader="none"/>
          <w:tab w:val="left" w:pos="11245" w:leader="none"/>
          <w:tab w:val="left" w:pos="12677" w:leader="none"/>
        </w:tabs>
        <w:ind w:hanging="0" w:left="0"/>
        <w:jc w:val="right"/>
        <w:outlineLvl w:val="0"/>
        <w:rPr>
          <w:sz w:val="24"/>
          <w:szCs w:val="24"/>
        </w:rPr>
      </w:pPr>
      <w:r>
        <w:rPr/>
        <w:t>Приложение № 2 к Договору № М-346 от __________2026 г.</w:t>
      </w:r>
    </w:p>
    <w:p>
      <w:pPr>
        <w:pStyle w:val="Normal"/>
        <w:numPr>
          <w:ilvl w:val="0"/>
          <w:numId w:val="0"/>
        </w:numPr>
        <w:tabs>
          <w:tab w:val="clear" w:pos="708"/>
          <w:tab w:val="left" w:pos="700" w:leader="none"/>
          <w:tab w:val="left" w:pos="3636" w:leader="none"/>
          <w:tab w:val="left" w:pos="5448" w:leader="none"/>
          <w:tab w:val="left" w:pos="7042" w:leader="none"/>
          <w:tab w:val="left" w:pos="8463" w:leader="none"/>
          <w:tab w:val="left" w:pos="9982" w:leader="none"/>
          <w:tab w:val="left" w:pos="11245" w:leader="none"/>
          <w:tab w:val="left" w:pos="12677" w:leader="none"/>
        </w:tabs>
        <w:ind w:hanging="0" w:left="0"/>
        <w:outlineLvl w:val="0"/>
        <w:rPr>
          <w:sz w:val="24"/>
          <w:szCs w:val="24"/>
        </w:rPr>
      </w:pPr>
      <w:r>
        <w:rPr>
          <w:sz w:val="24"/>
          <w:szCs w:val="24"/>
        </w:rPr>
      </w:r>
    </w:p>
    <w:p>
      <w:pPr>
        <w:pStyle w:val="Normal"/>
        <w:numPr>
          <w:ilvl w:val="0"/>
          <w:numId w:val="0"/>
        </w:numPr>
        <w:ind w:hanging="0" w:left="0"/>
        <w:jc w:val="center"/>
        <w:outlineLvl w:val="0"/>
        <w:rPr>
          <w:b/>
          <w:bCs/>
          <w:sz w:val="22"/>
          <w:szCs w:val="22"/>
        </w:rPr>
      </w:pPr>
      <w:r>
        <w:rPr>
          <w:b/>
          <w:bCs/>
          <w:sz w:val="22"/>
          <w:szCs w:val="22"/>
        </w:rPr>
        <w:t>СПЕЦИФИКАЦИЯ</w:t>
      </w:r>
    </w:p>
    <w:p>
      <w:pPr>
        <w:pStyle w:val="Normal"/>
        <w:numPr>
          <w:ilvl w:val="0"/>
          <w:numId w:val="0"/>
        </w:numPr>
        <w:ind w:hanging="0" w:left="0"/>
        <w:jc w:val="center"/>
        <w:outlineLvl w:val="0"/>
        <w:rPr>
          <w:b/>
          <w:bCs/>
          <w:sz w:val="22"/>
          <w:szCs w:val="22"/>
        </w:rPr>
      </w:pPr>
      <w:r>
        <w:rPr>
          <w:b/>
          <w:bCs/>
          <w:sz w:val="22"/>
          <w:szCs w:val="22"/>
        </w:rPr>
      </w:r>
    </w:p>
    <w:tbl>
      <w:tblPr>
        <w:tblW w:w="9748" w:type="dxa"/>
        <w:jc w:val="left"/>
        <w:tblInd w:w="0" w:type="dxa"/>
        <w:tblLayout w:type="fixed"/>
        <w:tblCellMar>
          <w:top w:w="0" w:type="dxa"/>
          <w:left w:w="108" w:type="dxa"/>
          <w:bottom w:w="0" w:type="dxa"/>
          <w:right w:w="108" w:type="dxa"/>
        </w:tblCellMar>
      </w:tblPr>
      <w:tblGrid>
        <w:gridCol w:w="503"/>
        <w:gridCol w:w="3291"/>
        <w:gridCol w:w="1276"/>
        <w:gridCol w:w="708"/>
        <w:gridCol w:w="993"/>
        <w:gridCol w:w="1276"/>
        <w:gridCol w:w="1701"/>
      </w:tblGrid>
      <w:tr>
        <w:trPr/>
        <w:tc>
          <w:tcPr>
            <w:tcW w:w="50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w:t>
            </w:r>
          </w:p>
          <w:p>
            <w:pPr>
              <w:pStyle w:val="Normal"/>
              <w:jc w:val="center"/>
              <w:rPr>
                <w:b/>
              </w:rPr>
            </w:pPr>
            <w:r>
              <w:rPr>
                <w:b/>
              </w:rPr>
              <w:t>п/п</w:t>
            </w:r>
          </w:p>
        </w:tc>
        <w:tc>
          <w:tcPr>
            <w:tcW w:w="329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Наименование Товара</w:t>
            </w:r>
          </w:p>
        </w:tc>
        <w:tc>
          <w:tcPr>
            <w:tcW w:w="1276"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rPr>
              <w:t>Единица измерения</w:t>
            </w:r>
          </w:p>
          <w:p>
            <w:pPr>
              <w:pStyle w:val="Normal"/>
              <w:jc w:val="center"/>
              <w:rPr>
                <w:b/>
                <w:bCs/>
              </w:rPr>
            </w:pPr>
            <w:r>
              <w:rPr>
                <w:b/>
                <w:bCs/>
              </w:rPr>
            </w:r>
          </w:p>
        </w:tc>
        <w:tc>
          <w:tcPr>
            <w:tcW w:w="70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Кол-во</w:t>
            </w:r>
          </w:p>
        </w:tc>
        <w:tc>
          <w:tcPr>
            <w:tcW w:w="99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Цена за ед. (без НДС)</w:t>
            </w:r>
          </w:p>
          <w:p>
            <w:pPr>
              <w:pStyle w:val="Normal"/>
              <w:jc w:val="center"/>
              <w:rPr>
                <w:b/>
              </w:rPr>
            </w:pPr>
            <w:r>
              <w:rPr>
                <w:b/>
              </w:rPr>
              <w:t>руб.</w:t>
            </w:r>
          </w:p>
        </w:tc>
        <w:tc>
          <w:tcPr>
            <w:tcW w:w="127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Общая стоимость без НДС, руб.</w:t>
            </w:r>
          </w:p>
        </w:tc>
        <w:tc>
          <w:tcPr>
            <w:tcW w:w="170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Общая стоимость (включая НДС 10%) руб.</w:t>
            </w:r>
          </w:p>
        </w:tc>
      </w:tr>
      <w:tr>
        <w:trPr/>
        <w:tc>
          <w:tcPr>
            <w:tcW w:w="50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rPr>
            </w:pPr>
            <w:r>
              <w:rPr>
                <w:bCs/>
              </w:rPr>
              <w:t>1</w:t>
            </w:r>
          </w:p>
        </w:tc>
        <w:tc>
          <w:tcPr>
            <w:tcW w:w="3291" w:type="dxa"/>
            <w:tcBorders>
              <w:top w:val="single" w:sz="4" w:space="0" w:color="000000"/>
              <w:left w:val="single" w:sz="4" w:space="0" w:color="000000"/>
              <w:bottom w:val="single" w:sz="4" w:space="0" w:color="000000"/>
              <w:right w:val="single" w:sz="4" w:space="0" w:color="000000"/>
            </w:tcBorders>
          </w:tcPr>
          <w:p>
            <w:pPr>
              <w:pStyle w:val="Normal"/>
              <w:rPr/>
            </w:pPr>
            <w:r>
              <w:rPr/>
              <w:t>Морфин (Морфин) (р-р д/ин. 10 мг/мл 1 мл, амп (5) уп.яч.конт.(2),пач.карт.) Московский эндокринный завод ФГУП-Россия</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rPr>
            </w:pPr>
            <w:r>
              <w:rPr>
                <w:bCs/>
              </w:rPr>
              <w:t>упаковка</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keepNext w:val="true"/>
              <w:tabs>
                <w:tab w:val="clear" w:pos="708"/>
                <w:tab w:val="left" w:pos="720" w:leader="none"/>
                <w:tab w:val="left" w:pos="1391" w:leader="none"/>
              </w:tabs>
              <w:jc w:val="center"/>
              <w:rPr>
                <w:bCs/>
              </w:rPr>
            </w:pPr>
            <w:r>
              <w:rPr>
                <w:bCs/>
              </w:rPr>
              <w:t>2</w:t>
            </w:r>
          </w:p>
        </w:tc>
        <w:tc>
          <w:tcPr>
            <w:tcW w:w="99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Cs/>
              </w:rPr>
            </w:pPr>
            <w:r>
              <w:rPr>
                <w:bCs/>
              </w:rPr>
            </w:r>
          </w:p>
          <w:p>
            <w:pPr>
              <w:pStyle w:val="Normal"/>
              <w:jc w:val="center"/>
              <w:rPr>
                <w:bCs/>
              </w:rPr>
            </w:pPr>
            <w:r>
              <w:rPr>
                <w:bCs/>
              </w:rPr>
            </w:r>
          </w:p>
          <w:p>
            <w:pPr>
              <w:pStyle w:val="Normal"/>
              <w:jc w:val="center"/>
              <w:rPr/>
            </w:pPr>
            <w:r>
              <w:rPr/>
              <w:t>293,50</w:t>
            </w:r>
          </w:p>
        </w:tc>
        <w:tc>
          <w:tcPr>
            <w:tcW w:w="127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p>
            <w:pPr>
              <w:pStyle w:val="Normal"/>
              <w:jc w:val="center"/>
              <w:rPr/>
            </w:pPr>
            <w:r>
              <w:rPr/>
            </w:r>
          </w:p>
          <w:p>
            <w:pPr>
              <w:pStyle w:val="Normal"/>
              <w:jc w:val="center"/>
              <w:rPr/>
            </w:pPr>
            <w:r>
              <w:rPr/>
              <w:t>587,00</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645,70</w:t>
            </w:r>
          </w:p>
        </w:tc>
      </w:tr>
      <w:tr>
        <w:trPr/>
        <w:tc>
          <w:tcPr>
            <w:tcW w:w="8047" w:type="dxa"/>
            <w:gridSpan w:val="6"/>
            <w:tcBorders>
              <w:top w:val="single" w:sz="4" w:space="0" w:color="000000"/>
              <w:left w:val="single" w:sz="4" w:space="0" w:color="000000"/>
              <w:bottom w:val="single" w:sz="4" w:space="0" w:color="000000"/>
              <w:right w:val="single" w:sz="4" w:space="0" w:color="000000"/>
            </w:tcBorders>
            <w:vAlign w:val="center"/>
          </w:tcPr>
          <w:p>
            <w:pPr>
              <w:pStyle w:val="Normal"/>
              <w:jc w:val="center"/>
              <w:rPr>
                <w:bCs/>
              </w:rPr>
            </w:pPr>
            <w:r>
              <w:rPr>
                <w:bCs/>
              </w:rPr>
              <w:t>ИТОГО:</w:t>
            </w:r>
          </w:p>
          <w:p>
            <w:pPr>
              <w:pStyle w:val="Normal"/>
              <w:jc w:val="center"/>
              <w:rPr>
                <w:bCs/>
              </w:rPr>
            </w:pPr>
            <w:r>
              <w:rPr>
                <w:bCs/>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645,70</w:t>
            </w:r>
          </w:p>
        </w:tc>
      </w:tr>
    </w:tbl>
    <w:p>
      <w:pPr>
        <w:pStyle w:val="Normal"/>
        <w:shd w:fill="FFFFFF" w:val="clear"/>
        <w:tabs>
          <w:tab w:val="clear" w:pos="708"/>
          <w:tab w:val="left" w:pos="0" w:leader="none"/>
        </w:tabs>
        <w:spacing w:lineRule="exact" w:line="250"/>
        <w:jc w:val="both"/>
        <w:rPr>
          <w:b/>
          <w:bCs/>
          <w:iCs/>
          <w:sz w:val="22"/>
        </w:rPr>
      </w:pPr>
      <w:r>
        <w:rPr>
          <w:b/>
          <w:bCs/>
          <w:iCs/>
          <w:sz w:val="22"/>
        </w:rPr>
      </w:r>
    </w:p>
    <w:p>
      <w:pPr>
        <w:pStyle w:val="Normal"/>
        <w:shd w:fill="FFFFFF" w:val="clear"/>
        <w:tabs>
          <w:tab w:val="clear" w:pos="708"/>
          <w:tab w:val="left" w:pos="0" w:leader="none"/>
        </w:tabs>
        <w:spacing w:lineRule="exact" w:line="250"/>
        <w:jc w:val="both"/>
        <w:rPr>
          <w:sz w:val="24"/>
          <w:szCs w:val="24"/>
        </w:rPr>
      </w:pPr>
      <w:r>
        <w:rPr>
          <w:b/>
          <w:bCs/>
          <w:iCs/>
          <w:sz w:val="22"/>
        </w:rPr>
        <w:t>Общая стоимость Товара:</w:t>
      </w:r>
      <w:r>
        <w:rPr>
          <w:sz w:val="22"/>
        </w:rPr>
        <w:t xml:space="preserve"> </w:t>
      </w:r>
      <w:r>
        <w:rPr>
          <w:sz w:val="24"/>
          <w:szCs w:val="24"/>
        </w:rPr>
        <w:t>645 рублей 70 копеек (Шестьсот сорок пять рублей 70 копеек), в т. ч. НДС 10% - 58 рублей 70 копеек (Пятьдесят восемь рублей 70 копеек).</w:t>
      </w:r>
    </w:p>
    <w:p>
      <w:pPr>
        <w:pStyle w:val="Normal"/>
        <w:shd w:fill="FFFFFF" w:val="clear"/>
        <w:tabs>
          <w:tab w:val="clear" w:pos="708"/>
          <w:tab w:val="left" w:pos="0" w:leader="none"/>
        </w:tabs>
        <w:spacing w:lineRule="exact" w:line="250"/>
        <w:jc w:val="both"/>
        <w:rPr>
          <w:sz w:val="24"/>
          <w:szCs w:val="24"/>
        </w:rPr>
      </w:pPr>
      <w:r>
        <w:rPr>
          <w:sz w:val="24"/>
          <w:szCs w:val="24"/>
        </w:rPr>
      </w:r>
    </w:p>
    <w:p>
      <w:pPr>
        <w:pStyle w:val="Normal"/>
        <w:shd w:fill="FFFFFF" w:val="clear"/>
        <w:tabs>
          <w:tab w:val="clear" w:pos="708"/>
          <w:tab w:val="left" w:pos="0" w:leader="none"/>
        </w:tabs>
        <w:spacing w:lineRule="exact" w:line="250"/>
        <w:jc w:val="both"/>
        <w:rPr>
          <w:b/>
          <w:bCs/>
          <w:sz w:val="24"/>
          <w:szCs w:val="24"/>
        </w:rPr>
      </w:pPr>
      <w:r>
        <w:rPr>
          <w:b/>
          <w:bCs/>
          <w:sz w:val="24"/>
          <w:szCs w:val="24"/>
        </w:rPr>
      </w:r>
    </w:p>
    <w:tbl>
      <w:tblPr>
        <w:tblW w:w="9540" w:type="dxa"/>
        <w:jc w:val="left"/>
        <w:tblInd w:w="108" w:type="dxa"/>
        <w:tblLayout w:type="fixed"/>
        <w:tblCellMar>
          <w:top w:w="0" w:type="dxa"/>
          <w:left w:w="108" w:type="dxa"/>
          <w:bottom w:w="0" w:type="dxa"/>
          <w:right w:w="108" w:type="dxa"/>
        </w:tblCellMar>
      </w:tblPr>
      <w:tblGrid>
        <w:gridCol w:w="5103"/>
        <w:gridCol w:w="4437"/>
      </w:tblGrid>
      <w:tr>
        <w:trPr>
          <w:trHeight w:val="1136" w:hRule="atLeast"/>
        </w:trPr>
        <w:tc>
          <w:tcPr>
            <w:tcW w:w="5103" w:type="dxa"/>
            <w:tcBorders/>
          </w:tcPr>
          <w:p>
            <w:pPr>
              <w:pStyle w:val="Normal"/>
              <w:snapToGrid w:val="false"/>
              <w:jc w:val="both"/>
              <w:rPr/>
            </w:pPr>
            <w:r>
              <w:rPr/>
            </w:r>
          </w:p>
        </w:tc>
        <w:tc>
          <w:tcPr>
            <w:tcW w:w="4437" w:type="dxa"/>
            <w:tcBorders/>
          </w:tcPr>
          <w:p>
            <w:pPr>
              <w:pStyle w:val="Heading7"/>
              <w:spacing w:lineRule="auto" w:line="240"/>
              <w:ind w:hanging="0" w:left="0" w:right="0"/>
              <w:rPr/>
            </w:pPr>
            <w:r>
              <w:rPr>
                <w:bCs w:val="false"/>
              </w:rPr>
              <w:t>От ПОКУПАТЕЛЯ</w:t>
            </w:r>
          </w:p>
          <w:p>
            <w:pPr>
              <w:pStyle w:val="Heading7"/>
              <w:ind w:hanging="0" w:left="0" w:right="0"/>
              <w:rPr/>
            </w:pPr>
            <w:r>
              <w:rPr/>
              <w:t>Главный врач</w:t>
            </w:r>
          </w:p>
          <w:p>
            <w:pPr>
              <w:pStyle w:val="Heading7"/>
              <w:ind w:hanging="0" w:left="0" w:right="0"/>
              <w:rPr/>
            </w:pPr>
            <w:r>
              <w:rPr/>
              <w:t>ФГБУЗ КБ №8 ФМБА России</w:t>
            </w:r>
          </w:p>
          <w:p>
            <w:pPr>
              <w:pStyle w:val="Heading7"/>
              <w:ind w:hanging="0" w:left="0" w:right="0"/>
              <w:rPr/>
            </w:pPr>
            <w:r>
              <w:rPr/>
            </w:r>
          </w:p>
          <w:p>
            <w:pPr>
              <w:pStyle w:val="Heading7"/>
              <w:ind w:hanging="0" w:left="0" w:right="0"/>
              <w:rPr/>
            </w:pPr>
            <w:r>
              <w:rPr/>
            </w:r>
          </w:p>
          <w:p>
            <w:pPr>
              <w:pStyle w:val="Normal"/>
              <w:ind w:firstLine="531" w:left="-531" w:right="0"/>
              <w:jc w:val="both"/>
              <w:rPr>
                <w:b/>
                <w:sz w:val="24"/>
                <w:szCs w:val="24"/>
              </w:rPr>
            </w:pPr>
            <w:r>
              <w:rPr>
                <w:b/>
                <w:sz w:val="24"/>
                <w:szCs w:val="24"/>
              </w:rPr>
              <w:t>________________ /С.М. Курдяев/</w:t>
            </w:r>
          </w:p>
        </w:tc>
      </w:tr>
    </w:tbl>
    <w:p>
      <w:pPr>
        <w:pStyle w:val="Normal"/>
        <w:rPr>
          <w:sz w:val="24"/>
          <w:szCs w:val="24"/>
        </w:rPr>
      </w:pPr>
      <w:r>
        <w:rPr>
          <w:sz w:val="24"/>
          <w:szCs w:val="24"/>
        </w:rPr>
      </w:r>
    </w:p>
    <w:sectPr>
      <w:footerReference w:type="default" r:id="rId2"/>
      <w:type w:val="nextPage"/>
      <w:pgSz w:w="11906" w:h="16838"/>
      <w:pgMar w:left="1418" w:right="851" w:gutter="0" w:header="0" w:top="851" w:footer="720" w:bottom="12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ourier New">
    <w:charset w:val="cc"/>
    <w:family w:val="modern"/>
    <w:pitch w:val="default"/>
  </w:font>
  <w:font w:name="Wingdings">
    <w:charset w:val="02"/>
    <w:family w:val="auto"/>
    <w:pitch w:val="variable"/>
  </w:font>
  <w:font w:name="Tahoma">
    <w:charset w:val="cc"/>
    <w:family w:val="swiss"/>
    <w:pitch w:val="variable"/>
  </w:font>
  <w:font w:name="Liberation Sans">
    <w:altName w:val="Arial"/>
    <w:charset w:val="cc"/>
    <w:family w:val="swiss"/>
    <w:pitch w:val="variable"/>
  </w:font>
  <w:font w:name="Times New Roman CYR">
    <w:charset w:val="cc"/>
    <w:family w:val="roman"/>
    <w:pitch w:val="variable"/>
  </w:font>
  <w:font w:name="Calibri">
    <w:charset w:val="cc"/>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7</w:t>
    </w:r>
    <w:r>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pStyle w:val="Heading7"/>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center"/>
      <w:pPr>
        <w:tabs>
          <w:tab w:val="num" w:pos="0"/>
        </w:tabs>
        <w:ind w:left="0" w:hanging="0"/>
      </w:pPr>
      <w:rPr>
        <w:b/>
        <w:i w:val="false"/>
      </w:rPr>
    </w:lvl>
    <w:lvl w:ilvl="1">
      <w:start w:val="1"/>
      <w:numFmt w:val="decimal"/>
      <w:lvlText w:val="%1.%2"/>
      <w:lvlJc w:val="left"/>
      <w:pPr>
        <w:tabs>
          <w:tab w:val="num" w:pos="851"/>
        </w:tabs>
        <w:ind w:left="851" w:hanging="851"/>
      </w:pPr>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szCs w:val="24"/>
        <w:u w:val="none"/>
        <w:vertAlign w:val="baseline"/>
      </w:rPr>
    </w:lvl>
    <w:lvl w:ilvl="2">
      <w:start w:val="1"/>
      <w:numFmt w:val="decimal"/>
      <w:lvlText w:val="%1.%2.%3"/>
      <w:lvlJc w:val="left"/>
      <w:pPr>
        <w:tabs>
          <w:tab w:val="num" w:pos="851"/>
        </w:tabs>
        <w:ind w:left="851" w:hanging="851"/>
      </w:pPr>
      <w:rPr>
        <w:b w:val="false"/>
        <w:bCs w:val="false"/>
        <w:i w:val="false"/>
        <w:iCs w:val="false"/>
      </w:rPr>
    </w:lvl>
    <w:lvl w:ilvl="3">
      <w:start w:val="1"/>
      <w:numFmt w:val="lowerLetter"/>
      <w:lvlText w:val="%4)"/>
      <w:lvlJc w:val="left"/>
      <w:pPr>
        <w:tabs>
          <w:tab w:val="num" w:pos="1418"/>
        </w:tabs>
        <w:ind w:left="1418" w:hanging="567"/>
      </w:pPr>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u w:val="none"/>
        <w:vertAlign w:val="baseline"/>
      </w:rPr>
    </w:lvl>
    <w:lvl w:ilvl="4">
      <w:start w:val="1"/>
      <w:numFmt w:val="lowerLetter"/>
      <w:lvlText w:val="%5)"/>
      <w:lvlJc w:val="left"/>
      <w:pPr>
        <w:tabs>
          <w:tab w:val="num" w:pos="1134"/>
        </w:tabs>
        <w:ind w:left="1134" w:hanging="567"/>
      </w:pPr>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lvl>
    <w:lvl w:ilvl="7">
      <w:start w:val="1"/>
      <w:numFmt w:val="decimal"/>
      <w:lvlText w:val="%1.%2.%3.%4.%5.%6.%7.%8."/>
      <w:lvlJc w:val="left"/>
      <w:pPr>
        <w:tabs>
          <w:tab w:val="num" w:pos="3978"/>
        </w:tabs>
        <w:ind w:left="2322" w:hanging="1224"/>
      </w:pPr>
      <w:rPr/>
    </w:lvl>
    <w:lvl w:ilvl="8">
      <w:start w:val="1"/>
      <w:numFmt w:val="decimal"/>
      <w:lvlText w:val="%1.%2.%3.%4.%5.%6.%7.%8.%9."/>
      <w:lvlJc w:val="left"/>
      <w:pPr>
        <w:tabs>
          <w:tab w:val="num" w:pos="4698"/>
        </w:tabs>
        <w:ind w:left="2898" w:hanging="1440"/>
      </w:pPr>
      <w:rPr/>
    </w:lvl>
  </w:abstractNum>
  <w:abstractNum w:abstractNumId="3">
    <w:lvl w:ilvl="0">
      <w:start w:val="1"/>
      <w:numFmt w:val="decimal"/>
      <w:lvlText w:val="%1."/>
      <w:lvlJc w:val="left"/>
      <w:pPr>
        <w:tabs>
          <w:tab w:val="num" w:pos="0"/>
        </w:tabs>
        <w:ind w:left="3763" w:hanging="360"/>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70"/>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val="false"/>
      <w:suppressAutoHyphens w:val="true"/>
      <w:autoSpaceDE w:val="false"/>
      <w:bidi w:val="0"/>
    </w:pPr>
    <w:rPr>
      <w:rFonts w:ascii="Times New Roman" w:hAnsi="Times New Roman" w:eastAsia="Times New Roman" w:cs="Times New Roman"/>
      <w:color w:val="auto"/>
      <w:sz w:val="20"/>
      <w:szCs w:val="20"/>
      <w:lang w:bidi="ar-SA" w:val="ru-RU" w:eastAsia="zh-CN"/>
    </w:rPr>
  </w:style>
  <w:style w:type="paragraph" w:styleId="Heading7">
    <w:name w:val="heading 7"/>
    <w:basedOn w:val="Normal"/>
    <w:next w:val="Normal"/>
    <w:qFormat/>
    <w:pPr>
      <w:keepNext w:val="true"/>
      <w:widowControl/>
      <w:numPr>
        <w:ilvl w:val="6"/>
        <w:numId w:val="1"/>
      </w:numPr>
      <w:autoSpaceDE w:val="true"/>
      <w:spacing w:lineRule="exact" w:line="260"/>
      <w:jc w:val="both"/>
      <w:outlineLvl w:val="6"/>
    </w:pPr>
    <w:rPr>
      <w:b/>
      <w:bCs/>
      <w:sz w:val="24"/>
      <w:szCs w:val="24"/>
    </w:rPr>
  </w:style>
  <w:style w:type="character" w:styleId="WW8Num2z0">
    <w:name w:val="WW8Num2z0"/>
    <w:qFormat/>
    <w:rPr>
      <w:b/>
      <w:i w:val="false"/>
    </w:rPr>
  </w:style>
  <w:style w:type="character" w:styleId="WW8Num2z1">
    <w:name w:val="WW8Num2z1"/>
    <w:qFormat/>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szCs w:val="24"/>
      <w:u w:val="none"/>
      <w:vertAlign w:val="baseline"/>
    </w:rPr>
  </w:style>
  <w:style w:type="character" w:styleId="WW8Num2z2">
    <w:name w:val="WW8Num2z2"/>
    <w:qFormat/>
    <w:rPr>
      <w:b w:val="false"/>
      <w:bCs w:val="false"/>
      <w:i w:val="false"/>
      <w:iCs w:val="false"/>
    </w:rPr>
  </w:style>
  <w:style w:type="character" w:styleId="WW8Num2z3">
    <w:name w:val="WW8Num2z3"/>
    <w:qFormat/>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2z4">
    <w:name w:val="WW8Num2z4"/>
    <w:qFormat/>
    <w:rPr/>
  </w:style>
  <w:style w:type="character" w:styleId="WW8Num2z5">
    <w:name w:val="WW8Num2z5"/>
    <w:qFormat/>
    <w:rPr>
      <w:rFonts w:ascii="Symbol" w:hAnsi="Symbol" w:cs="Symbol"/>
    </w:rPr>
  </w:style>
  <w:style w:type="character" w:styleId="WW8Num3z0">
    <w:name w:val="WW8Num3z0"/>
    <w:qFormat/>
    <w:rPr>
      <w:b/>
    </w:rPr>
  </w:style>
  <w:style w:type="character" w:styleId="WW8Num4z0">
    <w:name w:val="WW8Num4z0"/>
    <w:qFormat/>
    <w:rPr>
      <w:rFonts w:ascii="Times New Roman" w:hAnsi="Times New Roman" w:cs="Times New Roman"/>
    </w:rPr>
  </w:style>
  <w:style w:type="character" w:styleId="WW8Num5z0">
    <w:name w:val="WW8Num5z0"/>
    <w:qFormat/>
    <w:rPr/>
  </w:style>
  <w:style w:type="character" w:styleId="WW8Num6z0">
    <w:name w:val="WW8Num6z0"/>
    <w:qFormat/>
    <w:rPr>
      <w:b/>
      <w:i w:val="false"/>
    </w:rPr>
  </w:style>
  <w:style w:type="character" w:styleId="WW8Num6z1">
    <w:name w:val="WW8Num6z1"/>
    <w:qFormat/>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szCs w:val="24"/>
      <w:u w:val="none"/>
      <w:vertAlign w:val="baseline"/>
    </w:rPr>
  </w:style>
  <w:style w:type="character" w:styleId="WW8Num6z2">
    <w:name w:val="WW8Num6z2"/>
    <w:qFormat/>
    <w:rPr>
      <w:b w:val="false"/>
      <w:bCs w:val="false"/>
      <w:i w:val="false"/>
      <w:iCs w:val="false"/>
    </w:rPr>
  </w:style>
  <w:style w:type="character" w:styleId="WW8Num6z3">
    <w:name w:val="WW8Num6z3"/>
    <w:qFormat/>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6z4">
    <w:name w:val="WW8Num6z4"/>
    <w:qFormat/>
    <w:rPr/>
  </w:style>
  <w:style w:type="character" w:styleId="WW8Num6z5">
    <w:name w:val="WW8Num6z5"/>
    <w:qFormat/>
    <w:rPr>
      <w:rFonts w:ascii="Symbol" w:hAnsi="Symbol" w:cs="Symbol"/>
    </w:rPr>
  </w:style>
  <w:style w:type="character" w:styleId="WW8Num7z0">
    <w:name w:val="WW8Num7z0"/>
    <w:qFormat/>
    <w:rPr>
      <w:rFonts w:ascii="Times New Roman" w:hAnsi="Times New Roman" w:cs="Times New Roman"/>
      <w:b/>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Times New Roman" w:hAnsi="Times New Roman" w:cs="Times New Roman"/>
    </w:rPr>
  </w:style>
  <w:style w:type="character" w:styleId="WW8Num12z0">
    <w:name w:val="WW8Num12z0"/>
    <w:qFormat/>
    <w:rPr>
      <w:rFonts w:eastAsia="Times New Roman" w:cs="Times New Roman"/>
    </w:rPr>
  </w:style>
  <w:style w:type="character" w:styleId="WW8Num12z1">
    <w:name w:val="WW8Num12z1"/>
    <w:qFormat/>
    <w:rPr>
      <w:rFonts w:eastAsia="Times New Roman" w:cs="Times New Roman"/>
      <w:b/>
    </w:rPr>
  </w:style>
  <w:style w:type="character" w:styleId="WW8Num13z0">
    <w:name w:val="WW8Num13z0"/>
    <w:qFormat/>
    <w:rPr>
      <w:rFonts w:ascii="Symbol" w:hAnsi="Symbol" w:cs="Symbol"/>
    </w:rPr>
  </w:style>
  <w:style w:type="character" w:styleId="WW8Num13z1">
    <w:name w:val="WW8Num13z1"/>
    <w:qFormat/>
    <w:rPr/>
  </w:style>
  <w:style w:type="character" w:styleId="WW8Num13z2">
    <w:name w:val="WW8Num13z2"/>
    <w:qFormat/>
    <w:rPr>
      <w:rFonts w:ascii="Wingdings" w:hAnsi="Wingdings" w:cs="Wingdings"/>
    </w:rPr>
  </w:style>
  <w:style w:type="character" w:styleId="WW8Num13z4">
    <w:name w:val="WW8Num13z4"/>
    <w:qFormat/>
    <w:rPr>
      <w:rFonts w:ascii="Courier New" w:hAnsi="Courier New" w:cs="Courier New"/>
    </w:rPr>
  </w:style>
  <w:style w:type="character" w:styleId="WW8Num14z0">
    <w:name w:val="WW8Num14z0"/>
    <w:qFormat/>
    <w:rPr>
      <w:rFonts w:ascii="Times New Roman" w:hAnsi="Times New Roman" w:cs="Times New Roman"/>
      <w:b/>
    </w:rPr>
  </w:style>
  <w:style w:type="character" w:styleId="WW8Num15z0">
    <w:name w:val="WW8Num15z0"/>
    <w:qFormat/>
    <w:rPr>
      <w:b/>
    </w:rPr>
  </w:style>
  <w:style w:type="character" w:styleId="WW8Num16z0">
    <w:name w:val="WW8Num16z0"/>
    <w:qFormat/>
    <w:rPr>
      <w:rFonts w:ascii="Times New Roman" w:hAnsi="Times New Roman" w:cs="Times New Roman"/>
    </w:rPr>
  </w:style>
  <w:style w:type="character" w:styleId="WW8Num17z0">
    <w:name w:val="WW8Num17z0"/>
    <w:qFormat/>
    <w:rPr/>
  </w:style>
  <w:style w:type="character" w:styleId="WW8Num18z0">
    <w:name w:val="WW8Num18z0"/>
    <w:qFormat/>
    <w:rPr/>
  </w:style>
  <w:style w:type="character" w:styleId="WW8Num19z0">
    <w:name w:val="WW8Num19z0"/>
    <w:qFormat/>
    <w:rPr>
      <w:rFonts w:ascii="Times New Roman" w:hAnsi="Times New Roman" w:cs="Times New Roman"/>
    </w:rPr>
  </w:style>
  <w:style w:type="character" w:styleId="WW8Num20z0">
    <w:name w:val="WW8Num20z0"/>
    <w:qFormat/>
    <w:rPr>
      <w:rFonts w:ascii="Times New Roman" w:hAnsi="Times New Roman" w:cs="Times New Roman"/>
    </w:rPr>
  </w:style>
  <w:style w:type="character" w:styleId="WW8Num21z0">
    <w:name w:val="WW8Num21z0"/>
    <w:qFormat/>
    <w:rPr/>
  </w:style>
  <w:style w:type="character" w:styleId="WW8Num22z0">
    <w:name w:val="WW8Num22z0"/>
    <w:qFormat/>
    <w:rPr>
      <w:rFonts w:ascii="Times New Roman" w:hAnsi="Times New Roman" w:cs="Times New Roman"/>
      <w:b/>
    </w:rPr>
  </w:style>
  <w:style w:type="character" w:styleId="WW8Num23z0">
    <w:name w:val="WW8Num23z0"/>
    <w:qFormat/>
    <w:rPr>
      <w:rFonts w:ascii="Times New Roman" w:hAnsi="Times New Roman" w:cs="Times New Roman"/>
      <w:b/>
    </w:rPr>
  </w:style>
  <w:style w:type="character" w:styleId="WW8NumSt10z0">
    <w:name w:val="WW8NumSt10z0"/>
    <w:qFormat/>
    <w:rPr>
      <w:rFonts w:ascii="Times New Roman" w:hAnsi="Times New Roman" w:cs="Times New Roman"/>
    </w:rPr>
  </w:style>
  <w:style w:type="character" w:styleId="WW8NumSt11z0">
    <w:name w:val="WW8NumSt11z0"/>
    <w:qFormat/>
    <w:rPr>
      <w:rFonts w:ascii="Times New Roman" w:hAnsi="Times New Roman" w:cs="Times New Roman"/>
    </w:rPr>
  </w:style>
  <w:style w:type="character" w:styleId="Style13">
    <w:name w:val="Основной шрифт абзаца"/>
    <w:qFormat/>
    <w:rPr/>
  </w:style>
  <w:style w:type="character" w:styleId="Hyperlink">
    <w:name w:val="Hyperlink"/>
    <w:rPr>
      <w:rFonts w:cs="Times New Roman"/>
      <w:color w:val="0000FF"/>
      <w:u w:val="single"/>
    </w:rPr>
  </w:style>
  <w:style w:type="character" w:styleId="Style14">
    <w:name w:val="Текст выноски Знак"/>
    <w:qFormat/>
    <w:rPr>
      <w:rFonts w:ascii="Tahoma" w:hAnsi="Tahoma" w:eastAsia="Times New Roman" w:cs="Tahoma"/>
      <w:sz w:val="16"/>
      <w:szCs w:val="16"/>
    </w:rPr>
  </w:style>
  <w:style w:type="character" w:styleId="Style15">
    <w:name w:val="Знак примечания"/>
    <w:qFormat/>
    <w:rPr>
      <w:sz w:val="16"/>
      <w:szCs w:val="16"/>
    </w:rPr>
  </w:style>
  <w:style w:type="character" w:styleId="Style16">
    <w:name w:val="Текст примечания Знак"/>
    <w:qFormat/>
    <w:rPr>
      <w:rFonts w:ascii="Times New Roman" w:hAnsi="Times New Roman" w:eastAsia="Times New Roman" w:cs="Times New Roman"/>
    </w:rPr>
  </w:style>
  <w:style w:type="character" w:styleId="Style17">
    <w:name w:val="Тема примечания Знак"/>
    <w:qFormat/>
    <w:rPr>
      <w:rFonts w:ascii="Times New Roman" w:hAnsi="Times New Roman" w:eastAsia="Times New Roman" w:cs="Times New Roman"/>
      <w:b/>
      <w:bCs/>
    </w:rPr>
  </w:style>
  <w:style w:type="character" w:styleId="7">
    <w:name w:val="Заголовок 7 Знак"/>
    <w:qFormat/>
    <w:rPr>
      <w:rFonts w:ascii="Times New Roman" w:hAnsi="Times New Roman" w:eastAsia="Times New Roman" w:cs="Times New Roman"/>
      <w:b/>
      <w:bCs/>
      <w:sz w:val="24"/>
      <w:szCs w:val="24"/>
    </w:rPr>
  </w:style>
  <w:style w:type="character" w:styleId="Style18">
    <w:name w:val="Верхний колонтитул Знак"/>
    <w:qFormat/>
    <w:rPr>
      <w:rFonts w:ascii="Times New Roman" w:hAnsi="Times New Roman" w:eastAsia="Times New Roman" w:cs="Times New Roman"/>
    </w:rPr>
  </w:style>
  <w:style w:type="character" w:styleId="Style19">
    <w:name w:val="Нижний колонтитул Знак"/>
    <w:qFormat/>
    <w:rPr>
      <w:rFonts w:ascii="Times New Roman" w:hAnsi="Times New Roman" w:eastAsia="Times New Roman" w:cs="Times New Roman"/>
    </w:rPr>
  </w:style>
  <w:style w:type="paragraph" w:styleId="Style20">
    <w:name w:val="Заголовок"/>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1">
    <w:name w:val="Указатель"/>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Style22">
    <w:name w:val="Абзац списка"/>
    <w:basedOn w:val="Normal"/>
    <w:qFormat/>
    <w:pPr>
      <w:ind w:hanging="0" w:left="720" w:right="0"/>
    </w:pPr>
    <w:rPr/>
  </w:style>
  <w:style w:type="paragraph" w:styleId="Style23">
    <w:name w:val="Текст выноски"/>
    <w:basedOn w:val="Normal"/>
    <w:qFormat/>
    <w:pPr/>
    <w:rPr>
      <w:rFonts w:ascii="Tahoma" w:hAnsi="Tahoma" w:cs="Tahoma"/>
      <w:sz w:val="16"/>
      <w:szCs w:val="16"/>
    </w:rPr>
  </w:style>
  <w:style w:type="paragraph" w:styleId="Style24">
    <w:name w:val="Текст примечания"/>
    <w:basedOn w:val="Normal"/>
    <w:qFormat/>
    <w:pPr/>
    <w:rPr/>
  </w:style>
  <w:style w:type="paragraph" w:styleId="Style25">
    <w:name w:val="Тема примечания"/>
    <w:basedOn w:val="Style24"/>
    <w:next w:val="Style24"/>
    <w:qFormat/>
    <w:pPr/>
    <w:rPr>
      <w:b/>
      <w:bCs/>
    </w:rPr>
  </w:style>
  <w:style w:type="paragraph" w:styleId="-">
    <w:name w:val="Контракт-раздел"/>
    <w:basedOn w:val="Normal"/>
    <w:next w:val="-1"/>
    <w:qFormat/>
    <w:pPr>
      <w:keepNext w:val="true"/>
      <w:widowControl/>
      <w:numPr>
        <w:ilvl w:val="0"/>
        <w:numId w:val="2"/>
      </w:numPr>
      <w:tabs>
        <w:tab w:val="clear" w:pos="708"/>
        <w:tab w:val="left" w:pos="540" w:leader="none"/>
      </w:tabs>
      <w:suppressAutoHyphens w:val="true"/>
      <w:autoSpaceDE w:val="true"/>
      <w:spacing w:before="360" w:after="120"/>
      <w:jc w:val="center"/>
      <w:outlineLvl w:val="3"/>
    </w:pPr>
    <w:rPr>
      <w:b/>
      <w:bCs/>
      <w:caps/>
      <w:sz w:val="24"/>
      <w:szCs w:val="24"/>
    </w:rPr>
  </w:style>
  <w:style w:type="paragraph" w:styleId="-1">
    <w:name w:val="Контракт-пункт"/>
    <w:basedOn w:val="Normal"/>
    <w:qFormat/>
    <w:pPr>
      <w:widowControl/>
      <w:numPr>
        <w:ilvl w:val="0"/>
        <w:numId w:val="2"/>
      </w:numPr>
      <w:autoSpaceDE w:val="true"/>
      <w:jc w:val="both"/>
    </w:pPr>
    <w:rPr>
      <w:sz w:val="24"/>
      <w:szCs w:val="24"/>
    </w:rPr>
  </w:style>
  <w:style w:type="paragraph" w:styleId="-2">
    <w:name w:val="Контракт-подпункт"/>
    <w:basedOn w:val="Normal"/>
    <w:qFormat/>
    <w:pPr>
      <w:widowControl/>
      <w:numPr>
        <w:ilvl w:val="0"/>
        <w:numId w:val="2"/>
      </w:numPr>
      <w:autoSpaceDE w:val="true"/>
      <w:jc w:val="both"/>
    </w:pPr>
    <w:rPr>
      <w:sz w:val="24"/>
      <w:szCs w:val="24"/>
    </w:rPr>
  </w:style>
  <w:style w:type="paragraph" w:styleId="-3">
    <w:name w:val="Контракт-подподпункт"/>
    <w:basedOn w:val="Normal"/>
    <w:qFormat/>
    <w:pPr>
      <w:widowControl/>
      <w:numPr>
        <w:ilvl w:val="0"/>
        <w:numId w:val="2"/>
      </w:numPr>
      <w:autoSpaceDE w:val="true"/>
      <w:jc w:val="both"/>
    </w:pPr>
    <w:rPr>
      <w:sz w:val="24"/>
      <w:szCs w:val="24"/>
    </w:rPr>
  </w:style>
  <w:style w:type="paragraph" w:styleId="Style26">
    <w:name w:val="Колонтитулы"/>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677" w:leader="none"/>
        <w:tab w:val="right" w:pos="9355" w:leader="none"/>
      </w:tabs>
    </w:pPr>
    <w:rPr/>
  </w:style>
  <w:style w:type="paragraph" w:styleId="Footer">
    <w:name w:val="footer"/>
    <w:basedOn w:val="Normal"/>
    <w:pPr>
      <w:tabs>
        <w:tab w:val="clear" w:pos="708"/>
        <w:tab w:val="center" w:pos="4677" w:leader="none"/>
        <w:tab w:val="right" w:pos="9355" w:leader="none"/>
      </w:tabs>
    </w:pPr>
    <w:rPr/>
  </w:style>
  <w:style w:type="paragraph" w:styleId="Style27">
    <w:name w:val="Содержимое таблицы"/>
    <w:basedOn w:val="Normal"/>
    <w:qFormat/>
    <w:pPr>
      <w:widowControl w:val="false"/>
      <w:suppressLineNumbers/>
    </w:pPr>
    <w:rPr/>
  </w:style>
  <w:style w:type="paragraph" w:styleId="Style28">
    <w:name w:val="Заголовок таблицы"/>
    <w:basedOn w:val="Style27"/>
    <w:qFormat/>
    <w:pPr>
      <w:suppressLineNumbers/>
      <w:jc w:val="center"/>
    </w:pPr>
    <w:rPr>
      <w:b/>
      <w:bCs/>
    </w:rPr>
  </w:style>
  <w:style w:type="paragraph" w:styleId="Style29">
    <w:name w:val="Содержимое врезки"/>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E28F2825_x0000__x0000__x0000_</Template>
  <TotalTime>2</TotalTime>
  <Application>LibreOffice/26.2.4.2$Windows_X86_64 LibreOffice_project/0229ac93fcf0d7cbc6376066c6f35021cef002dc</Application>
  <AppVersion>15.0000</AppVersion>
  <Pages>7</Pages>
  <Words>2100</Words>
  <Characters>15058</Characters>
  <CharactersWithSpaces>17228</CharactersWithSpaces>
  <Paragraphs>160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2026-06-25T10:54:00Z</dcterms:created>
  <dc:creator>Yurist</dc:creator>
  <dc:description/>
  <dc:language>ru-RU</dc:language>
  <cp:lastModifiedBy/>
  <cp:lastPrinted>2020-02-11T10:42:00Z</cp:lastPrinted>
  <dcterms:modified xsi:type="dcterms:W3CDTF">2026-06-25T15:09:13Z</dcterms:modified>
  <cp:revision>4</cp:revision>
  <dc:subject/>
  <dc:title>Договор поставки № М-1017</dc:title>
</cp:coreProperties>
</file>