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5" w:firstLine="0"/>
        <w:jc w:val="center"/>
        <w:spacing w:after="44" w:line="259" w:lineRule="auto"/>
        <w:rPr>
          <w:b/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b/>
          <w:sz w:val="24"/>
        </w:rPr>
      </w:r>
    </w:p>
    <w:p>
      <w:pPr>
        <w:ind w:right="25" w:firstLine="0"/>
        <w:jc w:val="center"/>
        <w:spacing w:after="44" w:line="259" w:lineRule="auto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1"/>
        </w:numPr>
        <w:ind w:left="0" w:right="105" w:firstLine="648"/>
        <w:spacing w:after="44" w:line="259" w:lineRule="auto"/>
        <w:rPr>
          <w:sz w:val="24"/>
        </w:rPr>
      </w:pPr>
      <w:r>
        <w:rPr>
          <w:b/>
          <w:sz w:val="24"/>
        </w:rPr>
        <w:t xml:space="preserve">Предмет закупки:</w:t>
      </w:r>
      <w:r>
        <w:rPr>
          <w:sz w:val="24"/>
        </w:rPr>
        <w:t xml:space="preserve"> «</w:t>
      </w:r>
      <w:r>
        <w:rPr>
          <w:sz w:val="24"/>
        </w:rPr>
        <w:t xml:space="preserve">Услуги по р</w:t>
      </w:r>
      <w:r>
        <w:rPr>
          <w:sz w:val="24"/>
        </w:rPr>
        <w:t xml:space="preserve">емонт</w:t>
      </w:r>
      <w:r>
        <w:rPr>
          <w:sz w:val="24"/>
        </w:rPr>
        <w:t xml:space="preserve">у</w:t>
      </w:r>
      <w:r>
        <w:rPr>
          <w:sz w:val="24"/>
        </w:rPr>
        <w:t xml:space="preserve"> автотранспортн</w:t>
      </w:r>
      <w:r>
        <w:rPr>
          <w:sz w:val="24"/>
        </w:rPr>
        <w:t xml:space="preserve">ого</w:t>
      </w:r>
      <w:r>
        <w:rPr>
          <w:sz w:val="24"/>
        </w:rPr>
        <w:t xml:space="preserve"> средств</w:t>
      </w:r>
      <w:r>
        <w:rPr>
          <w:sz w:val="24"/>
        </w:rPr>
        <w:t xml:space="preserve">а</w:t>
      </w:r>
      <w:r>
        <w:rPr>
          <w:sz w:val="24"/>
        </w:rPr>
        <w:t xml:space="preserve"> </w:t>
      </w:r>
      <w:r>
        <w:rPr>
          <w:sz w:val="24"/>
        </w:rPr>
        <w:t xml:space="preserve">FORD FOCUS государственный регистрационный знак М509МА45</w:t>
      </w:r>
      <w:r>
        <w:rPr>
          <w:sz w:val="24"/>
        </w:rPr>
        <w:t xml:space="preserve">». </w:t>
      </w:r>
      <w:r>
        <w:rPr>
          <w:sz w:val="24"/>
        </w:rPr>
      </w:r>
    </w:p>
    <w:p>
      <w:pPr>
        <w:numPr>
          <w:ilvl w:val="0"/>
          <w:numId w:val="1"/>
        </w:numPr>
        <w:ind w:left="0" w:right="25" w:firstLine="709"/>
        <w:spacing w:after="44" w:line="259" w:lineRule="auto"/>
        <w:rPr>
          <w:sz w:val="24"/>
        </w:rPr>
      </w:pPr>
      <w:r>
        <w:rPr>
          <w:b/>
          <w:sz w:val="24"/>
        </w:rPr>
        <w:t xml:space="preserve">Заказчик:</w:t>
      </w:r>
      <w:r>
        <w:rPr>
          <w:sz w:val="24"/>
        </w:rPr>
        <w:t xml:space="preserve"> Федеральное казённое учреждение «Центр по обеспечению деятельности Казначейства России». Межрегиональный филиал Федерального казённого учреждения «Центр по обеспечению деятельности Казначейства России» в г. Екатеринбурге. </w:t>
      </w:r>
      <w:r>
        <w:rPr>
          <w:sz w:val="24"/>
        </w:rPr>
      </w:r>
    </w:p>
    <w:p>
      <w:pPr>
        <w:numPr>
          <w:ilvl w:val="0"/>
          <w:numId w:val="1"/>
        </w:numPr>
        <w:ind w:left="0" w:right="105" w:firstLine="709"/>
        <w:spacing w:after="44" w:line="259" w:lineRule="auto"/>
        <w:rPr>
          <w:sz w:val="24"/>
        </w:rPr>
      </w:pPr>
      <w:r>
        <w:rPr>
          <w:b/>
          <w:sz w:val="24"/>
        </w:rPr>
        <w:t xml:space="preserve">Место оказания Услуг:</w:t>
      </w:r>
      <w:r>
        <w:rPr>
          <w:sz w:val="24"/>
        </w:rPr>
        <w:t xml:space="preserve"> по месту нахождения Исполнителя </w:t>
      </w:r>
      <w:r>
        <w:rPr>
          <w:sz w:val="24"/>
        </w:rPr>
        <w:t xml:space="preserve">в пределах </w:t>
      </w:r>
      <w:r>
        <w:rPr>
          <w:sz w:val="24"/>
        </w:rPr>
        <w:t xml:space="preserve">г. Курган</w:t>
      </w:r>
      <w:r>
        <w:rPr>
          <w:sz w:val="24"/>
        </w:rPr>
        <w:t xml:space="preserve">.</w:t>
      </w:r>
      <w:r>
        <w:rPr>
          <w:sz w:val="24"/>
        </w:rPr>
        <w:t xml:space="preserve"> </w:t>
      </w:r>
      <w:r>
        <w:rPr>
          <w:sz w:val="24"/>
        </w:rPr>
      </w:r>
    </w:p>
    <w:p>
      <w:pPr>
        <w:numPr>
          <w:ilvl w:val="0"/>
          <w:numId w:val="1"/>
        </w:numPr>
        <w:ind w:left="0" w:right="105" w:firstLine="709"/>
        <w:spacing w:after="30" w:line="259" w:lineRule="auto"/>
        <w:rPr>
          <w:sz w:val="24"/>
        </w:rPr>
      </w:pPr>
      <w:r>
        <w:rPr>
          <w:b/>
          <w:sz w:val="24"/>
        </w:rPr>
        <w:t xml:space="preserve">Срок и график оказания Услуг. </w:t>
      </w:r>
      <w:r>
        <w:rPr>
          <w:sz w:val="24"/>
        </w:rPr>
      </w:r>
    </w:p>
    <w:p>
      <w:pPr>
        <w:ind w:right="105" w:firstLine="709"/>
        <w:spacing w:after="44" w:line="259" w:lineRule="auto"/>
        <w:rPr>
          <w:sz w:val="24"/>
        </w:rPr>
      </w:pPr>
      <w:r>
        <w:rPr>
          <w:sz w:val="24"/>
        </w:rPr>
        <w:t xml:space="preserve">Начальный срок оказания услуг - не позднее следующего рабочего дня со дня заключения контракта. Срок заверш</w:t>
      </w:r>
      <w:r>
        <w:rPr>
          <w:sz w:val="24"/>
        </w:rPr>
        <w:t xml:space="preserve">ения оказания услуг: в течении 3</w:t>
      </w:r>
      <w:r>
        <w:rPr>
          <w:sz w:val="24"/>
        </w:rPr>
        <w:t xml:space="preserve"> рабочих дней с даты заключения контракта. </w:t>
      </w:r>
      <w:r>
        <w:rPr>
          <w:sz w:val="24"/>
        </w:rPr>
      </w:r>
    </w:p>
    <w:p>
      <w:pPr>
        <w:numPr>
          <w:ilvl w:val="0"/>
          <w:numId w:val="1"/>
        </w:numPr>
        <w:ind w:left="0" w:right="105" w:firstLine="709"/>
        <w:spacing w:after="0" w:line="259" w:lineRule="auto"/>
        <w:rPr>
          <w:sz w:val="24"/>
        </w:rPr>
      </w:pPr>
      <w:r>
        <w:rPr>
          <w:b/>
          <w:sz w:val="24"/>
        </w:rPr>
        <w:t xml:space="preserve">Перечень, периодичность и объем оказываемых Услуг. </w:t>
      </w:r>
      <w:r>
        <w:rPr>
          <w:sz w:val="24"/>
        </w:rPr>
      </w:r>
    </w:p>
    <w:p>
      <w:pPr>
        <w:ind w:right="105" w:firstLine="709"/>
        <w:spacing w:after="44" w:line="259" w:lineRule="auto"/>
        <w:rPr>
          <w:sz w:val="24"/>
        </w:rPr>
      </w:pPr>
      <w:r>
        <w:rPr>
          <w:sz w:val="24"/>
        </w:rPr>
        <w:t xml:space="preserve">Объем оказываемых услуг: 1 усл. ед., </w:t>
      </w:r>
      <w:r>
        <w:rPr>
          <w:sz w:val="24"/>
        </w:rPr>
        <w:t xml:space="preserve">Услуги по ремонту автотранспортного средства FORD FOCUS государственный регистрационный знак М509МА45</w:t>
      </w:r>
      <w:r>
        <w:rPr>
          <w:sz w:val="24"/>
        </w:rPr>
        <w:t xml:space="preserve">,</w:t>
      </w:r>
      <w:r>
        <w:rPr>
          <w:sz w:val="24"/>
        </w:rPr>
        <w:t xml:space="preserve">  где за одну условную единицу принято транспортное средство, переданное на ремонт в соответствии с таблицей №1 </w:t>
      </w:r>
      <w:r>
        <w:rPr>
          <w:sz w:val="24"/>
        </w:rPr>
        <w:t xml:space="preserve">технического задания</w:t>
      </w:r>
      <w:r>
        <w:rPr>
          <w:sz w:val="24"/>
        </w:rPr>
        <w:t xml:space="preserve">. </w:t>
      </w:r>
      <w:r>
        <w:rPr>
          <w:sz w:val="24"/>
        </w:rPr>
      </w:r>
    </w:p>
    <w:p>
      <w:pPr>
        <w:ind w:right="105" w:firstLine="709"/>
        <w:spacing w:after="44" w:line="259" w:lineRule="auto"/>
        <w:rPr>
          <w:sz w:val="24"/>
        </w:rPr>
      </w:pPr>
      <w:r>
        <w:rPr>
          <w:sz w:val="24"/>
        </w:rPr>
        <w:t xml:space="preserve">Перечень и периодичность оказания услуг по ремонту автотранспортных средств указаны в таблице №2. </w:t>
      </w:r>
      <w:r>
        <w:rPr>
          <w:sz w:val="24"/>
        </w:rPr>
      </w:r>
    </w:p>
    <w:p>
      <w:pPr>
        <w:ind w:left="780" w:right="0" w:firstLine="0"/>
        <w:jc w:val="left"/>
        <w:spacing w:after="48" w:line="259" w:lineRule="auto"/>
      </w:pPr>
      <w:r>
        <w:rPr>
          <w:sz w:val="22"/>
        </w:rPr>
        <w:t xml:space="preserve"> </w:t>
      </w:r>
      <w:r>
        <w:rPr>
          <w:b/>
        </w:rPr>
        <w:t xml:space="preserve">Перечень </w:t>
      </w:r>
      <w:r>
        <w:rPr>
          <w:b/>
        </w:rPr>
        <w:t xml:space="preserve">и  характеристики </w:t>
      </w:r>
      <w:r>
        <w:rPr>
          <w:b/>
        </w:rPr>
        <w:t xml:space="preserve">автотранспортных средств, подлежащих ремонту. </w:t>
      </w:r>
      <w:r/>
    </w:p>
    <w:p>
      <w:pPr>
        <w:ind w:left="10" w:right="43" w:hanging="10"/>
        <w:jc w:val="right"/>
        <w:spacing w:after="0" w:line="259" w:lineRule="auto"/>
      </w:pPr>
      <w:r>
        <w:t xml:space="preserve">Таблица № 1</w:t>
      </w:r>
      <w:r/>
    </w:p>
    <w:tbl>
      <w:tblPr>
        <w:tblStyle w:val="625"/>
        <w:tblW w:w="10303" w:type="dxa"/>
        <w:tblInd w:w="2" w:type="dxa"/>
        <w:tblCellMar>
          <w:left w:w="31" w:type="dxa"/>
          <w:top w:w="7" w:type="dxa"/>
        </w:tblCellMar>
        <w:tblLook w:val="04A0" w:firstRow="1" w:lastRow="0" w:firstColumn="1" w:lastColumn="0" w:noHBand="0" w:noVBand="1"/>
      </w:tblPr>
      <w:tblGrid>
        <w:gridCol w:w="683"/>
        <w:gridCol w:w="5137"/>
        <w:gridCol w:w="989"/>
        <w:gridCol w:w="854"/>
        <w:gridCol w:w="2640"/>
      </w:tblGrid>
      <w:tr>
        <w:tblPrEx/>
        <w:trPr>
          <w:trHeight w:val="6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3" w:type="dxa"/>
            <w:textDirection w:val="lrTb"/>
            <w:noWrap w:val="false"/>
          </w:tcPr>
          <w:p>
            <w:pPr>
              <w:ind w:left="70" w:right="0" w:firstLine="94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№ п/п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7" w:type="dxa"/>
            <w:textDirection w:val="lrTb"/>
            <w:noWrap w:val="false"/>
          </w:tcPr>
          <w:p>
            <w:pPr>
              <w:ind w:left="300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Характеристики транспортного средства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9" w:type="dxa"/>
            <w:textDirection w:val="lrTb"/>
            <w:noWrap w:val="false"/>
          </w:tcPr>
          <w:p>
            <w:pPr>
              <w:ind w:right="0" w:firstLine="30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Год выпуска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22" w:right="0" w:firstLine="0"/>
              <w:spacing w:after="0" w:line="259" w:lineRule="auto"/>
            </w:pPr>
            <w:r>
              <w:rPr>
                <w:b/>
                <w:sz w:val="22"/>
              </w:rPr>
              <w:t xml:space="preserve">Кол-во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textDirection w:val="lrTb"/>
            <w:noWrap w:val="false"/>
          </w:tcPr>
          <w:p>
            <w:pPr>
              <w:ind w:right="0" w:firstLine="0"/>
              <w:jc w:val="center"/>
              <w:spacing w:after="0" w:line="259" w:lineRule="auto"/>
            </w:pPr>
            <w:r>
              <w:rPr>
                <w:b/>
                <w:sz w:val="22"/>
              </w:rPr>
              <w:t xml:space="preserve">Наличие заводской гарантии </w:t>
            </w:r>
            <w:r/>
          </w:p>
        </w:tc>
      </w:tr>
      <w:tr>
        <w:tblPrEx/>
        <w:trPr>
          <w:trHeight w:val="17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3" w:type="dxa"/>
            <w:textDirection w:val="lrTb"/>
            <w:noWrap w:val="false"/>
          </w:tcPr>
          <w:p>
            <w:pPr>
              <w:ind w:left="7" w:right="0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7" w:type="dxa"/>
            <w:textDirection w:val="lrTb"/>
            <w:noWrap w:val="false"/>
          </w:tcPr>
          <w:p>
            <w:pPr>
              <w:ind w:right="0" w:firstLine="0"/>
              <w:jc w:val="left"/>
              <w:spacing w:after="29" w:line="259" w:lineRule="auto"/>
              <w:rPr>
                <w:sz w:val="24"/>
              </w:rPr>
            </w:pPr>
            <w:r>
              <w:rPr>
                <w:sz w:val="24"/>
              </w:rPr>
              <w:t xml:space="preserve">Двигатель - 1,6 л.</w:t>
            </w:r>
            <w:r>
              <w:rPr>
                <w:sz w:val="24"/>
              </w:rPr>
            </w:r>
          </w:p>
          <w:p>
            <w:pPr>
              <w:ind w:right="0" w:firstLine="0"/>
              <w:jc w:val="left"/>
              <w:spacing w:after="29" w:line="259" w:lineRule="auto"/>
              <w:rPr>
                <w:sz w:val="24"/>
              </w:rPr>
            </w:pPr>
            <w:r>
              <w:rPr>
                <w:sz w:val="24"/>
              </w:rPr>
              <w:t xml:space="preserve">Максимальная мощность – 105 л. с.</w:t>
            </w:r>
            <w:r>
              <w:rPr>
                <w:sz w:val="24"/>
              </w:rPr>
            </w:r>
          </w:p>
          <w:p>
            <w:pPr>
              <w:ind w:right="0" w:firstLine="0"/>
              <w:jc w:val="left"/>
              <w:spacing w:after="29" w:line="259" w:lineRule="auto"/>
              <w:rPr>
                <w:sz w:val="24"/>
              </w:rPr>
            </w:pPr>
            <w:r>
              <w:rPr>
                <w:sz w:val="24"/>
              </w:rPr>
              <w:t xml:space="preserve">Тип двигателя – бензиновый</w:t>
            </w:r>
            <w:r>
              <w:rPr>
                <w:sz w:val="24"/>
              </w:rPr>
            </w:r>
          </w:p>
          <w:p>
            <w:pPr>
              <w:ind w:right="0" w:firstLine="0"/>
              <w:jc w:val="left"/>
              <w:spacing w:after="29" w:line="259" w:lineRule="auto"/>
              <w:rPr>
                <w:sz w:val="24"/>
              </w:rPr>
            </w:pPr>
            <w:r>
              <w:rPr>
                <w:sz w:val="24"/>
              </w:rPr>
              <w:t xml:space="preserve">VIN – X9FMXXEEBMDG41856</w:t>
            </w:r>
            <w:r>
              <w:rPr>
                <w:sz w:val="24"/>
              </w:rPr>
            </w:r>
          </w:p>
          <w:p>
            <w:pPr>
              <w:ind w:right="954" w:firstLine="0"/>
              <w:jc w:val="left"/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Пробег 235884 км.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9" w:type="dxa"/>
            <w:textDirection w:val="lrTb"/>
            <w:noWrap w:val="false"/>
          </w:tcPr>
          <w:p>
            <w:pPr>
              <w:ind w:left="84" w:right="0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201</w:t>
            </w:r>
            <w:r>
              <w:rPr>
                <w:sz w:val="24"/>
              </w:rPr>
              <w:t xml:space="preserve">3</w:t>
            </w:r>
            <w:bookmarkStart w:id="0" w:name="_GoBack"/>
            <w:r/>
            <w:bookmarkEnd w:id="0"/>
            <w:r>
              <w:rPr>
                <w:sz w:val="24"/>
              </w:rPr>
              <w:t xml:space="preserve"> 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7" w:right="0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0" w:type="dxa"/>
            <w:textDirection w:val="lrTb"/>
            <w:noWrap w:val="false"/>
          </w:tcPr>
          <w:p>
            <w:pPr>
              <w:ind w:left="31" w:right="0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sz w:val="24"/>
              </w:rPr>
              <w:t xml:space="preserve">Автомобиль не находится на гарантии </w:t>
            </w:r>
            <w:r>
              <w:rPr>
                <w:sz w:val="24"/>
              </w:rPr>
            </w:r>
          </w:p>
        </w:tc>
      </w:tr>
    </w:tbl>
    <w:p>
      <w:pPr>
        <w:ind w:left="126" w:right="0" w:firstLine="0"/>
        <w:jc w:val="center"/>
        <w:spacing w:after="0" w:line="259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ind w:left="126" w:right="0" w:firstLine="0"/>
        <w:jc w:val="center"/>
        <w:spacing w:after="0" w:line="259" w:lineRule="auto"/>
      </w:pPr>
      <w:r>
        <w:rPr>
          <w:b/>
        </w:rPr>
        <w:t xml:space="preserve">Перечень и периодичность оказания услуг </w:t>
      </w:r>
      <w:r/>
    </w:p>
    <w:p>
      <w:pPr>
        <w:ind w:left="10" w:right="157" w:hanging="10"/>
        <w:jc w:val="right"/>
        <w:spacing w:after="0" w:line="259" w:lineRule="auto"/>
      </w:pPr>
      <w:r>
        <w:t xml:space="preserve">Таблица № 2 </w:t>
      </w:r>
      <w:r/>
    </w:p>
    <w:tbl>
      <w:tblPr>
        <w:tblStyle w:val="625"/>
        <w:tblW w:w="10297" w:type="dxa"/>
        <w:tblInd w:w="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top w:w="7" w:type="dxa"/>
          <w:right w:w="12" w:type="dxa"/>
        </w:tblCellMar>
        <w:tblLook w:val="04A0" w:firstRow="1" w:lastRow="0" w:firstColumn="1" w:lastColumn="0" w:noHBand="0" w:noVBand="1"/>
      </w:tblPr>
      <w:tblGrid>
        <w:gridCol w:w="678"/>
        <w:gridCol w:w="4774"/>
        <w:gridCol w:w="957"/>
        <w:gridCol w:w="1305"/>
        <w:gridCol w:w="2583"/>
      </w:tblGrid>
      <w:tr>
        <w:tblPrEx/>
        <w:trPr>
          <w:trHeight w:val="576"/>
        </w:trPr>
        <w:tc>
          <w:tcPr>
            <w:tcW w:w="680" w:type="dxa"/>
            <w:textDirection w:val="lrTb"/>
            <w:noWrap w:val="false"/>
          </w:tcPr>
          <w:p>
            <w:pPr>
              <w:ind w:left="120" w:right="0" w:firstLine="86"/>
              <w:jc w:val="left"/>
              <w:spacing w:after="0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№ п/п </w:t>
            </w:r>
            <w:r>
              <w:rPr>
                <w:sz w:val="24"/>
              </w:rPr>
            </w:r>
          </w:p>
        </w:tc>
        <w:tc>
          <w:tcPr>
            <w:tcW w:w="4798" w:type="dxa"/>
            <w:textDirection w:val="lrTb"/>
            <w:noWrap w:val="false"/>
          </w:tcPr>
          <w:p>
            <w:pPr>
              <w:ind w:right="2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Перечень оказываемых услуг </w:t>
            </w:r>
            <w:r>
              <w:rPr>
                <w:sz w:val="24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ind w:left="55" w:right="0" w:firstLine="0"/>
              <w:spacing w:after="0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Ед. изм. </w:t>
            </w:r>
            <w:r>
              <w:rPr>
                <w:sz w:val="24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ind w:right="0" w:firstLine="0"/>
              <w:spacing w:after="0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К</w:t>
            </w:r>
            <w:r>
              <w:rPr>
                <w:b/>
                <w:sz w:val="24"/>
              </w:rPr>
              <w:t xml:space="preserve">оличество </w:t>
            </w:r>
            <w:r>
              <w:rPr>
                <w:sz w:val="24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ind w:right="0" w:firstLine="0"/>
              <w:jc w:val="center"/>
              <w:spacing w:after="0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Периодичность оказания услуг</w:t>
            </w:r>
            <w:r>
              <w:rPr>
                <w:sz w:val="24"/>
              </w:rPr>
            </w:r>
          </w:p>
        </w:tc>
      </w:tr>
      <w:tr>
        <w:tblPrEx/>
        <w:trPr>
          <w:trHeight w:val="1000"/>
        </w:trPr>
        <w:tc>
          <w:tcPr>
            <w:tcW w:w="680" w:type="dxa"/>
            <w:textDirection w:val="lrTb"/>
            <w:noWrap w:val="false"/>
          </w:tcPr>
          <w:p>
            <w:pPr>
              <w:ind w:left="45" w:righ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</w:r>
          </w:p>
        </w:tc>
        <w:tc>
          <w:tcPr>
            <w:tcW w:w="4798" w:type="dxa"/>
            <w:textDirection w:val="lrTb"/>
            <w:noWrap w:val="false"/>
          </w:tcPr>
          <w:p>
            <w:pPr>
              <w:ind w:left="120" w:righ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уплотнительного кольца гидроусилителя руля.</w:t>
            </w:r>
            <w:r>
              <w:rPr>
                <w:sz w:val="24"/>
                <w:szCs w:val="24"/>
              </w:rPr>
            </w:r>
          </w:p>
          <w:p>
            <w:pPr>
              <w:ind w:left="120" w:right="0" w:firstLine="0"/>
              <w:jc w:val="left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Доливка жидкости в гидроусилитель руля.</w:t>
            </w:r>
            <w:r>
              <w:rPr>
                <w:sz w:val="24"/>
                <w:szCs w:val="24"/>
              </w:rPr>
            </w:r>
          </w:p>
        </w:tc>
        <w:tc>
          <w:tcPr>
            <w:tcW w:w="959" w:type="dxa"/>
            <w:textDirection w:val="lrTb"/>
            <w:noWrap w:val="false"/>
          </w:tcPr>
          <w:p>
            <w:pPr>
              <w:ind w:righ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Усл.ед.</w:t>
            </w:r>
            <w:r>
              <w:rPr>
                <w:sz w:val="24"/>
                <w:szCs w:val="24"/>
              </w:rPr>
            </w:r>
          </w:p>
        </w:tc>
        <w:tc>
          <w:tcPr>
            <w:tcW w:w="1270" w:type="dxa"/>
            <w:textDirection w:val="lrTb"/>
            <w:noWrap w:val="false"/>
          </w:tcPr>
          <w:p>
            <w:pPr>
              <w:ind w:left="1" w:right="0" w:firstLine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</w:r>
          </w:p>
          <w:p>
            <w:pPr>
              <w:ind w:left="1" w:right="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ind w:left="20" w:right="0" w:hanging="20"/>
              <w:jc w:val="center"/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за период действия контракта </w:t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spacing w:after="0" w:line="240" w:lineRule="auto"/>
        <w:shd w:val="clear" w:color="auto" w:fill="ffffff"/>
        <w:rPr>
          <w:sz w:val="24"/>
          <w:szCs w:val="24"/>
        </w:rPr>
        <w:outlineLvl w:val="1"/>
      </w:pPr>
      <w:r>
        <w:rPr>
          <w:rFonts w:ascii="Arial Unicode MS" w:hAnsi="Arial Unicode MS" w:eastAsia="Arial Unicode MS" w:cs="Arial Unicode MS"/>
          <w:sz w:val="28"/>
          <w:szCs w:val="28"/>
        </w:rPr>
        <w:t xml:space="preserve"> </w:t>
      </w:r>
      <w:r>
        <w:rPr>
          <w:sz w:val="24"/>
          <w:szCs w:val="24"/>
        </w:rPr>
        <w:t xml:space="preserve">Запасные части и материалы, используемые при оказании Услуг, предоставляются Исполнителем, Заказчик дополнительных затрат не </w:t>
      </w:r>
      <w:r>
        <w:rPr>
          <w:sz w:val="24"/>
          <w:szCs w:val="24"/>
        </w:rPr>
        <w:t xml:space="preserve">несёт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Запасные части и расходные материалы должны соответствовать  </w:t>
      </w:r>
      <w:r>
        <w:rPr>
          <w:sz w:val="24"/>
          <w:szCs w:val="24"/>
          <w:lang w:val="en-US"/>
        </w:rPr>
        <w:t xml:space="preserve">VIN</w:t>
      </w:r>
      <w:r>
        <w:rPr>
          <w:sz w:val="24"/>
          <w:szCs w:val="24"/>
        </w:rPr>
        <w:t xml:space="preserve"> номеру транспортного средства и быть совместимы с автомобилем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</w:r>
    </w:p>
    <w:p>
      <w:pPr>
        <w:pStyle w:val="626"/>
        <w:numPr>
          <w:ilvl w:val="0"/>
          <w:numId w:val="1"/>
        </w:numPr>
        <w:ind w:left="0" w:right="0"/>
        <w:jc w:val="left"/>
        <w:spacing w:after="0" w:line="240" w:lineRule="auto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Эксплуатационных и технические характеристики </w:t>
      </w:r>
      <w:r>
        <w:rPr>
          <w:b/>
          <w:sz w:val="24"/>
        </w:rPr>
      </w:r>
    </w:p>
    <w:p>
      <w:pPr>
        <w:contextualSpacing/>
        <w:ind w:right="0" w:firstLine="709"/>
        <w:jc w:val="left"/>
        <w:spacing w:after="0" w:line="240" w:lineRule="auto"/>
        <w:rPr>
          <w:sz w:val="24"/>
        </w:rPr>
      </w:pPr>
      <w:r>
        <w:rPr>
          <w:sz w:val="24"/>
        </w:rPr>
        <w:t xml:space="preserve">Исполнитель, в течении 1 (Одного) рабочего дня с момента поступления заявки от Заказчика, обязан принять транспортное средство, указанное в заявке в место оказания</w:t>
      </w:r>
      <w:r>
        <w:rPr>
          <w:sz w:val="24"/>
        </w:rPr>
        <w:t xml:space="preserve"> услуг для начала оказания услуг. Заявка может быть подана в письменном виде либо по телефону. Исполнитель несёт материальную ответственность за сохранность предоставленных Заказчиком транспортных средств, в связи с исполнением государственного контракта.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Исполнитель обязан инфор</w:t>
      </w:r>
      <w:r>
        <w:rPr>
          <w:sz w:val="24"/>
        </w:rPr>
        <w:t xml:space="preserve">мировать и давать рекомендации о наличии неисправностей, необходимых видах ремонтных работ, при ремонте автотранспортных средств, (выдать дефектную ведомость, устные рекомендации и т.д.) обнаруженных в процессе оказания услуг, но не заявленных Заказчиком;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Исполнитель вправе привлекать субподрядные организации и обязан отвечать за качество оказания услуг.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Запасные части, расходные материалы, используемые при ремонте должны соответствовать требованиям и рекомендациям, которые установил завод-изготовитель транспортных средств в технической документации, технических регламентах, правилах, нормах и стандартах.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Исполнитель обязуется использовать запасные части, полностью соответствующие по основным параметрам и показателям, качественным и функциональным характеристикам, потребительским свойствам с заменяемыми запасными частями.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Образующиеся </w:t>
      </w:r>
      <w:r>
        <w:rPr>
          <w:sz w:val="24"/>
        </w:rPr>
        <w:t xml:space="preserve">в процессе обслуживания и ремонта непригодные к эксплуатации узлы, детали, расходные материалы автотранспортных средств, остаются у Исполнителя. По согласованию сторон непригодные к эксплуатации узлы и агрегаты транспортных средств возвращаются Заказчику.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Транспортирование автотранспортных средств до места оказания услуг осуществляется Заказчиком. </w:t>
      </w:r>
      <w:r>
        <w:rPr>
          <w:sz w:val="24"/>
        </w:rPr>
      </w:r>
    </w:p>
    <w:p>
      <w:pPr>
        <w:ind w:left="42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i/>
          <w:color w:val="000000"/>
          <w:sz w:val="24"/>
        </w:rPr>
        <w:t xml:space="preserve">При оказании услуг Исполнитель обязан руководствоваться: </w:t>
      </w:r>
      <w:r/>
    </w:p>
    <w:p>
      <w:pPr>
        <w:numPr>
          <w:ilvl w:val="0"/>
          <w:numId w:val="3"/>
        </w:numPr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ГОСТ 33997-2016. Межгосударственный стандарт. Колесные транспортные средства. Требования к безопасности в эксплуатации и методы проверки; </w:t>
      </w:r>
      <w:r/>
    </w:p>
    <w:p>
      <w:pPr>
        <w:numPr>
          <w:ilvl w:val="0"/>
          <w:numId w:val="3"/>
        </w:numPr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Техническим регламентом Таможенного союза ТР ТС № 018/2011 «О безопасности колесных транспортных средств» Утвержденного Решением Комиссии Таможенного союза от 09.12.2011 № 877». </w:t>
      </w:r>
      <w:r/>
    </w:p>
    <w:p>
      <w:pPr>
        <w:numPr>
          <w:ilvl w:val="0"/>
          <w:numId w:val="3"/>
        </w:numPr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Постановление Правительства РФ от 29.05.2025 N 780 Об утверждении Правил оказания услуг (выполнения работ) по техническому обслуживанию и ремонту автомототранспортных средств».</w:t>
      </w:r>
      <w:r/>
      <w:r>
        <w:rPr>
          <w:sz w:val="24"/>
        </w:rPr>
      </w:r>
      <w:r>
        <w:rPr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contextualSpacing/>
        <w:ind w:left="434" w:right="0" w:hanging="10"/>
        <w:jc w:val="left"/>
        <w:spacing w:after="0" w:line="240" w:lineRule="auto"/>
        <w:rPr>
          <w:sz w:val="24"/>
        </w:rPr>
      </w:pPr>
      <w:r>
        <w:rPr>
          <w:b/>
          <w:sz w:val="24"/>
        </w:rPr>
        <w:t xml:space="preserve">7. Требования к безопасности оказываемых услуг.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При оказании услуг Исполнитель обязан обеспечить полную безопасность для физических лиц и сохранность имущества.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Услуги ремонту автотранспортных средств должны оказываться в</w:t>
      </w:r>
      <w:r>
        <w:rPr>
          <w:sz w:val="24"/>
        </w:rPr>
        <w:t xml:space="preserve"> соответствии с правилами техники безопасности, пожарной безопасности, производственной санитарии. Безопасность оказанных услуг должна соответствовать всем требованиям, установленным действующим законодательством Российской Федерации, к такому виду услуг.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Исполнитель должен обеспечить возможность нахождения представителя Заказчика в помещениях Исполнителя для контроля за соблюдением процесса оказания услуг. </w:t>
      </w:r>
      <w:r>
        <w:rPr>
          <w:sz w:val="24"/>
        </w:rPr>
      </w:r>
    </w:p>
    <w:p>
      <w:pPr>
        <w:contextualSpacing/>
        <w:ind w:left="4" w:right="73"/>
        <w:spacing w:after="0" w:line="240" w:lineRule="auto"/>
        <w:rPr>
          <w:sz w:val="24"/>
        </w:rPr>
      </w:pPr>
      <w:r>
        <w:rPr>
          <w:sz w:val="24"/>
        </w:rPr>
        <w:t xml:space="preserve">Исполнитель гарантирует соблюдение правил и стандартов в области безопасности труда, соблюдение правил противопожарного режима и иных обязательных требований, предусмотренных действующими нормативными актами на период действия государственного контракта. </w:t>
      </w:r>
      <w:r>
        <w:rPr>
          <w:sz w:val="24"/>
        </w:rPr>
      </w:r>
    </w:p>
    <w:p>
      <w:pPr>
        <w:contextualSpacing/>
        <w:ind w:right="0" w:firstLine="709"/>
        <w:jc w:val="left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8. Требования к качеству оказания услуг. </w:t>
      </w:r>
      <w:r>
        <w:rPr>
          <w:b/>
          <w:sz w:val="24"/>
        </w:rPr>
      </w:r>
    </w:p>
    <w:p>
      <w:pPr>
        <w:contextualSpacing/>
        <w:ind w:right="0" w:firstLine="709"/>
        <w:jc w:val="left"/>
        <w:spacing w:after="0" w:line="240" w:lineRule="auto"/>
        <w:rPr>
          <w:sz w:val="24"/>
        </w:rPr>
      </w:pPr>
      <w:r>
        <w:rPr>
          <w:sz w:val="24"/>
        </w:rPr>
        <w:t xml:space="preserve">Качество оказанных услуг должно соответствовать всем требованиям, установленным действующим законодательством Российской Федерации, к такому роду услуг. </w:t>
      </w:r>
      <w:r>
        <w:rPr>
          <w:sz w:val="24"/>
        </w:rPr>
      </w:r>
    </w:p>
    <w:p>
      <w:pPr>
        <w:contextualSpacing/>
        <w:ind w:right="73" w:firstLine="709"/>
        <w:spacing w:after="0" w:line="240" w:lineRule="auto"/>
        <w:rPr>
          <w:sz w:val="24"/>
        </w:rPr>
      </w:pPr>
      <w:r>
        <w:rPr>
          <w:sz w:val="24"/>
        </w:rPr>
        <w:t xml:space="preserve">Применяемые Исполнителем при оказание услуг товары (запасные части и материалы), должны быть новыми, т.е. товарами которые не были в употреблении, в ремонте, которые не были восстановлены, у которых не была осуществлена замена составных частей, не </w:t>
      </w:r>
      <w:r>
        <w:rPr>
          <w:sz w:val="24"/>
        </w:rPr>
        <w:t xml:space="preserve">были восстановлены потребительские свойства. Запчасти не должны иметь дефектов, связанных с конструкцией, материалами или работой по их изготовлению, либо проявляющихся в результате действия или упущения Исполнителя, должны отвечать стандартам и требования</w:t>
      </w:r>
      <w:r>
        <w:rPr>
          <w:sz w:val="24"/>
        </w:rPr>
        <w:t xml:space="preserve">м, предъявляемым к запасным частям данного вида, действующим на территории Российской Федерации, должны иметь необходимую документацию (Паспорта, сертификат качества) необходимые для данного вида товара и соответствовать требованиям завода - изготовителя. </w:t>
      </w:r>
      <w:r>
        <w:rPr>
          <w:sz w:val="24"/>
        </w:rPr>
      </w:r>
    </w:p>
    <w:sectPr>
      <w:footnotePr/>
      <w:endnotePr/>
      <w:type w:val="nextPage"/>
      <w:pgSz w:w="11904" w:h="16836" w:orient="portrait"/>
      <w:pgMar w:top="851" w:right="451" w:bottom="851" w:left="10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2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92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4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6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0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8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52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5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7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9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401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3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5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7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9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ind w:right="58" w:firstLine="672"/>
      <w:jc w:val="both"/>
      <w:spacing w:after="5" w:line="277" w:lineRule="auto"/>
    </w:pPr>
    <w:rPr>
      <w:rFonts w:ascii="Times New Roman" w:hAnsi="Times New Roman" w:eastAsia="Times New Roman" w:cs="Times New Roman"/>
      <w:color w:val="000000"/>
      <w:sz w:val="23"/>
    </w:rPr>
  </w:style>
  <w:style w:type="character" w:styleId="622" w:default="1">
    <w:name w:val="Default Paragraph Font"/>
    <w:uiPriority w:val="1"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table" w:styleId="625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26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Бобин Василий Николаевич</dc:creator>
  <cp:keywords/>
  <cp:lastModifiedBy>Григорьев Евгений Владимирович</cp:lastModifiedBy>
  <cp:revision>5</cp:revision>
  <dcterms:created xsi:type="dcterms:W3CDTF">2025-02-14T11:26:00Z</dcterms:created>
  <dcterms:modified xsi:type="dcterms:W3CDTF">2026-08-25T06:44:22Z</dcterms:modified>
</cp:coreProperties>
</file>