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right"/>
        <w:spacing w:after="0" w:line="240" w:lineRule="auto"/>
        <w:rPr>
          <w:rFonts w:ascii="Tinos" w:hAnsi="Tinos" w:eastAsia="Tinos" w:cs="Tinos"/>
          <w:b/>
          <w:bCs/>
          <w:sz w:val="32"/>
          <w:szCs w:val="32"/>
          <w14:ligatures w14:val="none"/>
        </w:rPr>
      </w:pPr>
      <w:r>
        <w:rPr>
          <w:rFonts w:ascii="Tinos" w:hAnsi="Tinos" w:eastAsia="Tinos" w:cs="Tinos"/>
          <w:b/>
          <w:bCs/>
          <w:sz w:val="32"/>
          <w:szCs w:val="32"/>
          <w:lang w:eastAsia="ru-RU"/>
        </w:rPr>
        <w:t xml:space="preserve">Проект</w:t>
      </w:r>
      <w:r>
        <w:rPr>
          <w:rFonts w:ascii="Tinos" w:hAnsi="Tinos" w:eastAsia="Tinos" w:cs="Tinos"/>
          <w:b/>
          <w:bCs/>
          <w:sz w:val="32"/>
          <w:szCs w:val="32"/>
          <w14:ligatures w14:val="none"/>
        </w:rPr>
      </w:r>
      <w:r>
        <w:rPr>
          <w:rFonts w:ascii="Tinos" w:hAnsi="Tinos" w:eastAsia="Tinos" w:cs="Tinos"/>
          <w:b/>
          <w:bCs/>
          <w:sz w:val="32"/>
          <w:szCs w:val="3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cs="Tinos"/>
          <w:b/>
          <w:bCs/>
          <w:sz w:val="22"/>
          <w:szCs w:val="22"/>
          <w14:ligatures w14:val="none"/>
        </w:rPr>
      </w:pP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ГОСУДАРСТВЕННЫЙ КОНТРАКТ №</w:t>
      </w:r>
      <w:r>
        <w:rPr>
          <w:rFonts w:ascii="Tinos" w:hAnsi="Tinos" w:eastAsia="Tinos" w:cs="Tinos"/>
          <w:b/>
          <w:bCs/>
          <w:sz w:val="22"/>
          <w:szCs w:val="22"/>
          <w:lang w:eastAsia="ru-RU"/>
        </w:rPr>
        <w:t xml:space="preserve"> ___</w:t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  <w:r>
        <w:rPr>
          <w:rFonts w:ascii="Tinos" w:hAnsi="Tinos" w:cs="Tinos"/>
          <w:b/>
          <w:bCs/>
          <w:sz w:val="22"/>
          <w:szCs w:val="22"/>
          <w14:ligatures w14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b w:val="0"/>
          <w:bCs w:val="0"/>
          <w:sz w:val="22"/>
          <w:szCs w:val="22"/>
        </w:rPr>
        <w:t xml:space="preserve">на о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казание услуг 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ind w:firstLine="709"/>
        <w:jc w:val="center"/>
        <w:spacing w:after="0" w:line="240" w:lineRule="auto"/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pPr>
      <w:r>
        <w:rPr>
          <w:rFonts w:ascii="Tinos" w:hAnsi="Tinos" w:eastAsia="Tinos" w:cs="Tinos"/>
          <w:b w:val="0"/>
          <w:bCs w:val="0"/>
          <w:sz w:val="16"/>
          <w:szCs w:val="16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sz w:val="16"/>
          <w:szCs w:val="16"/>
          <w:highlight w:val="none"/>
        </w:rPr>
      </w:r>
    </w:p>
    <w:tbl>
      <w:tblPr>
        <w:tblStyle w:val="825"/>
        <w:tblW w:w="0" w:type="auto"/>
        <w:tblLayout w:type="fixed"/>
        <w:tblLook w:val="04A0" w:firstRow="1" w:lastRow="0" w:firstColumn="1" w:lastColumn="0" w:noHBand="0" w:noVBand="1"/>
      </w:tblPr>
      <w:tblGrid>
        <w:gridCol w:w="3307"/>
        <w:gridCol w:w="3071"/>
        <w:gridCol w:w="354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7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16"/>
                <w:szCs w:val="16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  <w:r>
              <w:rPr>
                <w:rFonts w:ascii="Tinos" w:hAnsi="Tinos" w:eastAsia="Tinos" w:cs="Tinos"/>
                <w:sz w:val="16"/>
                <w:szCs w:val="16"/>
                <w:highlight w:val="none"/>
              </w:rPr>
            </w:r>
          </w:p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г. Курган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71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3" w:type="dxa"/>
            <w:textDirection w:val="lrTb"/>
            <w:noWrap w:val="false"/>
          </w:tcPr>
          <w:p>
            <w:pPr>
              <w:contextualSpacing w:val="0"/>
              <w:jc w:val="left"/>
              <w:spacing w:after="0" w:line="240" w:lineRule="auto"/>
              <w:rPr>
                <w:rFonts w:ascii="Tinos" w:hAnsi="Tinos" w:eastAsia="Tinos" w:cs="Tinos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contextualSpacing w:val="0"/>
              <w:jc w:val="right"/>
              <w:spacing w:after="0" w:line="240" w:lineRule="auto"/>
              <w:rPr>
                <w:rFonts w:ascii="Tinos" w:hAnsi="Tinos" w:eastAsia="Tinos" w:cs="Tinos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«_____» _____________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20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26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года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nos" w:hAnsi="Tinos" w:eastAsia="Tinos" w:cs="Tinos"/>
          <w:sz w:val="16"/>
          <w:szCs w:val="16"/>
        </w:rPr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ind w:left="0" w:right="0" w:firstLine="567"/>
        <w:jc w:val="both"/>
      </w:pPr>
      <w:r>
        <w:rPr>
          <w:rFonts w:ascii="Tinos" w:hAnsi="Tinos" w:eastAsia="Tinos" w:cs="Tinos"/>
          <w:b/>
          <w:bCs/>
          <w:sz w:val="22"/>
          <w:szCs w:val="22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в лице 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eastAsia="Tinos" w:cs="Tinos"/>
          <w:sz w:val="22"/>
          <w:szCs w:val="22"/>
          <w:lang w:eastAsia="en-US"/>
        </w:rPr>
      </w:r>
      <w:r/>
    </w:p>
    <w:p>
      <w:pPr>
        <w:contextualSpacing w:val="0"/>
        <w:ind w:firstLine="709"/>
        <w:jc w:val="both"/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suppressLineNumbers w:val="0"/>
      </w:pPr>
      <w:r>
        <w:rPr>
          <w:rFonts w:ascii="Tinos" w:hAnsi="Tinos" w:eastAsia="Tinos" w:cs="Tinos"/>
          <w:sz w:val="22"/>
          <w:szCs w:val="22"/>
          <w:lang w:eastAsia="en-US"/>
        </w:rPr>
        <w:t xml:space="preserve">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en-US"/>
        </w:rPr>
        <w:t xml:space="preserve">_______________________________________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 соответствующее единым требованиям к участникам закупок, предусмотренным ч. 1 ст. 31 Федерального закона от 05.04.2013 г. № 44-ФЗ 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ФЗ-44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),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в лице ______________________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 действующего на основании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_____________</w:t>
      </w:r>
      <w:r>
        <w:rPr>
          <w:rFonts w:ascii="Tinos" w:hAnsi="Tinos" w:eastAsia="Tinos" w:cs="Tinos"/>
          <w:sz w:val="22"/>
          <w:szCs w:val="22"/>
          <w:lang w:val="en-US" w:eastAsia="en-US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другой стороны, а вместе именуемые Стороны, </w:t>
      </w:r>
      <w:r>
        <w:rPr>
          <w:rFonts w:ascii="Tinos" w:hAnsi="Tinos" w:eastAsia="Tinos" w:cs="Tinos"/>
          <w:iCs/>
          <w:sz w:val="22"/>
          <w:szCs w:val="22"/>
          <w:lang w:eastAsia="en-US"/>
        </w:rPr>
        <w:t xml:space="preserve">на основании п. 4 ч. 1 ст. 93 ФЗ-44,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по результатам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объявления о закупке (номер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)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на основании итогового протокола закупочной сессии / несостоявшейся закупки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(номер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_______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заключили настоящий Государственный контракт (далее – Контракт)  о нижеследующем: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</w:p>
    <w:p>
      <w:pPr>
        <w:contextualSpacing w:val="0"/>
        <w:ind w:firstLine="709"/>
        <w:jc w:val="both"/>
        <w:rPr>
          <w:rFonts w:ascii="Tinos" w:hAnsi="Tinos" w:eastAsia="Tinos" w:cs="Tinos"/>
          <w:sz w:val="16"/>
          <w:szCs w:val="16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</w:rPr>
      </w:r>
      <w:r>
        <w:rPr>
          <w:rFonts w:ascii="Tinos" w:hAnsi="Tinos" w:eastAsia="Tinos" w:cs="Tinos"/>
          <w:sz w:val="16"/>
          <w:szCs w:val="16"/>
        </w:rPr>
      </w:r>
    </w:p>
    <w:p>
      <w:pPr>
        <w:contextualSpacing w:val="0"/>
        <w:ind w:firstLine="709"/>
        <w:jc w:val="center"/>
        <w:rPr>
          <w:rFonts w:ascii="Tinos" w:hAnsi="Tinos" w:eastAsia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</w:rPr>
        <w:t xml:space="preserve">1. Предмет Контракта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1.1.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обязуется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в установленный настоящим Контрактом срок оказать Государственному заказчику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по сбору, транспортированию и утилизации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(далее - услуги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соответствии с Описанием объекта закупки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обязуется принять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оплатить оказанные услуги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в порядке и на условиях, предусмотренных настоящим Контрактом.</w:t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  <w:r>
        <w:rPr>
          <w:rFonts w:ascii="Tinos" w:hAnsi="Tinos" w:eastAsia="Tinos" w:cs="Tinos"/>
          <w:b w:val="0"/>
          <w:bCs w:val="0"/>
          <w:sz w:val="22"/>
          <w:szCs w:val="22"/>
          <w:highlight w:val="none"/>
        </w:rPr>
      </w:r>
    </w:p>
    <w:p>
      <w:pPr>
        <w:pStyle w:val="979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1.2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. 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Состав, объем и порядок оказания услуг определяется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Описанием объекта закупки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(Приложение № 1 к настоящему Контракту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79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1.3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Идентификационный код закупки: 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26 1 4501111750 450101001 0017 000 0000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 244</w:t>
      </w:r>
      <w:r>
        <w:rPr>
          <w:rFonts w:ascii="Tinos" w:hAnsi="Tinos" w:eastAsia="Tinos" w:cs="Tinos"/>
          <w:b w:val="0"/>
          <w:bCs w:val="0"/>
          <w:color w:val="000000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79"/>
        <w:contextualSpacing w:val="0"/>
        <w:ind w:firstLine="567"/>
        <w:jc w:val="both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16"/>
          <w:szCs w:val="16"/>
          <w:highlight w:val="white"/>
          <w14:ligatures w14:val="none"/>
        </w:rPr>
      </w:r>
    </w:p>
    <w:p>
      <w:pPr>
        <w:pStyle w:val="979"/>
        <w:contextualSpacing w:val="0"/>
        <w:ind w:firstLine="567"/>
        <w:jc w:val="center"/>
        <w:spacing w:before="0" w:beforeAutospacing="0" w:after="0" w:line="240" w:lineRule="auto"/>
        <w:shd w:val="clear" w:color="ffffff" w:themeColor="background1" w:fill="ffffff" w:themeFill="background1"/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2.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Цена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contextualSpacing w:val="0"/>
        <w:ind w:left="0" w:right="-144" w:firstLine="567"/>
        <w:jc w:val="both"/>
        <w:spacing w:before="0" w:after="0" w:line="240" w:lineRule="auto"/>
        <w:tabs>
          <w:tab w:val="left" w:pos="-4320" w:leader="none"/>
        </w:tabs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  <w:suppressLineNumbers w:val="0"/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 2.1.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Цена Контракта составляет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_________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 (___________________)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 рублей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в том числе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НДС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footnoteReference w:id="2"/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/ НДС не облагается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footnoteReference w:id="3"/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superscript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  <w:vertAlign w:val="baseline"/>
        </w:rPr>
        <w:t xml:space="preserve">.</w:t>
      </w:r>
      <w:r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</w:r>
      <w:r>
        <w:rPr>
          <w:rFonts w:ascii="Tinos" w:hAnsi="Tinos" w:cs="Tinos"/>
          <w:color w:val="ff0000" w:themeColor="text1"/>
          <w:sz w:val="24"/>
          <w:szCs w:val="24"/>
          <w:highlight w:val="white"/>
          <w:vertAlign w:val="baseline"/>
        </w:rPr>
      </w:r>
    </w:p>
    <w:p>
      <w:pPr>
        <w:pStyle w:val="968"/>
        <w:contextualSpacing/>
        <w:ind w:left="0" w:right="-144" w:firstLine="567"/>
        <w:jc w:val="both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2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val="en-US" w:eastAsia="en-US" w:bidi="en-US"/>
        </w:rPr>
        <w:t xml:space="preserve">Цена Контракта, указанная в пункте 2.1.,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включает в себя стоимость услуг,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 также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 компенсацию всех издержек Исполнителя, связанных с исполнением настоящего 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  <w:lang w:eastAsia="en-US"/>
        </w:rPr>
        <w:t xml:space="preserve">Контракт</w:t>
      </w: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white"/>
        </w:rPr>
        <w:t xml:space="preserve">а, в том числе  погрузочно-разгрузочные работы, транспортные расходы,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расходные материалы, инструменты и оборудование, необходимые для обеспечения оказания услуг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страхование, налоги, сборы и другие обязательные платежи.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pStyle w:val="968"/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 w:bidi="en-US"/>
        </w:rPr>
        <w:t xml:space="preserve">. Цена Контракта является твердой и определяется на весь срок его исполнения,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 исключением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случаев, установленных ФЗ-44 и настоящим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</w:p>
    <w:p>
      <w:pPr>
        <w:contextualSpacing/>
        <w:ind w:left="0" w:right="-144" w:firstLine="567"/>
        <w:jc w:val="both"/>
        <w:spacing w:before="0" w:after="0" w:line="240" w:lineRule="auto"/>
        <w:widowControl w:val="off"/>
        <w:tabs>
          <w:tab w:val="left" w:pos="567" w:leader="none"/>
        </w:tabs>
        <w:rPr>
          <w:rFonts w:ascii="Tinos" w:hAnsi="Tinos" w:eastAsia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  <w:r>
        <w:rPr>
          <w:rFonts w:ascii="Tinos" w:hAnsi="Tinos" w:eastAsia="Tinos" w:cs="Tinos"/>
          <w:color w:val="000000" w:themeColor="text1"/>
          <w:sz w:val="16"/>
          <w:szCs w:val="16"/>
        </w:rPr>
      </w:r>
    </w:p>
    <w:p>
      <w:pPr>
        <w:contextualSpacing/>
        <w:ind w:left="0" w:right="-144" w:firstLine="567"/>
        <w:jc w:val="center"/>
        <w:spacing w:before="0" w:after="170" w:line="240" w:lineRule="auto"/>
        <w:widowControl w:val="off"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3. 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Порядок расчетов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3.1. Государственный заказчик производит расчет с Исполнителем за фактически оказанные услуги в течение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(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семи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) рабочих дней с даты подписания Государственным заказчиком документа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(акт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сдачи-приемки оказанных услуг /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 универсальный передаточный документ (далее - УПД))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after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3.2. 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Суммы, 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длежащие уплате Исполнителю,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уменьшаются Государственным заказчиком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к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3.3.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плата оказанных Исполнителем услуг осуществляется Государственным заказчиком в рублях Российской Федерации из средств федерального бюджета 2026 года.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3.4. 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Оплата по настоящему Контракту осуществляется в безналичной форме путем перечисления денежных средств на расчетный счет Исполнителя, указанный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в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разделе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11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В случае изменения банковских реквизитов,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 течение 3 (трех) рабочих дней с момента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возникновения указанных обстоятельств, уведомляет Государственного заказчика в порядке, предусмотренном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8.3.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ar-SA"/>
        </w:rPr>
        <w:t xml:space="preserve">настоящего Контракта. В противном случае Исполнитель несет все риски по не поступлению денежных средств на его счет.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3.5. 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Обязательство Государственного заказчика по оплате считается выполненным в день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списания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денежных средств со счета Государственного заказчика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  <w14:ligatures w14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  <w:suppressLineNumbers w:val="0"/>
      </w:pPr>
      <w:r>
        <w:rPr>
          <w:rFonts w:ascii="Tinos" w:hAnsi="Tinos" w:eastAsia="Tinos" w:cs="Tinos"/>
          <w:b/>
          <w:bCs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white"/>
          <w14:ligatures w14:val="none"/>
        </w:rPr>
      </w:r>
    </w:p>
    <w:p>
      <w:pPr>
        <w:contextualSpacing w:val="0"/>
        <w:ind w:left="0" w:right="0" w:firstLine="567"/>
        <w:jc w:val="center"/>
        <w:spacing w:before="0" w:after="0" w:line="240" w:lineRule="auto"/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4</w:t>
      </w:r>
      <w:r>
        <w:rPr>
          <w:rFonts w:ascii="Tinos" w:hAnsi="Tinos" w:eastAsia="Tinos" w:cs="Tinos"/>
          <w:b/>
          <w:bCs/>
          <w:sz w:val="22"/>
          <w:szCs w:val="22"/>
          <w:highlight w:val="white"/>
        </w:rPr>
        <w:t xml:space="preserve">. Права и обязанности сторон</w:t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shd w:val="clear" w:color="ffffff" w:themeColor="background1" w:fill="ffffff" w:themeFill="background1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.1.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  <w:lang w:eastAsia="ru-RU"/>
        </w:rPr>
        <w:t xml:space="preserve"> вправе: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.1.1.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Т</w:t>
      </w:r>
      <w:r>
        <w:rPr>
          <w:rFonts w:ascii="Tinos" w:hAnsi="Tinos" w:eastAsia="Tinos" w:cs="Tinos"/>
          <w:sz w:val="22"/>
          <w:szCs w:val="22"/>
        </w:rPr>
        <w:t xml:space="preserve">ребовать приемки оказанных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надлежащим образом </w:t>
      </w:r>
      <w:r>
        <w:rPr>
          <w:rFonts w:ascii="Tinos" w:hAnsi="Tinos" w:eastAsia="Tinos" w:cs="Tinos"/>
          <w:sz w:val="22"/>
          <w:szCs w:val="22"/>
        </w:rPr>
        <w:t xml:space="preserve">услуг в порядке, сроки и на условиях, предусмотренных Контрактом.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4.1.2. Требовать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в установленные настоящим Контрактом сроки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оплату за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4.1.3. Запрашивать и получать у Государственного заказчика информацию и документы, необходимые для исполнения 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bCs/>
          <w:color w:val="000000" w:themeColor="text1"/>
          <w:sz w:val="22"/>
          <w:szCs w:val="22"/>
          <w:highlight w:val="none"/>
          <w14:ligatures w14:val="none"/>
        </w:rPr>
        <w:t xml:space="preserve">4.1.4. 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Самостоятельно (в том числе в зависимости от типа утилизируемых отходов) определять порядок и технологию оказания услуг.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4.1.5.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Принять решение об одностороннем отказе от исполнения Контракта по основаниям, пр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ед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усмотренн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ым Гражданским кодексом Российской Федерации для одностороннего отказа от исполнения отдельных видов обязат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ельств.</w:t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bCs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4.2.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68"/>
        <w:ind w:left="0" w:right="0" w:firstLine="567"/>
        <w:jc w:val="both"/>
        <w:spacing w:line="240" w:lineRule="auto"/>
        <w:widowControl/>
        <w:tabs>
          <w:tab w:val="left" w:pos="567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4.2.1. О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казать услуги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в порядке, объеме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сроки и на условиях, предусмотренных настоящим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89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4.2.2. 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Обеспечить соответствие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обязательным требованиям, установленным действующими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нормативно-правовыми актами Российской Федерации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89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4.2.3.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Предупреждать Государственного заказчика о вероятных событиях или обстоятельствах в будущем, которые могут негативно повлиять на качество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Предоставлять Госу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информацию о ходе исполнения своих обязательств, в том числе о сложностях, возникающих при его исполнении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4.2.5. 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Обеспечивать Государственному Заказчику возможность контроля за ходом исполнения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4.2.6. 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меть действующую лицензию на осуществление деятельности по сбору,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транспортированию,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обработке, утилиза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ц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ии, обезвреживанию, размещению отходов I - IV классов опасности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в соответствии с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пунктом 30  части 1 статьи 12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ru-RU"/>
        </w:rPr>
        <w:t xml:space="preserve"> Федерального закона от 04.05.2011 г.              № 99-ФЗ «О лицензировании отдельных видов деятельности» на следующие виды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транспортирование  отходов 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сбор отходов IV класса опасности;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утилизация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IV класса опасности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В</w:t>
      </w:r>
      <w:r>
        <w:rPr>
          <w:rFonts w:ascii="Tinos" w:hAnsi="Tinos" w:eastAsia="Tinos" w:cs="Tinos" w:eastAsiaTheme="minorHAnsi"/>
          <w:color w:val="000000" w:themeColor="text1"/>
          <w:sz w:val="22"/>
          <w:szCs w:val="22"/>
          <w:highlight w:val="white"/>
          <w:lang w:bidi="ru-RU"/>
        </w:rPr>
        <w:t xml:space="preserve">иды отходов, с которыми разрешается выполнять виды работ в составе лицензируемого вида деятельности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shd w:val="clear" w:color="auto" w:fill="ffffff"/>
        </w:rPr>
        <w:t xml:space="preserve">код по ФККО: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4 92 111 81 52 4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4 82 652 11 52 4,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4 82 151 11 52 4,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4 81 363 11 52 4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3  35 792 11 20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4 81 433 11 52 4,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4 82 643 51 52 4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4 82 515 11 52 4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4 81 432 21 52 4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4 81 338 21 52 4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4 81 322 11 52 3,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4 82 523 21 52 4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4 82 526 51 52 4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4 82 823 71 52 4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4 81 321 01 52 4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4 81 431 91 52 4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4 82 427 11 52 4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4 82 527 11 52 4,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4 81 442 31 52 4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4 82 524 21 52 4,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4 82 812 11 52 4,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4 82 511 11 52 4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  <w:t xml:space="preserve">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4 81 119 11 72 4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</w:rPr>
      </w:r>
    </w:p>
    <w:p>
      <w:pPr>
        <w:pStyle w:val="989"/>
        <w:ind w:left="0" w:right="0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4.2.7. Устранить за свой счет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выявленные недостатки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4.2.8. 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По итогу оказания услуг предоставить Государственному заказчику документ о приемке. К документу о приемке прилагаются надлежащим образом оформленные: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811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 на оплату;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811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счет-фактура (при наличии);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811"/>
        <w:numPr>
          <w:ilvl w:val="0"/>
          <w:numId w:val="38"/>
        </w:num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 </w:t>
      </w:r>
      <w:r>
        <w:rPr>
          <w:sz w:val="22"/>
          <w:szCs w:val="22"/>
        </w:rPr>
        <w:t xml:space="preserve">с указанием наименования и инвентарного номера утилизируемого имущества (при наличии).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4.3. Государственный заказчик вправе: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.3.1.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Исполнителя надлежащего исполнения обязательств в соответствии с настоящим Контрактом.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.3.2. 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Требовать от Исп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олнителя 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своевременного устранения выявленных недостатков оказанных услуг.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ar-SA"/>
        </w:rPr>
        <w:t xml:space="preserve">.3.3. 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.3.4. П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роверять ход и качество оказания Исполнителем услуг по Контракту, не вмешиваясь в его деятельность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4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.3.5. Отказаться от приемки и оплаты оказанных услуг, не соответствующих требованиям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eastAsia="Tinos" w:cs="Tinos"/>
          <w:sz w:val="22"/>
          <w:szCs w:val="22"/>
        </w:rPr>
        <w:t xml:space="preserve">4.3.6. 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Привлекать экспертов, экспертные организации для проведения экспертизы оказанных услуг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</w:rPr>
        <w:t xml:space="preserve">.</w:t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  <w:r>
        <w:rPr>
          <w:rFonts w:ascii="Tinos" w:hAnsi="Tinos" w:eastAsia="Tinos" w:cs="Tinos"/>
          <w:sz w:val="22"/>
          <w:szCs w:val="22"/>
          <w:highlight w:val="white"/>
          <w:lang w:eastAsia="ru-RU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sz w:val="22"/>
          <w:szCs w:val="22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4.3.7. 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ребовать уплаты неустоек (штрафов, пеней) в соотв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етствии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разделом 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настоящего Контракта.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pStyle w:val="995"/>
        <w:ind w:left="0" w:right="-144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4.3.8. Принять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решение об одностороннем отказе от исполнения контракта по основаниям, предусмотренным </w:t>
      </w:r>
      <w:hyperlink r:id="rId11" w:tooltip="https://internet.garant.ru/#/multilink/70353464/paragraph/3862/number/0" w:history="1">
        <w:r>
          <w:rPr>
            <w:rStyle w:val="978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Гражданским 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Российской Федерации для одностороннего отказа от исполнения отдельных видов обязательств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4.4. Государственный заказчик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обязан: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4.4.1. В порядке и в сроки, предусмотренные настоящим Контрактом, передать Исполнителю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 акту приема – передачи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none"/>
          <w:lang w:eastAsia="ru-RU"/>
        </w:rPr>
        <w:t xml:space="preserve">подлежащие утилизации отходы.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none"/>
          <w14:ligatures w14:val="none"/>
        </w:rPr>
        <w:t xml:space="preserve">4.4.2. 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Предоставить по запросу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документы и информацию, необходимые для исполнения обязательств по настоящему Контракту.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28" w:firstLine="567"/>
        <w:jc w:val="both"/>
        <w:spacing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4.4.3. В порядке и в сроки, установленные настоящим Контрактом, принять и оплатить оказанные надлежащим образом услуги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contextualSpacing w:val="0"/>
        <w:ind w:left="0" w:right="0" w:firstLine="567"/>
        <w:jc w:val="both"/>
        <w:spacing w:line="240" w:lineRule="auto"/>
        <w:tabs>
          <w:tab w:val="left" w:pos="-4320" w:leader="none"/>
        </w:tabs>
        <w:rPr>
          <w:rFonts w:ascii="Tinos" w:hAnsi="Tinos" w:cs="Tinos"/>
          <w:color w:val="000000" w:themeColor="text1"/>
          <w14:ligatures w14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4.4.4. 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Провести экспертизу результатов оказанных услуг,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Контрактом,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14:ligatures w14:val="none"/>
        </w:rPr>
      </w:r>
      <w:r>
        <w:rPr>
          <w:rFonts w:ascii="Tinos" w:hAnsi="Tinos" w:cs="Tinos"/>
          <w:color w:val="000000" w:themeColor="text1"/>
          <w14:ligatures w14:val="none"/>
        </w:rPr>
      </w:r>
    </w:p>
    <w:p>
      <w:pPr>
        <w:pStyle w:val="970"/>
        <w:contextualSpacing w:val="0"/>
        <w:ind w:right="0"/>
        <w:jc w:val="center"/>
        <w:spacing w:before="120" w:after="0" w:line="120" w:lineRule="auto"/>
        <w:rPr>
          <w:rFonts w:ascii="Tinos" w:hAnsi="Tinos" w:eastAsia="Tinos" w:cs="Tinos"/>
          <w:sz w:val="16"/>
          <w:szCs w:val="16"/>
          <w:highlight w:val="none"/>
        </w:rPr>
        <w:suppressLineNumbers w:val="0"/>
      </w:pP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  <w:r>
        <w:rPr>
          <w:rFonts w:ascii="Tinos" w:hAnsi="Tinos" w:eastAsia="Tinos" w:cs="Tinos"/>
          <w:sz w:val="16"/>
          <w:szCs w:val="16"/>
          <w:highlight w:val="none"/>
        </w:rPr>
      </w:r>
    </w:p>
    <w:p>
      <w:pPr>
        <w:contextualSpacing/>
        <w:ind w:left="0" w:right="0" w:firstLine="0"/>
        <w:jc w:val="center"/>
        <w:spacing w:after="0" w:line="240" w:lineRule="auto"/>
        <w:widowControl w:val="off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  <w:t xml:space="preserve">5. Порядок приемки оказанных услуг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 факту оказания услуг Исполнитель в течение 5 (пяти) рабочих дней составляет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 предоставляет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одним из следующих способов:</w:t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5.1.1. На бумажном носителе: Исполнитель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собственноручной подписью уполномоченного лица, скрепляет печатью (при наличии) и направляет/передает на бумажном носителе на подписание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  <w:t xml:space="preserve">5.1.2. 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виде электронного документа: 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подписывает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 о приемке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электронной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подписью уполномоченного лица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направляет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в виде электронного документа в системе электронного документооборота (ЭДО) на подписание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Государственному заказчику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  <w:r>
        <w:rPr>
          <w:rFonts w:ascii="Tinos" w:hAnsi="Tinos" w:eastAsia="Tinos" w:cs="Tinos"/>
          <w:color w:val="000000" w:themeColor="text1"/>
          <w:sz w:val="22"/>
          <w:szCs w:val="22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5.2.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 документу о приемке Исполнитель прилагает документы: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счет на оплату,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 счет-фактуру (при наличии); 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кт об утилизации.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  <w14:ligatures w14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5.3. Государственный заказчик проводит проверку оказанных услуг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на предмет соответствия условиям настоящего Контракта и осуществляет их приемку в течение 5 (пяти) рабочих дней, следующих за днем получения документа о приемке.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5.4. При приемке оказанных услуг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Государственный заказчик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своими силами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экспертизу  на предмет их соответствия условиям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5.5. По результатам приемки, в случае соответствия оказанных услуг требован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иям Контракта, уполномоченное лицо Государственного заказчика в указанный в п. 5.3. Контракта срок в ГИИС "Электронный бюджет" подсистема ПУиО, ПУНФА (1С: Предприятие) формирует документ о приемке - Акт прие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мки оказанных услуг по форме 0510452, утвержден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ной приказом Министерства финансов Российской Федерации от 15.04.2021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государственных (муниципальных)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учреждений, и Методических указаний по их формированию и применению" (далее - Акт приемки (ф. 0510452)).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 приемки (ф. 0510452) формируется на основании данных документов Исполнителя, указанных в п. 5.1. Контракта, после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чего Акт приемки (ф. 0510452) подписыв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ается электронной подписью ответственного лица Государственного заказчика и утверждается Государственным заказчиком электронной подписью.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5.6. Одновременно с Актом приемки (ф. 0510452) Государственным заказчиком подписывае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тся документ о приемке, указанный в п. 5.1. Контракта, который в течение 3 (трёх) рабочих дней со дня, следующего за датой подписания, направляется/передается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5.7. Датой приемки оказанных услуг считается дата подписания Государственным заказчиком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документов о приемке, указанных в п.п. 5.1., 5.5.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5.8. В случае обнаружения недостатков оказанных услуг представителем Государственного заказчика формируется Акт приемки (ф. 0510452) в порядке, предусмотренном п. 5.5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. Контракта, в котором отражаются выявленные несоответствия оказанных услуг условиям Контракта.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  <w:t xml:space="preserve">Одновременно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Актом приемки (ф. 0510452) Государственным заказчиком составляется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оказанных услуг.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5.9. Акт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и мотивированный отказ от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документа о приемке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3 (трёх) рабочих дней со дня, следующего за датой подписания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Акта приемки (ф. 0510452)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, направляются/передаются Исполнителю посредством почтовой связи или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телекоммуникационным канал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ам связи через оператора ЭДО.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5.10. 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После устранения Исполнителем выявленных недостатков Государственный заказчик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проводит повторную приемку оказанных услуг в срок, указанный в п. 5.3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line="240" w:lineRule="auto"/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en-US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16"/>
          <w:szCs w:val="16"/>
          <w:highlight w:val="none"/>
          <w14:ligatures w14:val="none"/>
        </w:rPr>
      </w:r>
    </w:p>
    <w:p>
      <w:pPr>
        <w:ind w:left="0" w:right="0" w:firstLine="0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yellow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6.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Ответственность сторон</w:t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  <w:r>
        <w:rPr>
          <w:rFonts w:ascii="Tinos" w:hAnsi="Tinos" w:cs="Tinos"/>
          <w:color w:val="000000" w:themeColor="text1"/>
          <w:sz w:val="22"/>
          <w:szCs w:val="22"/>
          <w:highlight w:val="yellow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6.1. Сторона, не исполнившая, или ненадлежащим образом исполнившая обязательства по настоящему Контракту, несет ответственность в соответствии с настоящим Контрактом и действующим законодательством Российской Федерации.</w:t>
      </w:r>
      <w:r>
        <w:rPr>
          <w:rFonts w:ascii="Tinos" w:hAnsi="Tinos" w:eastAsia="Tinos" w:cs="Tinos"/>
          <w:color w:val="auto"/>
          <w:sz w:val="22"/>
          <w:szCs w:val="22"/>
          <w:lang w:eastAsia="ru-RU"/>
        </w:rPr>
        <w:t xml:space="preserve"> 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6.2. 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истечения установленного Контрактом срока исполнения обязательства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 размере одной трехсотой действующей на дату уплаты пеней </w:t>
      </w:r>
      <w:hyperlink r:id="rId12" w:tooltip="https://internet.garant.ru/#/document/10180094/entry/100" w:history="1">
        <w:r>
          <w:rPr>
            <w:rStyle w:val="978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ключевой ставки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 Центрального банка Российской Федерации от не уплаченной в срок суммы. 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.3. 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Штрафы начисляются за ненадлежащее исполнение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штрафа устанавливается в</w:t>
      </w:r>
      <w:hyperlink r:id="rId13" w:tooltip="https://internet.garant.ru/#/document/71757358/entry/1000" w:history="1">
        <w:r>
          <w:rPr>
            <w:rStyle w:val="978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78"/>
            <w:rFonts w:ascii="Tinos" w:hAnsi="Tinos" w:eastAsia="Tinos" w:cs="Tinos"/>
            <w:color w:val="000000" w:themeColor="text1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 предусмотренном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остановлением Правительства РФ от 30.08.2017 № 1042.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whit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  <w:lang w:eastAsia="ru-RU"/>
        </w:rPr>
        <w:t xml:space="preserve">6.4. 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В случае просрочки исполнения Исполнителем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Исполнителем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обязательств, предусмотренных настоящим Контрактом, Государственный заказчик направляет Исполнителю требование об уплате неустоек (штрафов, пеней).</w:t>
      </w:r>
      <w:r>
        <w:rPr>
          <w:rFonts w:ascii="Tinos" w:hAnsi="Tinos" w:cs="Tinos"/>
          <w:color w:val="auto"/>
          <w:sz w:val="22"/>
          <w:szCs w:val="22"/>
          <w:highlight w:val="white"/>
        </w:rPr>
      </w:r>
      <w:r>
        <w:rPr>
          <w:rFonts w:ascii="Tinos" w:hAnsi="Tinos" w:cs="Tinos"/>
          <w:color w:val="auto"/>
          <w:sz w:val="22"/>
          <w:szCs w:val="22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.5.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Пеня начисляется за каждый день просрочки исполнения Исполнителем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 в размере одной трехсотой действующей на дату уплаты пени</w:t>
      </w:r>
      <w:hyperlink r:id="rId14" w:tooltip="https://internet.garant.ru/#/document/10180094/entry/100" w:history="1">
        <w:r>
          <w:rPr>
            <w:rStyle w:val="978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78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ключевой ставки</w:t>
        </w:r>
        <w:r>
          <w:rPr>
            <w:rStyle w:val="978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6.6. 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сполнителем обязательств (в том числе гарантийн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ого обязательства), предусмотренных Контрактом. Размер штрафа устанавливается в</w:t>
      </w:r>
      <w:hyperlink r:id="rId15" w:tooltip="https://internet.garant.ru/#/document/71757358/entry/1000" w:history="1">
        <w:r>
          <w:rPr>
            <w:rStyle w:val="978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 </w:t>
        </w:r>
        <w:r>
          <w:rPr>
            <w:rStyle w:val="978"/>
            <w:rFonts w:ascii="Tinos" w:hAnsi="Tinos" w:eastAsia="Tinos" w:cs="Tinos"/>
            <w:color w:val="auto"/>
            <w:sz w:val="22"/>
            <w:szCs w:val="22"/>
            <w:highlight w:val="white"/>
            <w:u w:val="none"/>
          </w:rPr>
          <w:t xml:space="preserve">порядке</w:t>
        </w:r>
      </w:hyperlink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предусмотренном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Постановлением Правительства РФ от 30.08.2017 N 1042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  <w:highlight w:val="none"/>
        </w:rPr>
        <w:t xml:space="preserve">6.7. </w:t>
      </w:r>
      <w:r>
        <w:rPr>
          <w:rFonts w:ascii="Tinos" w:hAnsi="Tinos" w:eastAsia="Tinos" w:cs="Tinos"/>
          <w:color w:val="auto"/>
          <w:sz w:val="22"/>
          <w:szCs w:val="22"/>
          <w:highlight w:val="white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.8. При предъявлении Государственным заказчиком требований об уплате штрафных санкций общая сумма 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неисполнение или ненадлежащее исполнение Исполнителем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.9. При предъявлении Исполнителем требований об уплате штрафных санкций общая сумма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начисленн</w:t>
      </w:r>
      <w:r>
        <w:rPr>
          <w:rFonts w:ascii="Tinos" w:hAnsi="Tinos" w:eastAsia="Tinos" w:cs="Tinos"/>
          <w:color w:val="auto"/>
          <w:sz w:val="22"/>
          <w:szCs w:val="22"/>
        </w:rPr>
        <w:t xml:space="preserve">ых</w:t>
      </w:r>
      <w:r>
        <w:rPr>
          <w:rFonts w:ascii="Tinos" w:hAnsi="Tinos" w:eastAsia="Tinos" w:cs="Tinos"/>
          <w:color w:val="auto"/>
          <w:sz w:val="22"/>
          <w:szCs w:val="22"/>
        </w:rPr>
        <w:t xml:space="preserve"> штрафных санкций за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неисполнение или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ненадлежащее исполнение Государственным заказчиком обязательств, предусмотренных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Контрактом</w:t>
      </w:r>
      <w:r>
        <w:rPr>
          <w:rFonts w:ascii="Tinos" w:hAnsi="Tinos" w:eastAsia="Tinos" w:cs="Tinos"/>
          <w:color w:val="auto"/>
          <w:sz w:val="22"/>
          <w:szCs w:val="22"/>
        </w:rPr>
        <w:t xml:space="preserve">, не может превышать цену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Контракта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</w:t>
      </w:r>
      <w:r>
        <w:rPr>
          <w:rFonts w:ascii="Tinos" w:hAnsi="Tinos" w:cs="Tinos"/>
          <w:color w:val="auto"/>
          <w:sz w:val="22"/>
          <w:szCs w:val="22"/>
        </w:rPr>
      </w:r>
      <w:r>
        <w:rPr>
          <w:rFonts w:ascii="Tinos" w:hAnsi="Tinos" w:cs="Tinos"/>
          <w:color w:val="auto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rPr>
          <w:rFonts w:ascii="Tinos" w:hAnsi="Tinos" w:cs="Tinos"/>
          <w:color w:val="auto"/>
          <w:sz w:val="22"/>
          <w:szCs w:val="22"/>
          <w:highlight w:val="none"/>
        </w:rPr>
      </w:pPr>
      <w:r>
        <w:rPr>
          <w:rFonts w:ascii="Tinos" w:hAnsi="Tinos" w:eastAsia="Tinos" w:cs="Tinos"/>
          <w:color w:val="auto"/>
          <w:sz w:val="22"/>
          <w:szCs w:val="22"/>
        </w:rPr>
        <w:t xml:space="preserve">6</w:t>
      </w:r>
      <w:r>
        <w:rPr>
          <w:rFonts w:ascii="Tinos" w:hAnsi="Tinos" w:eastAsia="Tinos" w:cs="Tinos"/>
          <w:color w:val="auto"/>
          <w:sz w:val="22"/>
          <w:szCs w:val="22"/>
        </w:rPr>
        <w:t xml:space="preserve">.10. Уплата неустойки за ненадлежащее исполнение или неисполнение предусмотренных настоящим 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Контракт</w:t>
      </w:r>
      <w:r>
        <w:rPr>
          <w:rFonts w:ascii="Tinos" w:hAnsi="Tinos" w:eastAsia="Tinos" w:cs="Tinos"/>
          <w:color w:val="auto"/>
          <w:sz w:val="22"/>
          <w:szCs w:val="22"/>
        </w:rPr>
        <w:t xml:space="preserve">ом обязательств не освобождает Стороны от исполнения принятых обязательств.</w:t>
      </w:r>
      <w:r>
        <w:rPr>
          <w:rFonts w:ascii="Tinos" w:hAnsi="Tinos" w:cs="Tinos"/>
          <w:color w:val="auto"/>
          <w:sz w:val="22"/>
          <w:szCs w:val="22"/>
          <w:highlight w:val="none"/>
        </w:rPr>
      </w:r>
      <w:r>
        <w:rPr>
          <w:rFonts w:ascii="Tinos" w:hAnsi="Tinos" w:cs="Tinos"/>
          <w:color w:val="auto"/>
          <w:sz w:val="22"/>
          <w:szCs w:val="22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16"/>
          <w:szCs w:val="16"/>
          <w:highlight w:val="none"/>
        </w:rPr>
      </w:r>
    </w:p>
    <w:p>
      <w:pPr>
        <w:ind w:left="0" w:right="0" w:firstLine="0"/>
        <w:jc w:val="center"/>
        <w:spacing w:after="0" w:line="240" w:lineRule="auto"/>
        <w:tabs>
          <w:tab w:val="left" w:pos="567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7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Обстоятельства непреодолимой силы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 Стороны освобождаются от ответственности за полное или частичное неисполнение своих обя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зательств по Контракту, если их неисполнение явилось следствием обстоятельств непреодолимой силы.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.2. Под обстоятельствами непреодолимой силы Стороны понимают т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стихийные бедствия (пожар, наводнение, землетрясение и другие стихийные бедствия)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действия и акты органов государственной власти, террористические акты, военные действия, при этом такие обстоятельства оказывают воздействие на выполнение обязательств по настоящему Контракту и подтверждены упо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лномоченными органами.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before="0"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.3. Сто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рона, у которой возникли обстоятельства непреодолимой силы, обязана в течение 5 (пяти) рабочих дней письменно информировать другую Сторону о наступлении таких обстоятельств и причинах их возникновения.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.4.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Если Сторона в отношении которой действуют обстоятельства непреодолимой силы не направит или несвоевременно направит документы, указанные в пунктах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.2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- 7.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К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онтракта другой Стороне,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то такая Сторона не вправе ссылаться на возникновение обстоятельства непреодолимой силы в целях обоснования неисполнения и (или) ненадлежаще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го исполнения обязательства по настоящему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Контракту.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709"/>
        <w:jc w:val="both"/>
        <w:keepLines w:val="0"/>
        <w:spacing w:line="240" w:lineRule="auto"/>
        <w:rPr>
          <w:rFonts w:ascii="Tinos" w:hAnsi="Tinos" w:cs="Tinos"/>
          <w:color w:val="000000" w:themeColor="text1"/>
          <w:sz w:val="16"/>
          <w:szCs w:val="16"/>
        </w:rPr>
        <w:suppressLineNumbers w:val="0"/>
      </w:pP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  <w:r>
        <w:rPr>
          <w:rFonts w:ascii="Tinos" w:hAnsi="Tinos" w:cs="Tinos"/>
          <w:color w:val="000000" w:themeColor="text1"/>
          <w:sz w:val="16"/>
          <w:szCs w:val="16"/>
        </w:rPr>
      </w:r>
    </w:p>
    <w:p>
      <w:pPr>
        <w:jc w:val="center"/>
        <w:spacing w:after="0" w:line="240" w:lineRule="auto"/>
        <w:shd w:val="clear" w:color="auto" w:fill="ffffff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pP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8</w:t>
      </w:r>
      <w:r>
        <w:rPr>
          <w:rFonts w:ascii="Tinos" w:hAnsi="Tinos" w:eastAsia="Tinos" w:cs="Tinos"/>
          <w:b/>
          <w:bCs/>
          <w:caps/>
          <w:color w:val="000000" w:themeColor="text1"/>
          <w:sz w:val="22"/>
          <w:szCs w:val="22"/>
          <w:lang w:eastAsia="ja-JP"/>
        </w:rPr>
        <w:t xml:space="preserve">.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 Порядок изменения и расторжения Контракта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8.1. 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При заключении и исполнении Контракта изменение его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существенных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условий не допускается, за исключением случаев, предусмотренных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8.2. В случае изменения существенных услови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й настоящего Контракта сторонами заключается дополнительное соглашение, которое является неотъемлемой частью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8.3. Стороны вправе не заключать дополнительное соглашение к настоящему Контракту в</w:t>
      </w: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 случае изменения места нахождения, почтового адреса, номера телефона, адреса электронной почты, банковских реквизитов (далее – реквизиты Сторон).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При этом Стороны настоящего Контракта обязаны письменно информировать друг друга об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изменении реквизитов в срок не превышающий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3 (трёх) рабочих дней с даты соответствующего изм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енения. Сторона настоящего Контракта несвоевременно или ненадлежащим образом уведомившая другую Сторону об изменении своих реквизитов несет риск наступления неблагоприятных последствий, обусловленных непринятием мер по своевременному уведомлению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другой Стороны настоящего Контракта.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lang w:eastAsia="ru-RU"/>
        </w:rPr>
        <w:t xml:space="preserve">8.4. 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8.5. Стороны 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праве принять решение об одностороннем отказе от исполнения Контракта по основаниям, предусмотренным Гражданским </w:t>
      </w:r>
      <w:hyperlink r:id="rId16" w:tooltip="consultantplus://offline/ref=F174975D8C2C2429B2BB081949B2575B8624B14B07BB5628CB5844574DtAZ8E" w:history="1">
        <w:r>
          <w:rPr>
            <w:rFonts w:ascii="Tinos" w:hAnsi="Tinos" w:eastAsia="Tinos" w:cs="Tinos"/>
            <w:color w:val="000000" w:themeColor="text1"/>
            <w:sz w:val="22"/>
            <w:szCs w:val="22"/>
          </w:rPr>
          <w:t xml:space="preserve">кодексом</w:t>
        </w:r>
      </w:hyperlink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Российской Федерации для одностороннего отказа от исполнения отдельных видов обязательств в порядке и сроки, определенные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ФЗ-44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  <w:r>
        <w:rPr>
          <w:rFonts w:ascii="Tinos" w:hAnsi="Tinos" w:cs="Tinos"/>
          <w:color w:val="000000" w:themeColor="text1"/>
          <w:spacing w:val="-4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tabs>
          <w:tab w:val="num" w:pos="0" w:leader="none"/>
        </w:tabs>
        <w:rPr>
          <w:rFonts w:ascii="Tinos" w:hAnsi="Tinos" w:cs="Tinos"/>
          <w:color w:val="000000" w:themeColor="text1"/>
          <w:spacing w:val="-4"/>
          <w:sz w:val="16"/>
          <w:szCs w:val="16"/>
        </w:rPr>
        <w:suppressLineNumbers w:val="0"/>
      </w:pPr>
      <w:r>
        <w:rPr>
          <w:rFonts w:ascii="Tinos" w:hAnsi="Tinos" w:eastAsia="Tinos" w:cs="Tinos"/>
          <w:color w:val="000000" w:themeColor="text1"/>
          <w:spacing w:val="-4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  <w:r>
        <w:rPr>
          <w:rFonts w:ascii="Tinos" w:hAnsi="Tinos" w:cs="Tinos"/>
          <w:color w:val="000000" w:themeColor="text1"/>
          <w:spacing w:val="-4"/>
          <w:sz w:val="16"/>
          <w:szCs w:val="16"/>
        </w:rPr>
      </w:r>
    </w:p>
    <w:p>
      <w:pPr>
        <w:jc w:val="center"/>
        <w:spacing w:after="0" w:line="240" w:lineRule="auto"/>
        <w:rPr>
          <w:rFonts w:ascii="Tinos" w:hAnsi="Tinos" w:cs="Tinos"/>
          <w:b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Порядок урегулирования споров 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.1.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Все споры и разногласия, возникающие при исполнении настоящего Контракта, Стороны будут стремиться урегулировать путем переговоров между ними, в том числе в претензионном порядке.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Срок рассмотрения претензии составляет 5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(пять) рабочих дней со дня ее получения.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/>
        <w:ind w:firstLine="567"/>
        <w:jc w:val="both"/>
        <w:spacing w:after="0" w:line="240" w:lineRule="auto"/>
        <w:widowControl w:val="off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.2.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В случае отсутствия мотивированного ответа по существу претензии,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претензионный порядок урегулирования спора считается соблюденным.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9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.3. 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по месту нахождения Государственного заказчика.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1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0</w:t>
      </w: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  <w:t xml:space="preserve">. Заключительные положения 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.1. 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Срок действия Контракта: 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настоящий Контракт вступает в силу с даты его заключения и действует по 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5.12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.2026</w:t>
      </w:r>
      <w:r>
        <w:rPr>
          <w:rFonts w:ascii="Tinos" w:hAnsi="Tinos" w:eastAsia="Tinos" w:cs="Tinos"/>
          <w:b/>
          <w:bCs/>
          <w:strike w:val="0"/>
          <w:color w:val="000000" w:themeColor="text1"/>
          <w:sz w:val="22"/>
          <w:szCs w:val="22"/>
          <w:u w:val="none"/>
          <w:lang w:eastAsia="ru-RU"/>
        </w:rPr>
        <w:t xml:space="preserve"> г.,</w:t>
      </w:r>
      <w:r>
        <w:rPr>
          <w:rFonts w:ascii="Tinos" w:hAnsi="Tinos" w:eastAsia="Tinos" w:cs="Tinos"/>
          <w:strike w:val="0"/>
          <w:color w:val="000000" w:themeColor="text1"/>
          <w:sz w:val="22"/>
          <w:szCs w:val="22"/>
          <w:u w:val="none"/>
          <w:lang w:eastAsia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а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части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принятых в период действия настоящего Контракта обязательств -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до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полного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2"/>
          <w:szCs w:val="22"/>
        </w:rPr>
        <w:t xml:space="preserve">исполнения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таких обязательств Сторонами.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Окончание срока действия Контракта не освобождает Стороны от ответственности за его нарушение. 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1065" w:leader="none"/>
          <w:tab w:val="left" w:pos="178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10.2. Взаимоотношения Сторон, не урегулированные настоящим Контрактом, регулируются по правилам и в порядке, установленном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pStyle w:val="968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10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3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.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 </w:t>
      </w:r>
      <w:r>
        <w:rPr>
          <w:rFonts w:ascii="Tinos" w:hAnsi="Tinos" w:eastAsia="Tinos" w:cs="Tinos"/>
          <w:caps/>
          <w:color w:val="000000" w:themeColor="text1"/>
          <w:sz w:val="22"/>
          <w:szCs w:val="22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е доп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ускается перемена Исполнителя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, за исключением случая, если новый Исполнитель является правопреемником Исполнителя по настоящему Контракту вследствие реорган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изации юридического лица в форме преобразования, слияния или присоединения.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keepLines/>
        <w:spacing w:before="0" w:after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</w:rPr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10.4. В случае перемены Государственного заказчика его права и обязанности, предусмотренные настоящим Контрактом, переходят к новому Государственному заказчику.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968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5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 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Любое уведомление, из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ещение, заявление иное юридически значимое сообщение, 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которыми закон или настоящий Контракт связывают наступление гражданско-правовых последствий, совершаются в письменной форме в соответствии с реквизитами, указанными в разделе 11 настоящего Контракта.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рамках настоящего Контракта обмен юридически значимыми сообщениями осуществляется посредством электронной почты по адресам, указанным в разделе 11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настоящего Контракта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Направлени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е документов по электронной почте должно обеспечивать наличие подтверждения доставки/прочтения направленного сообщения. При неполучении отправителем документов отметки о невозможности доставки электронного сообщения, такое сообщение считается доставленным.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Указанные юри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дически значимые сообщения дополнительно могут быть переданы другой Стороне путем вручения под расписку уполномоченному представителю Стороны либо путем направления с использованием почтовой (заказное или с объявленной ценностью) или курьерской связи.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В случае направления документов с использованием почтовой или курьерской связи такие документы будут считаться полученными другой стор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  <w:t xml:space="preserve">оной с момента, обозначенного в отчете о доставке. При невозможности вручения документа, направленного с использованием почтовой связи, документ, считается доставленным, если он поступил адресату, но по обстоятельствам зависящим от него не был ему вручен.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ar-SA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В случаях внесения изменений в условия настоящего Контракта, его расторжения, а также направления первичных учетных документов обмен оригинальными документами обязателен.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968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b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.6. С момента подписания Сторонами настоящего Контракта вся предшествующая переписка по вопросам, так или иначе касающимся предмета настоящего Контракта, теряют свою силу.</w:t>
      </w:r>
      <w:r>
        <w:rPr>
          <w:rFonts w:ascii="Tinos" w:hAnsi="Tinos" w:cs="Tinos"/>
          <w:b/>
          <w:color w:val="000000" w:themeColor="text1"/>
          <w:sz w:val="22"/>
          <w:szCs w:val="22"/>
        </w:rPr>
      </w:r>
      <w:r>
        <w:rPr>
          <w:rFonts w:ascii="Tinos" w:hAnsi="Tinos" w:cs="Tinos"/>
          <w:b/>
          <w:color w:val="000000" w:themeColor="text1"/>
          <w:sz w:val="22"/>
          <w:szCs w:val="22"/>
        </w:rPr>
      </w:r>
    </w:p>
    <w:p>
      <w:pPr>
        <w:pStyle w:val="968"/>
        <w:ind w:left="0" w:right="0" w:firstLine="567"/>
        <w:jc w:val="both"/>
        <w:spacing w:after="0" w:afterAutospacing="0" w:line="240" w:lineRule="auto"/>
        <w:widowControl/>
        <w:tabs>
          <w:tab w:val="left" w:pos="851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7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. Все приложения и дополнения являются неотъемлемой частью Контракта.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  <w:suppressLineNumbers w:val="0"/>
      </w:pPr>
      <w:r>
        <w:rPr>
          <w:rFonts w:ascii="Tinos" w:hAnsi="Tinos" w:eastAsia="Tinos" w:cs="Tinos"/>
          <w:color w:val="000000" w:themeColor="text1"/>
          <w:sz w:val="22"/>
          <w:szCs w:val="22"/>
          <w:lang w:eastAsia="ar-SA"/>
        </w:rPr>
        <w:t xml:space="preserve">10.8. 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Обмен документами между Сторонами может происходить в сис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ar-SA"/>
        </w:rPr>
        <w:t xml:space="preserve">теме ЭДО. Стороны признают юридическую силу за документами, подписанными электроной подписью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709"/>
        <w:jc w:val="both"/>
        <w:spacing w:after="0" w:afterAutospacing="0" w:line="240" w:lineRule="auto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b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Приложения: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1. «Описание объекта закупки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jc w:val="left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2. </w:t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«А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кт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приема-передачи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отходов на утилизацию».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p>
      <w:pPr>
        <w:ind w:left="426"/>
        <w:jc w:val="left"/>
        <w:spacing w:line="240" w:lineRule="auto"/>
        <w:tabs>
          <w:tab w:val="left" w:pos="142" w:leader="none"/>
          <w:tab w:val="left" w:pos="993" w:leader="none"/>
          <w:tab w:val="left" w:pos="1276" w:leader="none"/>
        </w:tabs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970"/>
        <w:spacing w:before="12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11. Реквизиты и подписи Сторон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5242"/>
        <w:gridCol w:w="4677"/>
      </w:tblGrid>
      <w:tr>
        <w:tblPrEx/>
        <w:trPr>
          <w:trHeight w:val="71"/>
        </w:trPr>
        <w:tc>
          <w:tcPr>
            <w:tcW w:w="5242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0" w:line="36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Государственный заказчик: 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71"/>
        </w:trPr>
        <w:tc>
          <w:tcPr>
            <w:tcW w:w="5242" w:type="dxa"/>
            <w:textDirection w:val="lrTb"/>
            <w:noWrap w:val="false"/>
          </w:tcPr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Управление Федеральной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службы</w:t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государственной регистрации, </w:t>
            </w: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кадастра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  <w:lang w:eastAsia="zh-CN"/>
              </w:rPr>
              <w:t xml:space="preserve">и картографии по Курганской области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Юридический и почтовый адрес: 640020, Курганская область, г. Курган, ул. Куйбышева, д. 28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тел. /факс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(3522) 41-95-41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, 41-95-58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41-95-02, 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ИНН 4501111750  КПП 450101001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i w:val="0"/>
                <w:iCs w:val="0"/>
                <w:color w:val="000000" w:themeColor="text1"/>
                <w:sz w:val="22"/>
                <w:szCs w:val="22"/>
              </w:rPr>
              <w:t xml:space="preserve">Банковские реквизиты:</w:t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i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Управление Федерального казначейства по Новосибирской области (Управление Федеральной службы государственной регистрации, кадастра и картографии по Курганской области,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/с 03431W00530)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Сч.  03211643000000015110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ОКЦ № 1 Сибирского ГУ Банка России //УФК по Новосибирской области, г. Новосибирск</w:t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bCs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БИК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 015004950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Сч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lang w:val="ru-RU"/>
              </w:rPr>
              <w:t xml:space="preserve">.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14:ligatures w14:val="none"/>
              </w:rPr>
            </w:r>
          </w:p>
          <w:p>
            <w:pPr>
              <w:contextualSpacing/>
              <w:jc w:val="left"/>
              <w:spacing w:after="0"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Адрес эл. почты: </w:t>
            </w:r>
            <w:hyperlink r:id="rId17" w:tooltip="mailto:odr@r45.rosreestr.ru" w:history="1"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  <w:lang w:val="en-US"/>
                </w:rPr>
                <w:t xml:space="preserve">odr</w:t>
              </w:r>
              <w:r>
                <w:rPr>
                  <w:rFonts w:ascii="Tinos" w:hAnsi="Tinos" w:eastAsia="Tinos" w:cs="Tinos"/>
                  <w:color w:val="000000" w:themeColor="text1"/>
                  <w:sz w:val="22"/>
                  <w:szCs w:val="22"/>
                  <w:u w:val="single"/>
                </w:rPr>
                <w:t xml:space="preserve">@r45.rosreestr.ru</w:t>
              </w:r>
            </w:hyperlink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u w:val="singl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</w:rPr>
              <w:t xml:space="preserve">Руководитель: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contextualSpacing/>
              <w:jc w:val="left"/>
              <w:spacing w:line="240" w:lineRule="auto"/>
              <w:rPr>
                <w:rFonts w:ascii="Tinos" w:hAnsi="Tinos" w:cs="Tinos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__________________ </w:t>
            </w: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 /___________________/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pt-BR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№1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center"/>
        <w:spacing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</w:rPr>
        <w:t xml:space="preserve">Описание объекта закупки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left"/>
        <w:spacing w:line="240" w:lineRule="auto"/>
        <w:rPr>
          <w:rFonts w:ascii="Tinos" w:hAnsi="Tinos" w:cs="Tinos"/>
          <w:color w:val="000000" w:themeColor="text1"/>
          <w:sz w:val="16"/>
          <w:szCs w:val="16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  <w:r>
        <w:rPr>
          <w:rFonts w:ascii="Tinos" w:hAnsi="Tinos" w:cs="Tinos"/>
          <w:color w:val="000000" w:themeColor="text1"/>
          <w:sz w:val="16"/>
          <w:szCs w:val="16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.1.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тав оказываемых услуг: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 сбор, транспортирование и утилизация 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нефинансовых активов, не относящихся к нефинансовым активам в сфере информационно-коммуникационных технологий</w:t>
      </w:r>
      <w:r>
        <w:rPr>
          <w:rFonts w:ascii="Tinos" w:hAnsi="Tinos" w:eastAsia="Tinos" w:cs="Tinos"/>
          <w:b w:val="0"/>
          <w:bCs w:val="0"/>
          <w:sz w:val="22"/>
          <w:szCs w:val="22"/>
          <w:lang w:eastAsia="ru-RU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1.2. 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Срок оказания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в течение 2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0 (двадцати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) рабочих дней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с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даты заключения Контракта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1.3.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л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г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х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ж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н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объектов утилизации отходов, соответствующих требованиям действующего законодательства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1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none"/>
          <w:lang w:eastAsia="en-US"/>
        </w:rPr>
        <w:t xml:space="preserve">.4.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Место сбора отходов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: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Российская Федерация,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Курганская область, г. Курган, ул. Куйбышева, 28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и Российская Федерация, Курганская обл., г. Курган, ул. Омская, д. 80 Б.</w:t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b w:val="0"/>
          <w:bCs w:val="0"/>
          <w:color w:val="000000" w:themeColor="text1"/>
          <w:sz w:val="22"/>
          <w:szCs w:val="22"/>
          <w:highlight w:val="white"/>
        </w:rPr>
      </w:r>
    </w:p>
    <w:p>
      <w:pPr>
        <w:ind w:left="0" w:right="0" w:firstLine="567"/>
        <w:jc w:val="both"/>
        <w:spacing w:line="240" w:lineRule="auto"/>
        <w:tabs>
          <w:tab w:val="left" w:pos="425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1.5. 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П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р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я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д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о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к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зания услуг: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highlight w:val="white"/>
        </w:rPr>
        <w:t xml:space="preserve"> 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Исполнитель уведомляет Государственного заказчика о предполагаемой дате передачи отходов не менее чем за 1 (один) рабочий день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Отходы передаются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от Государственного заказчика к Исполнителю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путем оформления акта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приема-передачи отходов (Приложение № 2 к настоящему Контракту).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П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риемка-передача отходов производится в рабочие дни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понедельник – четверг с 8-30 до 16-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(время местное), пятница 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с 8-30 до 15-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00 часов (время местное)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</w:rPr>
        <w:t xml:space="preserve"> обеденный перерыв с 12-00 до 13-00 часов</w:t>
      </w:r>
      <w:r>
        <w:rPr>
          <w:rFonts w:ascii="Tinos" w:hAnsi="Tinos" w:eastAsia="Tinos" w:cs="Tinos"/>
          <w:b w:val="0"/>
          <w:bCs w:val="0"/>
          <w:color w:val="000000" w:themeColor="text1"/>
          <w:sz w:val="22"/>
          <w:szCs w:val="22"/>
          <w:lang w:eastAsia="en-US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Погрузка отходов с территории Государственного заказчика и их доставка до места утилизации обеспечивается Исполнителем.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Исполнитель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несет все расходы, связанные с погрузкой, разгру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з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кой и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доставкой отходов 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до места их утилизации.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После подписания акта приема-передачи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отходов Исполнитель принимает на себя всю ответственность за дальнейшее обращение с имуществом Государственного заказчика,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утратившим свои потребительские свойства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,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а также с отходами, образовавшимися в результате его утилизации, в соответствии с действующим законодательством Российской Федерации.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whit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По итогу оказания услуг Исполнитель предоставляет Государственному заказчику документ о приемке,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счет на оплату;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счет-фактуру (при наличии), 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  <w:lang w:eastAsia="en-US"/>
        </w:rPr>
        <w:t xml:space="preserve">кт об утилизации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 указанием наименования и инвентарного номера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и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м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у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щ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е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с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т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в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а</w:t>
      </w:r>
      <w:r>
        <w:rPr>
          <w:rFonts w:ascii="Tinos" w:hAnsi="Tinos" w:eastAsia="Tinos" w:cs="Tinos"/>
          <w:color w:val="000000" w:themeColor="text1"/>
          <w:sz w:val="22"/>
          <w:szCs w:val="22"/>
          <w:highlight w:val="white"/>
        </w:rPr>
        <w:t xml:space="preserve">.</w:t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  <w:r>
        <w:rPr>
          <w:rFonts w:ascii="Tinos" w:hAnsi="Tinos" w:cs="Tinos"/>
          <w:color w:val="000000" w:themeColor="text1"/>
          <w:sz w:val="22"/>
          <w:szCs w:val="22"/>
          <w:highlight w:val="whit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color w:val="000000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yellow"/>
          <w:lang w:eastAsia="en-US"/>
        </w:rPr>
      </w: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1.6. Требования к услугам:</w:t>
      </w:r>
      <w:r>
        <w:rPr>
          <w:rFonts w:ascii="Tinos" w:hAnsi="Tinos" w:eastAsia="Tinos" w:cs="Tinos"/>
          <w:sz w:val="22"/>
          <w:szCs w:val="22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Качество, результат и безопасность оказанных услуг должны соответствовать обязательным требованиям нормативно – правовых актов Российской Федерации и 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условия</w:t>
      </w:r>
      <w:r>
        <w:rPr>
          <w:rFonts w:ascii="Tinos" w:hAnsi="Tinos" w:eastAsia="Tinos" w:cs="Tinos"/>
          <w:color w:val="000000"/>
          <w:sz w:val="22"/>
          <w:szCs w:val="22"/>
        </w:rPr>
        <w:t xml:space="preserve">м Контракта.</w:t>
      </w:r>
      <w:r>
        <w:rPr>
          <w:rFonts w:ascii="Tinos" w:hAnsi="Tinos" w:cs="Tinos"/>
          <w:color w:val="000000"/>
          <w:sz w:val="22"/>
          <w:szCs w:val="22"/>
          <w:highlight w:val="none"/>
        </w:rPr>
      </w:r>
      <w:r>
        <w:rPr>
          <w:rFonts w:ascii="Tinos" w:hAnsi="Tinos" w:cs="Tinos"/>
          <w:color w:val="000000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Исполнитель обеспечивает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утилизацию отходов с соблюдением требований действующего законодательства Российской Федерации, выполнение необходимых мероприятий по технике безопасности, противопожарной безопасности, охране окружающей среды.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contextualSpacing w:val="0"/>
        <w:ind w:left="0" w:right="0" w:firstLine="567"/>
        <w:jc w:val="both"/>
        <w:spacing w:before="0" w:after="0" w:line="240" w:lineRule="auto"/>
        <w:rPr>
          <w:rFonts w:ascii="Tinos" w:hAnsi="Tinos" w:cs="Tinos"/>
          <w:sz w:val="22"/>
          <w:szCs w:val="22"/>
          <w:highlight w:val="none"/>
        </w:rPr>
        <w:suppressLineNumbers w:val="0"/>
      </w:pPr>
      <w:r>
        <w:rPr>
          <w:rFonts w:ascii="Tinos" w:hAnsi="Tinos" w:eastAsia="Tinos" w:cs="Tinos"/>
          <w:color w:val="000000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lang w:eastAsia="ar-SA"/>
        </w:rPr>
        <w:t xml:space="preserve">Исполнитель гарантирует, что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отходы не будут вывезены на несанкционированные свалки и захоронены на полигонах ТБО без переработки.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  <w:t xml:space="preserve">1.7.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</w:rPr>
        <w:t xml:space="preserve">Перечень отходов</w:t>
      </w:r>
      <w:r>
        <w:rPr>
          <w:rFonts w:ascii="Tinos" w:hAnsi="Tinos" w:eastAsia="Tinos" w:cs="Tinos"/>
          <w:b/>
          <w:color w:val="000000" w:themeColor="text1"/>
          <w:sz w:val="22"/>
          <w:szCs w:val="22"/>
        </w:rPr>
        <w:t xml:space="preserve">, подлежащих утилизации: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Style w:val="825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3605"/>
        <w:gridCol w:w="1440"/>
        <w:gridCol w:w="1984"/>
        <w:gridCol w:w="1901"/>
      </w:tblGrid>
      <w:tr>
        <w:tblPrEx/>
        <w:trPr>
          <w:trHeight w:val="296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металлопластик 3,0м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 550х850х750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Флажок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"Каменистый берег"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0101068851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0101068701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Табурет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Эл. счетчик 1ф. СО-И 6106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4 82 151 11 52 4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Молоток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надфилей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3-х гран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кругл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Напильник плоск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м/б/стойкая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RITTAL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0010400037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из голубого капрона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Рюкзак "Соло"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Смеситель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"Береза.вода"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"Зимний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"Зимний пейзаж" средн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"Лес,вода"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"Летний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Картина "Сосновый бор"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2,1 х 1,05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0101069886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0,56 м х 0,8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0101069611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Умывальник оцинков.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на адм.здание УФРС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письм.1,2/модуль 1ббч/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0101060421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Светильник "Бета" серебро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Автомат.эл.разрядник JSJ-808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3 35 792 11 20 4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Антенна ONES MS-3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Антенна телевизионная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Блок питания  Скат-2400 (24В, 3А)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Видеокамера SONY DCR-НC 32E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0101040099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Воздухоочиститель Hansa HAP-2004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4 82 515 11 52 4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Диктофон Samsung SVR-S820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0001380457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Диктофон"Sony"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0101060363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Радиостанция "Урал"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4 81 338 21 52 4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Рукосушка Technoterm HT1200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Сушка для рук Ballu GSX 1800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0101067893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Тепловая завеса " Тропик" ВТЗ-3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0101040022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4 82 526 51 52 4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Уничтожитель бумаги Fellowes M-6с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4 82 823 71 52 4 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Экран проекционный PROJECTA  180х180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Бак эмалированный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М000101126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0101067775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2,5*4,6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0001016081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2х3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0101080962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Ковер 3х4,2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0101080960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Насос Водолей -3 ЗЖ 16м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Настольный брошюровочно-переплетный станок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Отвертка пл с дер ручкой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Портфель Аудитор СПБ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0101060007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Сейф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Сейф огнестойкий VALBERG"FRS-30 EL" эл.замок и ключ 290305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Стремянка металлическая марки СТ-6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М100101615 -1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Сумка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"D" горизонтальный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Чехол Euro-Line LuxWide для  iPhone4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из белого льна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 с ламбрикеном/тюль-бел.,портьера-з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Шторы/ламбрикен персик.капрон с кружевом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0101080668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CD-плеер PIONER DEN-P3700 MP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BBK DV 615 SI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BBK DV 615 SI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0101048445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DVD-плеер Sony DVP-NS 36/S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Брифинг-приставка 1400*700*750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Жалюзи вертикальные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Зеркало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Информационная фасадная табличка (500мм*600мм)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5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12р двойное питание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Карниз пластиковый (3 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"Пилот-у"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GERMES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настольный GALANT "Senator"  из дерева, 7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Надстройка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Пенал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под телевизор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Проигрыватель DVD Proiogy DVS 1340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Радиоприемник "Россия"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Светильник "Дельта" с АПП серый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0101069541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0101068414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0101068415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Стеллаж с ячейками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Стенка гарнитур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Стенка из двух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0101060475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0101064778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0101060954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010600113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0101067397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для совещаний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0010600037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М-4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0101062454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офисный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0101060899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0101067595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0101061783-5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0101062652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с приставкой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0101061840-1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0101061840- 2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"Престиж"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0101061786-2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 C5(н)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ISO кожзам.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 к/з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Схема эвакуации ф. А-3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0101061784-5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0101068567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приставная с ящиками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0101061852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Тумба-горка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Чайник BOSCH 1102 N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4 82 524 11 52 4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0001630062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д/книг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 бумаг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0001630145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0101061092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0101060026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0101061377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Шкаф плательный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0101067459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Элемент угловой декоративный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0101063097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Система автоматического пожаротушения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321110000480000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Система охранно-пожарной сигнализации (гараж)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321110000510000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Рукав пожарный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0101068628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Кулер для воды YLR0.7-5-10T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4 82 524 21 52 4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Сумка Panas 049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 SD-210 10разряд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Блок питания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Приемник России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Dospel Вентилятор NV 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Вентилятор ELENBERG FS-4016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00-000000000002095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Вентилятор напольный MEIER MSF 1637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00-000000000006584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 (1300мм*900мм)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00-000000000009088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 (3000мм*6000мм)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00-000000000009087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Информационный стенд с карманами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Калькулятор CITIZEN SDC-620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00-000000000006834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48281211524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0101063903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"Комфорт"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00-000000000002700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"Пилот"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0101068111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0101068079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Кресло руководителя Dallas 994M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Набор офисный  PROTEGE 400548 мрамор т-зеленый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00-000000000002932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Подставка д/календ  PROTEGE Antigue 727405 тем.зел.мрамор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президиума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0101061631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Радиоприемник "Лира"РП-248 УКВ1/УКВ2; 8ФН (220В/4, 5В)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48143191524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1,25 м х 0,95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0101069302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0101068323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00-000000000004108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0101069227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Стол комп.VIP 1100x500x690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0101067573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"Венский"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00-000000000003844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00-000000000003862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0101063902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Тумба выкатная VIP 430x500x500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0101060972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0101061717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0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Часы Ref 934 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0101062018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48158111524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11"/>
        </w:trPr>
        <w:tc>
          <w:tcPr>
            <w:tcW w:w="4785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Должность: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_______________________ /____________________/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850" w:right="850" w:bottom="850" w:left="1134" w:header="709" w:footer="709" w:gutter="0"/>
          <w:cols w:num="1" w:sep="0" w:space="708" w:equalWidth="1"/>
          <w:docGrid w:linePitch="360"/>
        </w:sect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  <w:r/>
    </w:p>
    <w:p>
      <w:pPr>
        <w:jc w:val="right"/>
        <w:spacing w:line="240" w:lineRule="auto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Приложение № 2 </w:t>
      </w:r>
      <w:r>
        <w:rPr>
          <w:rFonts w:ascii="Tinos" w:hAnsi="Tinos" w:eastAsia="Tinos" w:cs="Tinos"/>
          <w:sz w:val="22"/>
          <w:szCs w:val="22"/>
        </w:rPr>
        <w:br/>
        <w:t xml:space="preserve">к Контракту № ___</w:t>
      </w:r>
      <w:r>
        <w:rPr>
          <w:rFonts w:ascii="Tinos" w:hAnsi="Tinos" w:eastAsia="Tinos" w:cs="Tinos"/>
          <w:sz w:val="22"/>
          <w:szCs w:val="22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от  «</w:t>
      </w:r>
      <w:r>
        <w:rPr>
          <w:rFonts w:ascii="Tinos" w:hAnsi="Tinos" w:eastAsia="Tinos" w:cs="Tinos"/>
          <w:sz w:val="22"/>
          <w:szCs w:val="22"/>
        </w:rPr>
        <w:t xml:space="preserve">___» ________ 2026 г.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jc w:val="right"/>
        <w:spacing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</w:p>
    <w:p>
      <w:pPr>
        <w:ind w:left="0" w:right="0" w:firstLine="567"/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АКТ </w:t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</w:r>
    </w:p>
    <w:p>
      <w:pPr>
        <w:ind w:left="0" w:right="0" w:firstLine="567"/>
        <w:jc w:val="center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  <w:lang w:eastAsia="ar-SA"/>
        </w:rPr>
        <w:t xml:space="preserve">приема-передачи отходов на утилизацию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highlight w:val="none"/>
          <w:lang w:eastAsia="ru-RU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b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Курганской области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, действующее от имени Российской Федерации, именуемое в дальнейшем 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«Государственный заказчик</w:t>
      </w:r>
      <w:r>
        <w:rPr>
          <w:rFonts w:ascii="Tinos" w:hAnsi="Tinos" w:eastAsia="Tinos" w:cs="Tinos"/>
          <w:b/>
          <w:bCs/>
          <w:sz w:val="22"/>
          <w:szCs w:val="22"/>
          <w:lang w:eastAsia="en-US"/>
        </w:rPr>
        <w:t xml:space="preserve">»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,</w:t>
      </w:r>
      <w:r>
        <w:rPr>
          <w:rFonts w:ascii="Tinos" w:hAnsi="Tinos" w:eastAsia="Tinos" w:cs="Tinos"/>
          <w:b/>
          <w:sz w:val="22"/>
          <w:szCs w:val="22"/>
          <w:lang w:eastAsia="en-US"/>
        </w:rPr>
        <w:t xml:space="preserve"> </w:t>
      </w:r>
      <w:r>
        <w:rPr>
          <w:rFonts w:ascii="Tinos" w:hAnsi="Tinos" w:eastAsia="Tinos" w:cs="Tinos"/>
          <w:sz w:val="22"/>
          <w:szCs w:val="22"/>
        </w:rPr>
        <w:t xml:space="preserve">в лице </w:t>
      </w:r>
      <w:r>
        <w:rPr>
          <w:rFonts w:ascii="Tinos" w:hAnsi="Tinos" w:eastAsia="Tinos" w:cs="Tinos"/>
          <w:color w:val="000000" w:themeColor="text1"/>
          <w:spacing w:val="-2"/>
          <w:sz w:val="22"/>
          <w:szCs w:val="22"/>
          <w:lang w:eastAsia="ru-RU"/>
        </w:rPr>
        <w:t xml:space="preserve">заместителя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руководителя</w:t>
      </w:r>
      <w:r>
        <w:rPr>
          <w:rFonts w:ascii="Tinos" w:hAnsi="Tinos" w:eastAsia="Tinos" w:cs="Tinos"/>
          <w:color w:val="000000" w:themeColor="text1"/>
          <w:sz w:val="22"/>
          <w:szCs w:val="22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Яношука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Евгения Викторовича, действующего на основании Приказа Федеральной службы государственной регистрации, кадастра и картографии № 11-к от 19.01.2018 г. и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доверенности №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от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13.01.2026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en-US"/>
        </w:rPr>
        <w:t xml:space="preserve"> г.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sz w:val="22"/>
          <w:szCs w:val="22"/>
          <w:lang w:eastAsia="en-US"/>
        </w:rPr>
        <w:t xml:space="preserve">с одной стороны, 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  <w:highlight w:val="none"/>
        </w:rPr>
      </w:pP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и 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_______________________________________, 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 именуемое в дальнейшем 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«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Исполнитель</w:t>
      </w:r>
      <w:r>
        <w:rPr>
          <w:rFonts w:ascii="Tinos" w:hAnsi="Tinos" w:eastAsia="Tinos" w:cs="Tinos"/>
          <w:b/>
          <w:bCs/>
          <w:color w:val="000000" w:themeColor="text1"/>
          <w:sz w:val="22"/>
          <w:szCs w:val="22"/>
          <w:lang w:eastAsia="ru-RU"/>
        </w:rPr>
        <w:t xml:space="preserve">»</w:t>
      </w:r>
      <w:r>
        <w:rPr>
          <w:rFonts w:ascii="Tinos" w:hAnsi="Tinos" w:eastAsia="Tinos" w:cs="Tinos"/>
          <w:color w:val="000000" w:themeColor="text1"/>
          <w:sz w:val="22"/>
          <w:szCs w:val="22"/>
          <w:lang w:eastAsia="ru-RU"/>
        </w:rPr>
        <w:t xml:space="preserve">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в лице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bidi="ru-RU"/>
        </w:rPr>
        <w:t xml:space="preserve"> __________________________________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, действующего на основании ______________,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ru-RU" w:bidi="ru-RU"/>
        </w:rPr>
        <w:t xml:space="preserve">с другой стороны, вместе именуемые Стороны, </w:t>
      </w:r>
      <w:r>
        <w:rPr>
          <w:rFonts w:ascii="Tinos" w:hAnsi="Tinos" w:eastAsia="Tinos" w:cs="Tinos"/>
          <w:color w:val="000000" w:themeColor="text1"/>
          <w:sz w:val="22"/>
          <w:szCs w:val="22"/>
          <w:lang w:val="ru-RU" w:eastAsia="en-US" w:bidi="ru-RU"/>
        </w:rPr>
        <w:t xml:space="preserve">составили настоящий Акт к государственному контракту № от «__» _________________ 2026 г.</w:t>
      </w:r>
      <w:r>
        <w:rPr>
          <w:rFonts w:ascii="Tinos" w:hAnsi="Tinos" w:eastAsia="Tinos" w:cs="Tinos"/>
          <w:color w:val="000000" w:themeColor="text1"/>
          <w:sz w:val="22"/>
          <w:szCs w:val="22"/>
          <w:lang w:val="en-US" w:eastAsia="en-US"/>
        </w:rPr>
        <w:t xml:space="preserve"> о нижеследующем:</w:t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cs="Tinos"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pStyle w:val="811"/>
        <w:numPr>
          <w:ilvl w:val="0"/>
          <w:numId w:val="32"/>
        </w:numPr>
        <w:ind w:left="0" w:right="0" w:firstLine="567"/>
        <w:jc w:val="both"/>
        <w:spacing w:after="0" w:line="240" w:lineRule="auto"/>
        <w:tabs>
          <w:tab w:val="left" w:pos="850" w:leader="none"/>
        </w:tabs>
        <w:rPr>
          <w:rFonts w:ascii="Tinos" w:hAnsi="Tinos" w:cs="Tinos"/>
          <w:color w:val="000000" w:themeColor="text1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Государственный заказчик передал, а Исполнитель принял следующие отходы:</w:t>
      </w:r>
      <w:r>
        <w:rPr>
          <w:rFonts w:ascii="Tinos" w:hAnsi="Tinos" w:cs="Tinos"/>
          <w:color w:val="000000" w:themeColor="text1"/>
          <w:sz w:val="22"/>
          <w:szCs w:val="22"/>
        </w:rPr>
      </w:r>
      <w:r>
        <w:rPr>
          <w:rFonts w:ascii="Tinos" w:hAnsi="Tinos" w:cs="Tinos"/>
          <w:color w:val="000000" w:themeColor="text1"/>
          <w:sz w:val="22"/>
          <w:szCs w:val="22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Style w:val="825"/>
        <w:tblW w:w="0" w:type="auto"/>
        <w:tblLayout w:type="fixed"/>
        <w:tblLook w:val="04A0" w:firstRow="1" w:lastRow="0" w:firstColumn="1" w:lastColumn="0" w:noHBand="0" w:noVBand="1"/>
      </w:tblPr>
      <w:tblGrid>
        <w:gridCol w:w="1275"/>
        <w:gridCol w:w="3322"/>
        <w:gridCol w:w="1440"/>
        <w:gridCol w:w="1984"/>
        <w:gridCol w:w="1901"/>
      </w:tblGrid>
      <w:tr>
        <w:tblPrEx/>
        <w:trPr>
          <w:trHeight w:val="296"/>
        </w:trPr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№ п/п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Наименование нефинансовых активов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Количество, шт.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Инвентарный номер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c2d59a" w:fill="c2d59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c3d69b" w:themeColor="accent3" w:themeTint="99" w:fill="c3d69b" w:themeFill="accent3" w:themeFillTint="99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ФККО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металлопластик 3,0м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Брифинг-приставка 550х850х750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Флажок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 горизонтальные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"Каменистый берег"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0101068851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0101068701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Табурет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Эл. счетчик 1ф. СО-И 6106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4 82 151 11 52 4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Молоток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надфилей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3-х гран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кругл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Напильник плоск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комбинир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крест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Отвертка м/б/стойкая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Плоскогубцы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RITTAL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0010400037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Шторы из голубого капрона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Рюкзак "Соло"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Смеситель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"Береза.вода"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"Зимний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"Зимний пейзаж" средн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"Лес,вода"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"Летний пейзаж"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Картина "Сосновый бор"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Карниз пластиковый (3 метра)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2,1 х 1,05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0101069886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Брифинг-приставка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0,56 м х 0,8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0101069611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Умывальник оцинков.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на адм.здание УФРС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письм.1,2/модуль 1ббч/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0101060421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Светильник "Бета" серебро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3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Автомат.эл.разрядник JSJ-808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3 35 792 11 20 4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Антенна ONES MS-3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Антенна телевизионная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4 81 363 11 52 4 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Блок питания  Скат-2400 (24В, 3А)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0101048449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Видеокамера SONY DCR-НC 32E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0101040099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4 81 433 11 52 4 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Воздухоочиститель Hansa HAP-2004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4 82 515 11 52 4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Диктофон Samsung SVR-S820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0001380457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Диктофон"Sony"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0101060363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4 81 432 21 52 4 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Радиостанция "Урал"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4 81 338 21 52 4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Рукосушка Technoterm HT1200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Сушка для рук Ballu GSX 1800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0101067893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4 82 523 21 52 4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Тепловая завеса " Тропик" ВТЗ-3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0101040022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4 82 526 51 52 4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Уничтожитель бумаги Fellowes M-6с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4 82 823 71 52 4 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Урна для мусора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4 34 120 03 51 5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Экран проекционный PROJECTA  180х180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Бак эмалированный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М000101126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0101067773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Жалюзи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0101067775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4 62 200 01 51 5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Зубило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4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Ковер 2,5*4,6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0001016081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Ковер 2х3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0101080962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Ковер 3х4,2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0101080960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Насос Водолей -3 ЗЖ 16м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0101061773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Настольный брошюровочно-переплетный станок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0101062081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комбинир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89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крест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Отвертка пл с дер ручкой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Плоскогубцы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Портфель Аудитор СПБ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0101060007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Сейф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Сейф огнестойкий VALBERG"FRS-30 EL" эл.замок и ключ 290305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0101061818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Стремянка металлическая марки СТ-6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М100101615 -1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Сумка для документов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"D" горизонтальный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0101061634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0101069309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99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Устройство для прошивки документов "Д"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0101069311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4 61 010 01 20 5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Чехол Euro-Line LuxWide для  iPhone4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 из белого льна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0101068624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 с ламбрикеном/тюль-бел.,портьера-з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Шторы/ламбрикен персик.капрон с кружевом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0101080668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4 02 131 99 62 5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CD-плеер PIONER DEN-P3700 MP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0101048129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BBK DV 615 SI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0101048444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BBK DV 615 SI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0101048445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DVD-плеер Sony DVP-NS 36/S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4 81 431 91 52 4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Брифинг-приставка 1400*700*750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13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109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Жалюзи вертикальные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Зеркало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116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Информационная фасадная табличка (500мм*600мм)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117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Калькулятор CITIZEN 12р двойное питание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4 82 812 11 52 4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118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Карниз пластиковый (3 м)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5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119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23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120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руководителя "Пилот-у"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0101061723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Кресло руководителя GERMES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0010600011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  <w:vertAlign w:val="baseline"/>
              </w:rPr>
              <w:t xml:space="preserve">122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Набор настольный GALANT "Senator"  из дерева, 7 предметов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  <w:t xml:space="preserve">1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highlight w:val="white"/>
                <w:u w:val="none"/>
              </w:rPr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  <w:highlight w:val="white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highlight w:val="white"/>
                <w:u w:val="none"/>
              </w:rPr>
              <w:t xml:space="preserve">4 92 111 81 52 4</w:t>
            </w:r>
            <w:r>
              <w:rPr>
                <w:rFonts w:ascii="Tinos" w:hAnsi="Tinos" w:cs="Tinos"/>
                <w:highlight w:val="white"/>
              </w:rPr>
            </w:r>
            <w:r>
              <w:rPr>
                <w:rFonts w:ascii="Tinos" w:hAnsi="Tinos" w:cs="Tinos"/>
                <w:highlight w:val="white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Надстройка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Пенал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СБ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13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под телевизор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Полка выдвижная для клавиатуры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Проигрыватель DVD Proiogy DVS 1340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Радиоприемник "Россия"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Светильник "Дельта" с АПП серый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4 82 427 11 52 4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0101069541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0101068414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0101068415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Скамья L 1500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Стеллаж с ячейками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4 61 010 01 20 5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1,0 м х 1,0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Стенка гарнитур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Стенка из двух предметов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0101060475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0101064778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Стойка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0101060954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010600113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1-тумбовый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0101067397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для совещаний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компьютерный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0010600037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М-4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0101062454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офисный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0101060899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0101067595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письменный  (орех миланский) 750*1200*600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0101061783-5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0101062652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приставной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с приставкой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0101061840-1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угловой письменный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0101061840- 2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Стол-барьер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"Престиж"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0101061786-2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 C5(н)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ISO кожзам.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199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 к/з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Схема эвакуации ф. А-3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610*400*450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0101061784-5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0101068567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приставная с ящиками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0101061852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Тумба-горка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Чайник BOSCH 1102 N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4 82 524 11 52 4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0001630062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д/книг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д/одежды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 бумаг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0001630145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0101061791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бумаг 2110*822*436 (орех миланский)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0101061092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документов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0101068209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0101060026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229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для одежды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0101061377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Шкаф плательный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0101067459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Элемент угловой декоративный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0101063097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Система автоматического пожаротушения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321110000480000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Система охранно-пожарной сигнализации (гараж)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321110000510000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4 81 442 31 52 4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Рукав пожарный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450*450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Вывеска размер 610*550 мм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указатель Управления ФРС по Курганской области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0101068628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239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4 92 111 81 52 4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Кулер для воды YLR0.7-5-10T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4 82 524 21 52 4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Сумка Panas 049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4 02 131 99 62 5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Калькулятор CITIZEN  SD-210 10разряд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4 82 812 11 52 4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Блок питания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4 81 119 11 72 4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Приемник России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4 81 431 91 52 4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Dospel Вентилятор NV 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0101068315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Вентилятор ELENBERG FS-4016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00-000000000002095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Вентилятор напольный MEIER MSF 1637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00-000000000006584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48251511524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249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0101068130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 (1300мм*900мм)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00-000000000009088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 (3000мм*6000мм)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00-000000000009087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Информационный стенд с карманами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0101068126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Калькулятор CITIZEN SDC-620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00-000000000006834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48281211524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0101063903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0101068098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0101068099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259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"Prestige" GTP C-11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0101068103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"Комфорт"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00-000000000002700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"Пилот"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0101068111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офисное Сеньор ГТС С11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0101068079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Кресло руководителя Dallas 994M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Набор офисный  PROTEGE 400548 мрамор т-зеленый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00-000000000002932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Подставка д/календ  PROTEGE Antigue 727405 тем.зел.мрамор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00-000000000003166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269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президиума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0101061661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0101061619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0101061622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Рабочее место 766х1350х1600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0101061631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57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Радиоприемник "Лира"РП-248 УКВ1/УКВ2; 8ФН (220В/4, 5В)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48143191524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1,25 м х 0,95 м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0101069302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0101068323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279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мобильная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00-000000000004108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0101069224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"Венеция"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0101069227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Стол комп.VIP 1100x500x690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0101067573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"Венский"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00-000000000003844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285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офисный СТАНДАРТ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00-000000000003862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286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Стул СН-659 экокожа черная, каркас тёмный орех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0101063902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Тумба выкатная VIP 430x500x500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0101060972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Стенд информационный (0,8м.х0,6м)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0101061717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49211181524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>
          <w:trHeight w:val="285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  <w:vertAlign w:val="baseline"/>
              </w:rPr>
              <w:t xml:space="preserve">289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322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Часы Ref 934 В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40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2"/>
                <w:u w:val="none"/>
              </w:rPr>
              <w:t xml:space="preserve">1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0101062018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01" w:type="dxa"/>
            <w:vAlign w:val="bottom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rFonts w:ascii="Tinos" w:hAnsi="Tinos" w:cs="Tinos"/>
              </w:rPr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0"/>
                <w:u w:val="none"/>
              </w:rPr>
              <w:t xml:space="preserve">48158111524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</w:tbl>
    <w:p>
      <w:pPr>
        <w:ind w:left="0" w:right="0" w:firstLine="567"/>
        <w:spacing w:after="0" w:line="240" w:lineRule="auto"/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  <w:outlineLvl w:val="1"/>
      </w:pP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2"/>
          <w:szCs w:val="22"/>
          <w:highlight w:val="none"/>
        </w:rPr>
      </w:r>
    </w:p>
    <w:p>
      <w:pPr>
        <w:jc w:val="center"/>
        <w:spacing w:line="240" w:lineRule="auto"/>
        <w:rPr>
          <w:rFonts w:ascii="Tinos" w:hAnsi="Tinos" w:cs="Tinos"/>
          <w:b/>
          <w:bCs/>
          <w:sz w:val="22"/>
          <w:szCs w:val="22"/>
          <w:highlight w:val="none"/>
        </w:rPr>
      </w:pPr>
      <w:r>
        <w:rPr>
          <w:rFonts w:ascii="Tinos" w:hAnsi="Tinos" w:eastAsia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  <w:t xml:space="preserve">Подписи сторон:</w:t>
      </w:r>
      <w:r>
        <w:rPr>
          <w:rFonts w:ascii="Tinos" w:hAnsi="Tinos" w:cs="Tinos"/>
          <w:b/>
          <w:bCs/>
          <w:sz w:val="22"/>
          <w:szCs w:val="22"/>
          <w:highlight w:val="none"/>
        </w:rPr>
      </w:r>
      <w:r>
        <w:rPr>
          <w:rFonts w:ascii="Tinos" w:hAnsi="Tinos" w:cs="Tinos"/>
          <w:b/>
          <w:bCs/>
          <w:sz w:val="22"/>
          <w:szCs w:val="22"/>
          <w:highlight w:val="none"/>
        </w:rPr>
      </w:r>
    </w:p>
    <w:tbl>
      <w:tblPr>
        <w:tblW w:w="9919" w:type="dxa"/>
        <w:tblInd w:w="2" w:type="dxa"/>
        <w:tblLayout w:type="fixed"/>
        <w:tblLook w:val="01E0" w:firstRow="1" w:lastRow="1" w:firstColumn="1" w:lastColumn="1" w:noHBand="0" w:noVBand="0"/>
      </w:tblPr>
      <w:tblGrid>
        <w:gridCol w:w="4785"/>
        <w:gridCol w:w="5134"/>
      </w:tblGrid>
      <w:tr>
        <w:tblPrEx/>
        <w:trPr>
          <w:trHeight w:val="954"/>
        </w:trPr>
        <w:tc>
          <w:tcPr>
            <w:tcW w:w="4785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Государственный заказчик: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  <w:lang w:val="en-US"/>
              </w:rPr>
              <w:t xml:space="preserve">Заместитель руководителя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 /Е.В. Яношук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W w:w="5134" w:type="dxa"/>
            <w:textDirection w:val="lrTb"/>
            <w:noWrap w:val="false"/>
          </w:tcPr>
          <w:p>
            <w:pPr>
              <w:jc w:val="left"/>
              <w:spacing w:line="240" w:lineRule="auto"/>
              <w:rPr>
                <w:rFonts w:ascii="Tinos" w:hAnsi="Tinos" w:cs="Tinos"/>
                <w:b/>
                <w:bCs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Должность: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lang w:val="pt-BR"/>
              </w:rPr>
              <w:t xml:space="preserve">_______________________ /____________________/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line="240" w:lineRule="auto"/>
              <w:tabs>
                <w:tab w:val="left" w:pos="1236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</w:tbl>
    <w:p>
      <w:r/>
      <w:r/>
    </w:p>
    <w:p>
      <w:pPr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sectPr>
      <w:footnotePr/>
      <w:endnotePr/>
      <w:type w:val="continuous"/>
      <w:pgSz w:w="11906" w:h="16838" w:orient="portrait"/>
      <w:pgMar w:top="850" w:right="850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Calibri">
    <w:panose1 w:val="020F0502020204030204"/>
  </w:font>
  <w:font w:name="MS ??">
    <w:panose1 w:val="02000603000000000000"/>
  </w:font>
  <w:font w:name="Symbol">
    <w:panose1 w:val="05010000000000000000"/>
  </w:font>
  <w:font w:name="Wingdings">
    <w:panose1 w:val="05010000000000000000"/>
  </w:font>
  <w:font w:name="Times New Roman CYR">
    <w:panose1 w:val="02000603000000000000"/>
  </w:font>
  <w:font w:name="Courier New">
    <w:panose1 w:val="02070409020205020404"/>
  </w:font>
  <w:font w:name="TimesET;Times New Roman">
    <w:panose1 w:val="02000603000000000000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4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9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51"/>
        <w:jc w:val="both"/>
        <w:rPr>
          <w:color w:val="000000" w:themeColor="text1"/>
          <w:sz w:val="18"/>
          <w:szCs w:val="18"/>
        </w:rPr>
      </w:pPr>
      <w:r>
        <w:rPr>
          <w:rStyle w:val="953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Условие указывается в случае, если Контракт заключается с лицами, являющимися в соответствии с Налоговым кодексом Российской Федерации плательщиками НДС.</w: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</w:r>
    </w:p>
  </w:footnote>
  <w:footnote w:id="3">
    <w:p>
      <w:pPr>
        <w:pStyle w:val="951"/>
        <w:jc w:val="both"/>
        <w:rPr>
          <w:color w:val="000000" w:themeColor="text1"/>
          <w:sz w:val="18"/>
          <w:szCs w:val="18"/>
        </w:rPr>
      </w:pPr>
      <w:r>
        <w:rPr>
          <w:rStyle w:val="953"/>
          <w:color w:val="000000" w:themeColor="text1"/>
          <w:sz w:val="18"/>
          <w:szCs w:val="18"/>
        </w:rPr>
        <w:footnoteRef/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Условие указывается в случае, если Контракт заключается с лицами, не являющимися в соответствии с Налоговым кодексом Российской Федерации плательщик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ами НДС.</w:t>
      </w:r>
      <w:r>
        <w:rPr>
          <w:color w:val="000000" w:themeColor="text1"/>
          <w:sz w:val="18"/>
          <w:szCs w:val="18"/>
        </w:rPr>
      </w:r>
      <w:r>
        <w:rPr>
          <w:color w:val="000000" w:themeColor="text1"/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570" w:hanging="570"/>
        <w:tabs>
          <w:tab w:val="num" w:pos="57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egacy w:legacy="1" w:legacyIndent="417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i w:val="0"/>
        <w:iCs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6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  <w:i w:val="0"/>
        <w:iCs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6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8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0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32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4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6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8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0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92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104" w:hanging="360"/>
      </w:pPr>
      <w:rPr>
        <w:rFonts w:hint="default" w:ascii="Times New Roman" w:hAnsi="Times New Roman" w:eastAsia="Calibri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64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6249" w:hanging="720"/>
        <w:tabs>
          <w:tab w:val="num" w:pos="0" w:leader="none"/>
        </w:tabs>
      </w:pPr>
      <w:rPr>
        <w:i w:val="0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0" w:hanging="1440"/>
        <w:tabs>
          <w:tab w:val="num" w:pos="0" w:leader="none"/>
        </w:tabs>
      </w:pPr>
    </w:lvl>
  </w:abstractNum>
  <w:abstractNum w:abstractNumId="2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eastAsia="MS ??" w:cstheme="minorBidi"/>
      </w:rPr>
    </w:lvl>
    <w:lvl w:ilvl="1">
      <w:start w:val="4"/>
      <w:numFmt w:val="decimal"/>
      <w:isLgl w:val="false"/>
      <w:suff w:val="tab"/>
      <w:lvlText w:val="%1.%2."/>
      <w:lvlJc w:val="left"/>
      <w:pPr>
        <w:ind w:left="2061" w:hanging="360"/>
      </w:pPr>
      <w:rPr>
        <w:rFonts w:hint="default" w:eastAsia="MS ??" w:cstheme="minorBidi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eastAsia="MS ??" w:cstheme="minorBidi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  <w:rPr>
        <w:rFonts w:hint="default" w:eastAsia="MS ??" w:cstheme="minorBidi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eastAsia="MS ??" w:cstheme="minorBidi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  <w:rPr>
        <w:rFonts w:hint="default" w:eastAsia="MS ??" w:cstheme="minorBidi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 w:eastAsia="MS ??" w:cstheme="minorBidi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 w:eastAsia="MS ??" w:cstheme="minorBidi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 w:eastAsia="MS ??" w:cstheme="minorBidi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2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6">
    <w:name w:val="Heading 1 Char"/>
    <w:basedOn w:val="972"/>
    <w:link w:val="969"/>
    <w:uiPriority w:val="9"/>
    <w:rPr>
      <w:rFonts w:ascii="Arial" w:hAnsi="Arial" w:eastAsia="Arial" w:cs="Arial"/>
      <w:sz w:val="40"/>
      <w:szCs w:val="40"/>
    </w:rPr>
  </w:style>
  <w:style w:type="character" w:styleId="797">
    <w:name w:val="Heading 2 Char"/>
    <w:basedOn w:val="972"/>
    <w:link w:val="970"/>
    <w:uiPriority w:val="9"/>
    <w:rPr>
      <w:rFonts w:ascii="Arial" w:hAnsi="Arial" w:eastAsia="Arial" w:cs="Arial"/>
      <w:sz w:val="34"/>
    </w:rPr>
  </w:style>
  <w:style w:type="character" w:styleId="798">
    <w:name w:val="Heading 3 Char"/>
    <w:basedOn w:val="972"/>
    <w:link w:val="971"/>
    <w:uiPriority w:val="9"/>
    <w:rPr>
      <w:rFonts w:ascii="Arial" w:hAnsi="Arial" w:eastAsia="Arial" w:cs="Arial"/>
      <w:sz w:val="30"/>
      <w:szCs w:val="30"/>
    </w:rPr>
  </w:style>
  <w:style w:type="paragraph" w:styleId="799">
    <w:name w:val="Heading 4"/>
    <w:basedOn w:val="968"/>
    <w:next w:val="968"/>
    <w:link w:val="8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00">
    <w:name w:val="Heading 4 Char"/>
    <w:basedOn w:val="972"/>
    <w:link w:val="799"/>
    <w:uiPriority w:val="9"/>
    <w:rPr>
      <w:rFonts w:ascii="Arial" w:hAnsi="Arial" w:eastAsia="Arial" w:cs="Arial"/>
      <w:b/>
      <w:bCs/>
      <w:sz w:val="26"/>
      <w:szCs w:val="26"/>
    </w:rPr>
  </w:style>
  <w:style w:type="paragraph" w:styleId="801">
    <w:name w:val="Heading 5"/>
    <w:basedOn w:val="968"/>
    <w:next w:val="968"/>
    <w:link w:val="80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2">
    <w:name w:val="Heading 5 Char"/>
    <w:basedOn w:val="972"/>
    <w:link w:val="801"/>
    <w:uiPriority w:val="9"/>
    <w:rPr>
      <w:rFonts w:ascii="Arial" w:hAnsi="Arial" w:eastAsia="Arial" w:cs="Arial"/>
      <w:b/>
      <w:bCs/>
      <w:sz w:val="24"/>
      <w:szCs w:val="24"/>
    </w:rPr>
  </w:style>
  <w:style w:type="paragraph" w:styleId="803">
    <w:name w:val="Heading 6"/>
    <w:basedOn w:val="968"/>
    <w:next w:val="968"/>
    <w:link w:val="80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4">
    <w:name w:val="Heading 6 Char"/>
    <w:basedOn w:val="972"/>
    <w:link w:val="803"/>
    <w:uiPriority w:val="9"/>
    <w:rPr>
      <w:rFonts w:ascii="Arial" w:hAnsi="Arial" w:eastAsia="Arial" w:cs="Arial"/>
      <w:b/>
      <w:bCs/>
      <w:sz w:val="22"/>
      <w:szCs w:val="22"/>
    </w:rPr>
  </w:style>
  <w:style w:type="paragraph" w:styleId="805">
    <w:name w:val="Heading 7"/>
    <w:basedOn w:val="968"/>
    <w:next w:val="968"/>
    <w:link w:val="8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6">
    <w:name w:val="Heading 7 Char"/>
    <w:basedOn w:val="972"/>
    <w:link w:val="8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7">
    <w:name w:val="Heading 8"/>
    <w:basedOn w:val="968"/>
    <w:next w:val="968"/>
    <w:link w:val="8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8">
    <w:name w:val="Heading 8 Char"/>
    <w:basedOn w:val="972"/>
    <w:link w:val="807"/>
    <w:uiPriority w:val="9"/>
    <w:rPr>
      <w:rFonts w:ascii="Arial" w:hAnsi="Arial" w:eastAsia="Arial" w:cs="Arial"/>
      <w:i/>
      <w:iCs/>
      <w:sz w:val="22"/>
      <w:szCs w:val="22"/>
    </w:rPr>
  </w:style>
  <w:style w:type="paragraph" w:styleId="809">
    <w:name w:val="Heading 9"/>
    <w:basedOn w:val="968"/>
    <w:next w:val="968"/>
    <w:link w:val="81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0">
    <w:name w:val="Heading 9 Char"/>
    <w:basedOn w:val="972"/>
    <w:link w:val="809"/>
    <w:uiPriority w:val="9"/>
    <w:rPr>
      <w:rFonts w:ascii="Arial" w:hAnsi="Arial" w:eastAsia="Arial" w:cs="Arial"/>
      <w:i/>
      <w:iCs/>
      <w:sz w:val="21"/>
      <w:szCs w:val="21"/>
    </w:rPr>
  </w:style>
  <w:style w:type="paragraph" w:styleId="811">
    <w:name w:val="List Paragraph"/>
    <w:basedOn w:val="968"/>
    <w:uiPriority w:val="34"/>
    <w:qFormat/>
    <w:pPr>
      <w:contextualSpacing/>
      <w:ind w:left="720"/>
    </w:pPr>
  </w:style>
  <w:style w:type="paragraph" w:styleId="812">
    <w:name w:val="No Spacing"/>
    <w:uiPriority w:val="1"/>
    <w:qFormat/>
    <w:pPr>
      <w:spacing w:before="0" w:after="0" w:line="240" w:lineRule="auto"/>
    </w:pPr>
  </w:style>
  <w:style w:type="paragraph" w:styleId="813">
    <w:name w:val="Title"/>
    <w:basedOn w:val="968"/>
    <w:next w:val="968"/>
    <w:link w:val="81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4">
    <w:name w:val="Title Char"/>
    <w:basedOn w:val="972"/>
    <w:link w:val="813"/>
    <w:uiPriority w:val="10"/>
    <w:rPr>
      <w:sz w:val="48"/>
      <w:szCs w:val="48"/>
    </w:rPr>
  </w:style>
  <w:style w:type="paragraph" w:styleId="815">
    <w:name w:val="Subtitle"/>
    <w:basedOn w:val="968"/>
    <w:next w:val="968"/>
    <w:link w:val="816"/>
    <w:uiPriority w:val="11"/>
    <w:qFormat/>
    <w:pPr>
      <w:spacing w:before="200" w:after="200"/>
    </w:pPr>
    <w:rPr>
      <w:sz w:val="24"/>
      <w:szCs w:val="24"/>
    </w:rPr>
  </w:style>
  <w:style w:type="character" w:styleId="816">
    <w:name w:val="Subtitle Char"/>
    <w:basedOn w:val="972"/>
    <w:link w:val="815"/>
    <w:uiPriority w:val="11"/>
    <w:rPr>
      <w:sz w:val="24"/>
      <w:szCs w:val="24"/>
    </w:rPr>
  </w:style>
  <w:style w:type="paragraph" w:styleId="817">
    <w:name w:val="Quote"/>
    <w:basedOn w:val="968"/>
    <w:next w:val="968"/>
    <w:link w:val="818"/>
    <w:uiPriority w:val="29"/>
    <w:qFormat/>
    <w:pPr>
      <w:ind w:left="720" w:right="720"/>
    </w:pPr>
    <w:rPr>
      <w:i/>
    </w:rPr>
  </w:style>
  <w:style w:type="character" w:styleId="818">
    <w:name w:val="Quote Char"/>
    <w:link w:val="817"/>
    <w:uiPriority w:val="29"/>
    <w:rPr>
      <w:i/>
    </w:rPr>
  </w:style>
  <w:style w:type="paragraph" w:styleId="819">
    <w:name w:val="Intense Quote"/>
    <w:basedOn w:val="968"/>
    <w:next w:val="968"/>
    <w:link w:val="82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20">
    <w:name w:val="Intense Quote Char"/>
    <w:link w:val="819"/>
    <w:uiPriority w:val="30"/>
    <w:rPr>
      <w:i/>
    </w:rPr>
  </w:style>
  <w:style w:type="character" w:styleId="821">
    <w:name w:val="Header Char"/>
    <w:basedOn w:val="972"/>
    <w:link w:val="982"/>
    <w:uiPriority w:val="99"/>
  </w:style>
  <w:style w:type="character" w:styleId="822">
    <w:name w:val="Footer Char"/>
    <w:basedOn w:val="972"/>
    <w:link w:val="984"/>
    <w:uiPriority w:val="99"/>
  </w:style>
  <w:style w:type="paragraph" w:styleId="823">
    <w:name w:val="Caption"/>
    <w:basedOn w:val="968"/>
    <w:next w:val="968"/>
    <w:link w:val="8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4">
    <w:name w:val="Caption Char"/>
    <w:basedOn w:val="823"/>
    <w:link w:val="984"/>
    <w:uiPriority w:val="99"/>
  </w:style>
  <w:style w:type="table" w:styleId="825">
    <w:name w:val="Table Grid"/>
    <w:basedOn w:val="97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Table Grid Light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7">
    <w:name w:val="Plain Table 1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>
    <w:name w:val="Plain Table 2"/>
    <w:basedOn w:val="97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>
    <w:name w:val="Plain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0">
    <w:name w:val="Plain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Plain Table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2">
    <w:name w:val="Grid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Grid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4">
    <w:name w:val="Grid Table 4 - Accent 1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5">
    <w:name w:val="Grid Table 4 - Accent 2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6">
    <w:name w:val="Grid Table 4 - Accent 3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7">
    <w:name w:val="Grid Table 4 - Accent 4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8">
    <w:name w:val="Grid Table 4 - Accent 5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9">
    <w:name w:val="Grid Table 4 - Accent 6"/>
    <w:basedOn w:val="97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60">
    <w:name w:val="Grid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1">
    <w:name w:val="Grid Table 5 Dark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4">
    <w:name w:val="Grid Table 5 Dark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6">
    <w:name w:val="Grid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7">
    <w:name w:val="Grid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8">
    <w:name w:val="Grid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9">
    <w:name w:val="Grid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70">
    <w:name w:val="Grid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1">
    <w:name w:val="Grid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2">
    <w:name w:val="Grid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3">
    <w:name w:val="Grid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4">
    <w:name w:val="Grid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9">
    <w:name w:val="List Table 2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90">
    <w:name w:val="List Table 2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1">
    <w:name w:val="List Table 2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2">
    <w:name w:val="List Table 2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3">
    <w:name w:val="List Table 2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4">
    <w:name w:val="List Table 2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5">
    <w:name w:val="List Table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3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4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>
    <w:name w:val="List Table 5 Dark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5 Dark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6">
    <w:name w:val="List Table 6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7">
    <w:name w:val="List Table 6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8">
    <w:name w:val="List Table 6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9">
    <w:name w:val="List Table 6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20">
    <w:name w:val="List Table 6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1">
    <w:name w:val="List Table 6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2">
    <w:name w:val="List Table 6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3">
    <w:name w:val="List Table 7 Colorful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4">
    <w:name w:val="List Table 7 Colorful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5">
    <w:name w:val="List Table 7 Colorful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6">
    <w:name w:val="List Table 7 Colorful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7">
    <w:name w:val="List Table 7 Colorful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8">
    <w:name w:val="List Table 7 Colorful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9">
    <w:name w:val="List Table 7 Colorful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30">
    <w:name w:val="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1">
    <w:name w:val="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2">
    <w:name w:val="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3">
    <w:name w:val="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4">
    <w:name w:val="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5">
    <w:name w:val="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6">
    <w:name w:val="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7">
    <w:name w:val="Bordered &amp; Lined - Accent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8">
    <w:name w:val="Bordered &amp; Lined - Accent 1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9">
    <w:name w:val="Bordered &amp; Lined - Accent 2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40">
    <w:name w:val="Bordered &amp; Lined - Accent 3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1">
    <w:name w:val="Bordered &amp; Lined - Accent 4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2">
    <w:name w:val="Bordered &amp; Lined - Accent 5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3">
    <w:name w:val="Bordered &amp; Lined - Accent 6"/>
    <w:basedOn w:val="97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4">
    <w:name w:val="Bordered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5">
    <w:name w:val="Bordered - Accent 1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6">
    <w:name w:val="Bordered - Accent 2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7">
    <w:name w:val="Bordered - Accent 3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8">
    <w:name w:val="Bordered - Accent 4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9">
    <w:name w:val="Bordered - Accent 5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50">
    <w:name w:val="Bordered - Accent 6"/>
    <w:basedOn w:val="97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51">
    <w:name w:val="footnote text"/>
    <w:basedOn w:val="968"/>
    <w:link w:val="952"/>
    <w:uiPriority w:val="99"/>
    <w:semiHidden/>
    <w:unhideWhenUsed/>
    <w:pPr>
      <w:spacing w:after="40" w:line="240" w:lineRule="auto"/>
    </w:pPr>
    <w:rPr>
      <w:sz w:val="18"/>
    </w:rPr>
  </w:style>
  <w:style w:type="character" w:styleId="952">
    <w:name w:val="Footnote Text Char"/>
    <w:link w:val="951"/>
    <w:uiPriority w:val="99"/>
    <w:rPr>
      <w:sz w:val="18"/>
    </w:rPr>
  </w:style>
  <w:style w:type="character" w:styleId="953">
    <w:name w:val="footnote reference"/>
    <w:basedOn w:val="972"/>
    <w:uiPriority w:val="99"/>
    <w:unhideWhenUsed/>
    <w:rPr>
      <w:vertAlign w:val="superscript"/>
    </w:rPr>
  </w:style>
  <w:style w:type="paragraph" w:styleId="954">
    <w:name w:val="endnote text"/>
    <w:basedOn w:val="968"/>
    <w:link w:val="955"/>
    <w:uiPriority w:val="99"/>
    <w:semiHidden/>
    <w:unhideWhenUsed/>
    <w:pPr>
      <w:spacing w:after="0" w:line="240" w:lineRule="auto"/>
    </w:pPr>
    <w:rPr>
      <w:sz w:val="20"/>
    </w:rPr>
  </w:style>
  <w:style w:type="character" w:styleId="955">
    <w:name w:val="Endnote Text Char"/>
    <w:link w:val="954"/>
    <w:uiPriority w:val="99"/>
    <w:rPr>
      <w:sz w:val="20"/>
    </w:rPr>
  </w:style>
  <w:style w:type="character" w:styleId="956">
    <w:name w:val="endnote reference"/>
    <w:basedOn w:val="972"/>
    <w:uiPriority w:val="99"/>
    <w:semiHidden/>
    <w:unhideWhenUsed/>
    <w:rPr>
      <w:vertAlign w:val="superscript"/>
    </w:rPr>
  </w:style>
  <w:style w:type="paragraph" w:styleId="957">
    <w:name w:val="toc 1"/>
    <w:basedOn w:val="968"/>
    <w:next w:val="968"/>
    <w:uiPriority w:val="39"/>
    <w:unhideWhenUsed/>
    <w:pPr>
      <w:ind w:left="0" w:right="0" w:firstLine="0"/>
      <w:spacing w:after="57"/>
    </w:pPr>
  </w:style>
  <w:style w:type="paragraph" w:styleId="958">
    <w:name w:val="toc 2"/>
    <w:basedOn w:val="968"/>
    <w:next w:val="968"/>
    <w:uiPriority w:val="39"/>
    <w:unhideWhenUsed/>
    <w:pPr>
      <w:ind w:left="283" w:right="0" w:firstLine="0"/>
      <w:spacing w:after="57"/>
    </w:pPr>
  </w:style>
  <w:style w:type="paragraph" w:styleId="959">
    <w:name w:val="toc 3"/>
    <w:basedOn w:val="968"/>
    <w:next w:val="968"/>
    <w:uiPriority w:val="39"/>
    <w:unhideWhenUsed/>
    <w:pPr>
      <w:ind w:left="567" w:right="0" w:firstLine="0"/>
      <w:spacing w:after="57"/>
    </w:pPr>
  </w:style>
  <w:style w:type="paragraph" w:styleId="960">
    <w:name w:val="toc 4"/>
    <w:basedOn w:val="968"/>
    <w:next w:val="968"/>
    <w:uiPriority w:val="39"/>
    <w:unhideWhenUsed/>
    <w:pPr>
      <w:ind w:left="850" w:right="0" w:firstLine="0"/>
      <w:spacing w:after="57"/>
    </w:pPr>
  </w:style>
  <w:style w:type="paragraph" w:styleId="961">
    <w:name w:val="toc 5"/>
    <w:basedOn w:val="968"/>
    <w:next w:val="968"/>
    <w:uiPriority w:val="39"/>
    <w:unhideWhenUsed/>
    <w:pPr>
      <w:ind w:left="1134" w:right="0" w:firstLine="0"/>
      <w:spacing w:after="57"/>
    </w:pPr>
  </w:style>
  <w:style w:type="paragraph" w:styleId="962">
    <w:name w:val="toc 6"/>
    <w:basedOn w:val="968"/>
    <w:next w:val="968"/>
    <w:uiPriority w:val="39"/>
    <w:unhideWhenUsed/>
    <w:pPr>
      <w:ind w:left="1417" w:right="0" w:firstLine="0"/>
      <w:spacing w:after="57"/>
    </w:pPr>
  </w:style>
  <w:style w:type="paragraph" w:styleId="963">
    <w:name w:val="toc 7"/>
    <w:basedOn w:val="968"/>
    <w:next w:val="968"/>
    <w:uiPriority w:val="39"/>
    <w:unhideWhenUsed/>
    <w:pPr>
      <w:ind w:left="1701" w:right="0" w:firstLine="0"/>
      <w:spacing w:after="57"/>
    </w:pPr>
  </w:style>
  <w:style w:type="paragraph" w:styleId="964">
    <w:name w:val="toc 8"/>
    <w:basedOn w:val="968"/>
    <w:next w:val="968"/>
    <w:uiPriority w:val="39"/>
    <w:unhideWhenUsed/>
    <w:pPr>
      <w:ind w:left="1984" w:right="0" w:firstLine="0"/>
      <w:spacing w:after="57"/>
    </w:pPr>
  </w:style>
  <w:style w:type="paragraph" w:styleId="965">
    <w:name w:val="toc 9"/>
    <w:basedOn w:val="968"/>
    <w:next w:val="968"/>
    <w:uiPriority w:val="39"/>
    <w:unhideWhenUsed/>
    <w:pPr>
      <w:ind w:left="2268" w:right="0" w:firstLine="0"/>
      <w:spacing w:after="57"/>
    </w:pPr>
  </w:style>
  <w:style w:type="paragraph" w:styleId="966">
    <w:name w:val="TOC Heading"/>
    <w:uiPriority w:val="39"/>
    <w:unhideWhenUsed/>
  </w:style>
  <w:style w:type="paragraph" w:styleId="967">
    <w:name w:val="table of figures"/>
    <w:basedOn w:val="968"/>
    <w:next w:val="968"/>
    <w:uiPriority w:val="99"/>
    <w:unhideWhenUsed/>
    <w:pPr>
      <w:spacing w:after="0" w:afterAutospacing="0"/>
    </w:pPr>
  </w:style>
  <w:style w:type="paragraph" w:styleId="968" w:default="1">
    <w:name w:val="Normal"/>
    <w:qFormat/>
    <w:rPr>
      <w:sz w:val="24"/>
      <w:szCs w:val="24"/>
    </w:rPr>
  </w:style>
  <w:style w:type="paragraph" w:styleId="969">
    <w:name w:val="Heading 1"/>
    <w:basedOn w:val="968"/>
    <w:next w:val="968"/>
    <w:link w:val="975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70">
    <w:name w:val="Heading 2"/>
    <w:basedOn w:val="968"/>
    <w:link w:val="976"/>
    <w:uiPriority w:val="99"/>
    <w:qFormat/>
    <w:pPr>
      <w:jc w:val="center"/>
      <w:keepNext/>
      <w:spacing w:before="28" w:after="28"/>
      <w:outlineLvl w:val="1"/>
    </w:pPr>
    <w:rPr>
      <w:b/>
      <w:bCs/>
      <w:color w:val="000000"/>
      <w:sz w:val="26"/>
      <w:szCs w:val="26"/>
    </w:rPr>
  </w:style>
  <w:style w:type="paragraph" w:styleId="971">
    <w:name w:val="Heading 3"/>
    <w:basedOn w:val="968"/>
    <w:link w:val="977"/>
    <w:uiPriority w:val="99"/>
    <w:qFormat/>
    <w:pPr>
      <w:jc w:val="center"/>
      <w:keepNext/>
      <w:spacing w:before="28" w:after="28"/>
      <w:outlineLvl w:val="2"/>
    </w:pPr>
    <w:rPr>
      <w:b/>
      <w:bCs/>
      <w:color w:val="000000"/>
      <w:sz w:val="22"/>
      <w:szCs w:val="22"/>
    </w:rPr>
  </w:style>
  <w:style w:type="character" w:styleId="972" w:default="1">
    <w:name w:val="Default Paragraph Font"/>
    <w:uiPriority w:val="1"/>
    <w:semiHidden/>
    <w:unhideWhenUsed/>
  </w:style>
  <w:style w:type="table" w:styleId="9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74" w:default="1">
    <w:name w:val="No List"/>
    <w:uiPriority w:val="99"/>
    <w:semiHidden/>
    <w:unhideWhenUsed/>
  </w:style>
  <w:style w:type="character" w:styleId="975" w:customStyle="1">
    <w:name w:val="Заголовок 1 Знак"/>
    <w:link w:val="969"/>
    <w:uiPriority w:val="99"/>
    <w:rPr>
      <w:rFonts w:ascii="Cambria" w:hAnsi="Cambria" w:cs="Cambria"/>
      <w:b/>
      <w:bCs/>
      <w:sz w:val="32"/>
      <w:szCs w:val="32"/>
    </w:rPr>
  </w:style>
  <w:style w:type="character" w:styleId="976" w:customStyle="1">
    <w:name w:val="Заголовок 2 Знак"/>
    <w:link w:val="970"/>
    <w:uiPriority w:val="99"/>
    <w:rPr>
      <w:b/>
      <w:bCs/>
      <w:color w:val="000000"/>
      <w:sz w:val="26"/>
      <w:szCs w:val="26"/>
      <w:lang w:val="ru-RU" w:eastAsia="ru-RU"/>
    </w:rPr>
  </w:style>
  <w:style w:type="character" w:styleId="977" w:customStyle="1">
    <w:name w:val="Заголовок 3 Знак"/>
    <w:link w:val="971"/>
    <w:uiPriority w:val="99"/>
    <w:semiHidden/>
    <w:rPr>
      <w:rFonts w:ascii="Cambria" w:hAnsi="Cambria" w:cs="Cambria"/>
      <w:b/>
      <w:bCs/>
      <w:sz w:val="26"/>
      <w:szCs w:val="26"/>
    </w:rPr>
  </w:style>
  <w:style w:type="character" w:styleId="978">
    <w:name w:val="Hyperlink"/>
    <w:uiPriority w:val="99"/>
    <w:rPr>
      <w:color w:val="000080"/>
      <w:u w:val="single"/>
    </w:rPr>
  </w:style>
  <w:style w:type="paragraph" w:styleId="979">
    <w:name w:val="Normal (Web)"/>
    <w:basedOn w:val="968"/>
    <w:uiPriority w:val="99"/>
    <w:pPr>
      <w:spacing w:before="100" w:beforeAutospacing="1" w:after="119"/>
    </w:pPr>
  </w:style>
  <w:style w:type="paragraph" w:styleId="980">
    <w:name w:val="Body Text"/>
    <w:basedOn w:val="968"/>
    <w:link w:val="981"/>
    <w:uiPriority w:val="99"/>
    <w:pPr>
      <w:jc w:val="center"/>
    </w:pPr>
    <w:rPr>
      <w:b/>
      <w:bCs/>
      <w:sz w:val="28"/>
      <w:szCs w:val="28"/>
    </w:rPr>
  </w:style>
  <w:style w:type="character" w:styleId="981" w:customStyle="1">
    <w:name w:val="Основной текст Знак"/>
    <w:link w:val="980"/>
    <w:uiPriority w:val="99"/>
    <w:semiHidden/>
    <w:rPr>
      <w:sz w:val="24"/>
      <w:szCs w:val="24"/>
    </w:rPr>
  </w:style>
  <w:style w:type="paragraph" w:styleId="982">
    <w:name w:val="Header"/>
    <w:basedOn w:val="968"/>
    <w:link w:val="983"/>
    <w:uiPriority w:val="99"/>
    <w:pPr>
      <w:tabs>
        <w:tab w:val="center" w:pos="4677" w:leader="none"/>
        <w:tab w:val="right" w:pos="9355" w:leader="none"/>
      </w:tabs>
    </w:pPr>
  </w:style>
  <w:style w:type="character" w:styleId="983" w:customStyle="1">
    <w:name w:val="Верхний колонтитул Знак"/>
    <w:link w:val="982"/>
    <w:uiPriority w:val="99"/>
    <w:rPr>
      <w:sz w:val="24"/>
      <w:szCs w:val="24"/>
    </w:rPr>
  </w:style>
  <w:style w:type="paragraph" w:styleId="984">
    <w:name w:val="Footer"/>
    <w:basedOn w:val="968"/>
    <w:link w:val="985"/>
    <w:uiPriority w:val="99"/>
    <w:pPr>
      <w:tabs>
        <w:tab w:val="center" w:pos="4677" w:leader="none"/>
        <w:tab w:val="right" w:pos="9355" w:leader="none"/>
      </w:tabs>
    </w:pPr>
  </w:style>
  <w:style w:type="character" w:styleId="985" w:customStyle="1">
    <w:name w:val="Нижний колонтитул Знак"/>
    <w:link w:val="984"/>
    <w:uiPriority w:val="99"/>
    <w:rPr>
      <w:sz w:val="24"/>
      <w:szCs w:val="24"/>
    </w:rPr>
  </w:style>
  <w:style w:type="character" w:styleId="986">
    <w:name w:val="page number"/>
    <w:basedOn w:val="972"/>
    <w:uiPriority w:val="99"/>
  </w:style>
  <w:style w:type="paragraph" w:styleId="987" w:customStyle="1">
    <w:name w:val="p10"/>
    <w:basedOn w:val="968"/>
    <w:uiPriority w:val="99"/>
    <w:pPr>
      <w:spacing w:before="100" w:beforeAutospacing="1" w:after="100" w:afterAutospacing="1"/>
    </w:pPr>
  </w:style>
  <w:style w:type="character" w:styleId="988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989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0" w:customStyle="1">
    <w:name w:val="мини_список"/>
    <w:qFormat/>
    <w:pPr>
      <w:numPr>
        <w:ilvl w:val="0"/>
        <w:numId w:val="0"/>
      </w:numPr>
      <w:contextualSpacing w:val="0"/>
      <w:ind w:left="720" w:right="0" w:firstLine="0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/>
      <w:i w:val="0"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91" w:customStyle="1">
    <w:name w:val="Numbered Level 1"/>
    <w:pPr>
      <w:numPr>
        <w:ilvl w:val="0"/>
        <w:numId w:val="0"/>
      </w:numPr>
      <w:contextualSpacing w:val="0"/>
      <w:ind w:left="700" w:right="0" w:hanging="360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2" w:customStyle="1">
    <w:name w:val="Body Text Indent"/>
    <w:basedOn w:val="807"/>
    <w:uiPriority w:val="99"/>
    <w:pPr>
      <w:contextualSpacing w:val="0"/>
      <w:ind w:left="283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93" w:customStyle="1">
    <w:name w:val="Обычный1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ET;Times New Roman" w:hAnsi="TimesET;Times New Roman" w:eastAsia="Times New Roman" w:cs="TimesET;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94" w:customStyle="1">
    <w:name w:val="Маркированный список с тире"/>
    <w:next w:val="805"/>
    <w:qFormat/>
    <w:pPr>
      <w:numPr>
        <w:ilvl w:val="0"/>
        <w:numId w:val="0"/>
      </w:numPr>
      <w:contextualSpacing w:val="0"/>
      <w:ind w:left="889" w:right="0" w:hanging="36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889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95" w:customStyle="1">
    <w:name w:val="Заголовок1"/>
    <w:basedOn w:val="945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96" w:customStyle="1">
    <w:name w:val="Текстовка"/>
    <w:basedOn w:val="978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7" w:customStyle="1">
    <w:name w:val="Нормальный (таблица)"/>
    <w:link w:val="863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8" w:customStyle="1">
    <w:name w:val="Абзац списка,????,????1,?????1,Bulletr List Paragraph,Colorful List - Accent 11,FooterText,List Paragraph11,List Paragraph2,Lists,Paragraphe de liste1,Parágrafo da Lista1,Párrafo de lista1,numbered,リスト段落1,列出段落,列出段落1,UL,Абзац маркированнный,Bullet List,lp1"/>
    <w:uiPriority w:val="34"/>
    <w:qFormat/>
    <w:pPr>
      <w:contextualSpacing w:val="0"/>
      <w:ind w:left="708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hyperlink" Target="https://internet.garant.ru/#/multilink/70353464/paragraph/3862/number/0" TargetMode="External"/><Relationship Id="rId12" Type="http://schemas.openxmlformats.org/officeDocument/2006/relationships/hyperlink" Target="https://internet.garant.ru/#/document/10180094/entry/100" TargetMode="External"/><Relationship Id="rId13" Type="http://schemas.openxmlformats.org/officeDocument/2006/relationships/hyperlink" Target="https://internet.garant.ru/#/document/71757358/entry/1000" TargetMode="External"/><Relationship Id="rId14" Type="http://schemas.openxmlformats.org/officeDocument/2006/relationships/hyperlink" Target="https://internet.garant.ru/#/document/10180094/entry/100" TargetMode="External"/><Relationship Id="rId15" Type="http://schemas.openxmlformats.org/officeDocument/2006/relationships/hyperlink" Target="https://internet.garant.ru/#/document/71757358/entry/1000" TargetMode="External"/><Relationship Id="rId16" Type="http://schemas.openxmlformats.org/officeDocument/2006/relationships/hyperlink" Target="consultantplus://offline/ref=F174975D8C2C2429B2BB081949B2575B8624B14B07BB5628CB5844574DtAZ8E" TargetMode="External"/><Relationship Id="rId17" Type="http://schemas.openxmlformats.org/officeDocument/2006/relationships/hyperlink" Target="mailto:odr@r45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Программный центр Помощь образованию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 № 1</dc:title>
  <dc:subject/>
  <dc:creator>PC26</dc:creator>
  <cp:keywords/>
  <dc:description/>
  <cp:lastModifiedBy>sheshukova</cp:lastModifiedBy>
  <cp:revision>74</cp:revision>
  <dcterms:created xsi:type="dcterms:W3CDTF">2023-03-09T13:35:00Z</dcterms:created>
  <dcterms:modified xsi:type="dcterms:W3CDTF">2026-07-23T04:07:59Z</dcterms:modified>
</cp:coreProperties>
</file>