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center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П</w:t>
      </w:r>
      <w:r>
        <w:rPr>
          <w:rFonts w:eastAsia="Batang"/>
          <w:b/>
          <w:sz w:val="22"/>
          <w:szCs w:val="22"/>
        </w:rPr>
        <w:t xml:space="preserve">риложение к </w:t>
      </w:r>
      <w:r>
        <w:rPr>
          <w:rFonts w:eastAsia="Batang"/>
          <w:b/>
          <w:sz w:val="22"/>
          <w:szCs w:val="22"/>
        </w:rPr>
        <w:t xml:space="preserve"> закупочной сессии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shd w:val="clear" w:color="ffffff" w:fill="ffffff"/>
        <w:rPr>
          <w:rFonts w:eastAsia="Arial"/>
          <w:b/>
          <w:bCs/>
          <w:sz w:val="22"/>
          <w:szCs w:val="22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MS Mincho"/>
          <w:b/>
          <w:spacing w:val="-6"/>
          <w:sz w:val="22"/>
          <w:szCs w:val="22"/>
        </w:rPr>
        <w:t xml:space="preserve">                                                             ИКЗ </w:t>
      </w:r>
      <w:r>
        <w:rPr>
          <w:rFonts w:eastAsia="Tahoma"/>
          <w:color w:val="000000"/>
          <w:sz w:val="22"/>
          <w:szCs w:val="22"/>
        </w:rPr>
        <w:t xml:space="preserve"> </w:t>
      </w:r>
      <w:r>
        <w:rPr>
          <w:rFonts w:eastAsia="Tahoma"/>
          <w:b/>
          <w:bCs/>
          <w:color w:val="000000"/>
          <w:lang w:eastAsia="en-US"/>
        </w:rPr>
        <w:t xml:space="preserve">261773301215177330100100270000000244</w:t>
      </w:r>
      <w:r>
        <w:rPr>
          <w:rFonts w:eastAsia="Arial"/>
          <w:b/>
          <w:bCs/>
          <w:sz w:val="22"/>
          <w:szCs w:val="22"/>
          <w:lang w:eastAsia="en-US"/>
        </w:rPr>
      </w:r>
      <w:r>
        <w:rPr>
          <w:rFonts w:eastAsia="Arial"/>
          <w:b/>
          <w:bCs/>
          <w:sz w:val="22"/>
          <w:szCs w:val="22"/>
          <w:lang w:eastAsia="en-US"/>
        </w:rPr>
      </w:r>
    </w:p>
    <w:p>
      <w:pPr>
        <w:shd w:val="clear" w:color="ffffff" w:fill="ffffff"/>
        <w:rPr>
          <w:b/>
          <w:bCs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06"/>
        <w:contextualSpacing/>
        <w:ind w:left="0" w:right="-40"/>
        <w:widowControl w:val="off"/>
        <w:tabs>
          <w:tab w:val="left" w:pos="910" w:leader="none"/>
          <w:tab w:val="left" w:pos="9458" w:leader="none"/>
        </w:tabs>
        <w:rPr>
          <w:rFonts w:ascii="Times New Roman" w:hAnsi="Times New Roman" w:eastAsia="Batang" w:cs="Times New Roman"/>
          <w:sz w:val="22"/>
          <w:szCs w:val="22"/>
        </w:rPr>
        <w:outlineLvl w:val="3"/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eastAsia="Batang" w:cs="Times New Roman"/>
          <w:sz w:val="22"/>
          <w:szCs w:val="22"/>
        </w:rPr>
      </w:r>
      <w:r>
        <w:rPr>
          <w:rFonts w:ascii="Times New Roman" w:hAnsi="Times New Roman" w:eastAsia="Batang" w:cs="Times New Roman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1. Предмет настоящего Контракта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pStyle w:val="917"/>
        <w:ind w:left="25" w:right="203"/>
        <w:jc w:val="both"/>
        <w:spacing w:before="16" w:line="232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       </w:t>
      </w:r>
      <w:r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1.1. Поставщик обязуется осуществить поставку фиксатора для мышей (Далее – товар), а Заказчик обязуется принять и оплатить товар в порядке и на условиях, предусмотренных электронным </w:t>
      </w:r>
      <w:r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К</w:t>
      </w:r>
      <w:r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онтрактом.</w:t>
      </w:r>
      <w:r>
        <w:rPr>
          <w:rFonts w:ascii="Times New Roman" w:hAnsi="Times New Roman"/>
          <w:b w:val="0"/>
          <w:bCs w:val="0"/>
          <w:sz w:val="22"/>
          <w:szCs w:val="22"/>
        </w:rPr>
      </w:r>
      <w:r>
        <w:rPr>
          <w:rFonts w:ascii="Times New Roman" w:hAnsi="Times New Roman"/>
          <w:b w:val="0"/>
          <w:bCs w:val="0"/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         1.2. </w:t>
      </w:r>
      <w:r>
        <w:rPr>
          <w:sz w:val="22"/>
          <w:szCs w:val="22"/>
        </w:rPr>
        <w:t xml:space="preserve">Наименование, количество и иные характеристики поставляемого Товара указаны в спецификации и электронном Контракте.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         1.3. Настоящим Контрактом Поставщик гарантирует, что Товар принадлежит ему на праве собственности, не заложен, не является предметом ареста, свободен от права третьих лиц.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2. Качество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Batang"/>
          <w:sz w:val="22"/>
          <w:szCs w:val="22"/>
        </w:rPr>
        <w:t xml:space="preserve">2.1. </w:t>
      </w:r>
      <w:r>
        <w:rPr>
          <w:rFonts w:eastAsia="Calibri"/>
          <w:sz w:val="22"/>
          <w:szCs w:val="22"/>
          <w:lang w:eastAsia="en-US"/>
        </w:rPr>
        <w:t xml:space="preserve">Поставщик гарантирует, что поставляемый Товар соответствует требованиям, установленным Контрактом.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.2. Поставщик гарантирует безопасность Товара в соответствии с требова</w:t>
      </w:r>
      <w:r>
        <w:rPr>
          <w:rFonts w:eastAsia="Calibri"/>
          <w:sz w:val="22"/>
          <w:szCs w:val="22"/>
          <w:lang w:eastAsia="en-US"/>
        </w:rPr>
        <w:t xml:space="preserve">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</w:t>
      </w:r>
      <w:r>
        <w:rPr>
          <w:rFonts w:eastAsia="Calibri"/>
          <w:sz w:val="22"/>
          <w:szCs w:val="22"/>
          <w:lang w:eastAsia="en-US"/>
        </w:rPr>
        <w:t xml:space="preserve">тосанитарным нормам.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.3. </w:t>
      </w:r>
      <w:r>
        <w:rPr>
          <w:rFonts w:eastAsia="Calibri"/>
          <w:sz w:val="22"/>
          <w:szCs w:val="22"/>
        </w:rPr>
        <w:t xml:space="preserve">Товар не должен представлять опасности для жизни и здоровья граждан.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.4. </w:t>
      </w:r>
      <w:r>
        <w:rPr>
          <w:rFonts w:eastAsia="Calibri"/>
          <w:sz w:val="22"/>
          <w:szCs w:val="22"/>
        </w:rPr>
        <w:t xml:space="preserve">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.5. </w:t>
      </w:r>
      <w:r>
        <w:rPr>
          <w:rFonts w:eastAsia="Calibri"/>
          <w:sz w:val="22"/>
          <w:szCs w:val="22"/>
        </w:rPr>
        <w:t xml:space="preserve">Поставщик обязан за св</w:t>
      </w:r>
      <w:r>
        <w:rPr>
          <w:rFonts w:eastAsia="Calibri"/>
          <w:sz w:val="22"/>
          <w:szCs w:val="22"/>
        </w:rPr>
        <w:t xml:space="preserve">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3 (трех) рабочих дней с момента уведомления Заказчиком Поставщика.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 случае если выявлено нарушение условий настоящего Контракта в части качества и безопасности Товара и (или)</w:t>
      </w:r>
      <w:r>
        <w:rPr>
          <w:rFonts w:eastAsia="Calibri"/>
          <w:sz w:val="22"/>
          <w:szCs w:val="22"/>
        </w:rPr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.6. Товар должен быть упакован и замаркирован в соответствии с действующими стандартами. Поставщик поставляет Товар в у</w:t>
      </w:r>
      <w:r>
        <w:rPr>
          <w:rFonts w:eastAsia="Calibri"/>
          <w:sz w:val="22"/>
          <w:szCs w:val="22"/>
          <w:lang w:eastAsia="en-US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.7.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.8. Требования к предоставлению гарантии производителя и (или) Поставщика Товара и к сроку действия такой гарантии указаны в спецификации.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  <w:highlight w:val="none"/>
        </w:rPr>
      </w:pPr>
      <w:r>
        <w:rPr>
          <w:sz w:val="22"/>
          <w:szCs w:val="22"/>
        </w:rPr>
      </w:r>
      <w:bookmarkStart w:id="0" w:name="Par162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.9. Товар поставляется в комплекте с технической документацией на русском языке (паспорт изготовителя, инструкция по эксплуатации и т.п.) при наличии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  <w:highlight w:val="none"/>
        </w:rPr>
      </w:r>
      <w:r>
        <w:rPr>
          <w:rFonts w:eastAsia="Batang"/>
          <w:sz w:val="22"/>
          <w:szCs w:val="22"/>
          <w:highlight w:val="none"/>
        </w:rPr>
      </w:r>
    </w:p>
    <w:p>
      <w:pPr>
        <w:jc w:val="both"/>
        <w:rPr>
          <w:rFonts w:eastAsiaTheme="minorHAnsi"/>
          <w:b/>
          <w:sz w:val="22"/>
          <w:szCs w:val="22"/>
        </w:rPr>
        <w:outlineLvl w:val="0"/>
      </w:pPr>
      <w:r>
        <w:rPr>
          <w:rFonts w:eastAsiaTheme="minorHAnsi"/>
          <w:b/>
          <w:sz w:val="22"/>
          <w:szCs w:val="22"/>
          <w:lang w:eastAsia="en-US"/>
        </w:rPr>
        <w:t xml:space="preserve">         3. Упаковка и маркировка</w:t>
      </w:r>
      <w:r>
        <w:rPr>
          <w:rFonts w:eastAsiaTheme="minorHAnsi"/>
          <w:b/>
          <w:sz w:val="22"/>
          <w:szCs w:val="22"/>
        </w:rPr>
      </w:r>
      <w:r>
        <w:rPr>
          <w:rFonts w:eastAsiaTheme="minorHAnsi"/>
          <w:b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3.1. П</w:t>
      </w:r>
      <w:r>
        <w:rPr>
          <w:rFonts w:eastAsiaTheme="minorHAnsi"/>
          <w:sz w:val="22"/>
          <w:szCs w:val="22"/>
          <w:lang w:eastAsia="en-US"/>
        </w:rPr>
        <w:t xml:space="preserve">оставщик должен обеспечить упаковку Оборудования, способную предотвратить его повреждение или порчу во время перевозки к Месту доставки. Упаковка Оборудования должна полностью обеспечивать условия транспортировки, предъявляемые к данному виду Оборудования.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3.2. Вся упаковка должна соответствовать требованиям законодательства Российской Федерации, иметь следующую маркировку: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Наименование Оборудования: ____________________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Государственный Контракт N 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Заказчик (название): 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Поставщик (название компании): 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Получатель: 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Пункт назначения: 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Грузоотправитель: ____________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Ящик/контейнер N ____, всего ящиков/контейнеров 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Размеры (высота, длина, ширина) 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Вес брутто _____ кг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Вес нетто _____ кг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3.3. Два экземпляра упаковочного листа с описанием Оборудования, указанием веса нетто, веса брутто, колич</w:t>
      </w:r>
      <w:r>
        <w:rPr>
          <w:rFonts w:eastAsiaTheme="minorHAnsi"/>
          <w:sz w:val="22"/>
          <w:szCs w:val="22"/>
          <w:lang w:eastAsia="en-US"/>
        </w:rPr>
        <w:t xml:space="preserve">ества, указанием номера и даты Контракта, с приложением документации на Оборудование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3.4. Упаковка и маркировка на упаковке, а также документация внутри и вне упаковки должны строго соответствовать специальным требованиям, установленным законодательством и в Техническом задании.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4. Условия и сроки поставки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contextualSpacing/>
        <w:jc w:val="both"/>
        <w:shd w:val="clear" w:color="auto" w:fill="ffffff"/>
        <w:rPr>
          <w:b/>
          <w:bCs/>
          <w:color w:val="1a1a1a"/>
          <w:sz w:val="22"/>
          <w:szCs w:val="22"/>
        </w:rPr>
      </w:pPr>
      <w:r>
        <w:rPr>
          <w:rFonts w:eastAsia="Batang"/>
          <w:sz w:val="22"/>
          <w:szCs w:val="22"/>
        </w:rPr>
        <w:t xml:space="preserve">             4</w:t>
      </w:r>
      <w:r>
        <w:rPr>
          <w:sz w:val="22"/>
          <w:szCs w:val="22"/>
          <w:lang w:eastAsia="ru-RU"/>
        </w:rPr>
        <w:t xml:space="preserve">.1. </w:t>
      </w:r>
      <w:r>
        <w:rPr>
          <w:iCs/>
          <w:sz w:val="22"/>
          <w:szCs w:val="22"/>
          <w:lang w:eastAsia="ru-RU"/>
        </w:rPr>
        <w:t xml:space="preserve">Товар Заказчику поставляется </w:t>
      </w:r>
      <w:r>
        <w:rPr>
          <w:iCs/>
          <w:sz w:val="22"/>
          <w:szCs w:val="22"/>
          <w:lang w:eastAsia="ru-RU"/>
        </w:rPr>
        <w:t xml:space="preserve">в течение 120 (сто двадцать) календарных дней с даты заключения контракта.</w:t>
      </w:r>
      <w:r>
        <w:rPr>
          <w:b/>
          <w:bCs/>
          <w:color w:val="1a1a1a"/>
          <w:sz w:val="22"/>
          <w:szCs w:val="22"/>
        </w:rPr>
      </w:r>
      <w:r>
        <w:rPr>
          <w:b/>
          <w:bCs/>
          <w:color w:val="1a1a1a"/>
          <w:sz w:val="22"/>
          <w:szCs w:val="22"/>
        </w:rPr>
      </w:r>
    </w:p>
    <w:p>
      <w:pPr>
        <w:contextualSpacing/>
        <w:ind w:firstLine="709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ru-RU"/>
        </w:rPr>
        <w:t xml:space="preserve">4.2. </w:t>
      </w:r>
      <w:r>
        <w:rPr>
          <w:sz w:val="22"/>
          <w:szCs w:val="22"/>
          <w:lang w:eastAsia="ru-RU"/>
        </w:rPr>
        <w:t xml:space="preserve">Поставка товара осуществляется в рабочие дни по адресу: г. Москва, переулок Обуха, дом 5, строение 2 (далее – место доставки).</w:t>
      </w:r>
      <w:r>
        <w:rPr>
          <w:iCs/>
          <w:sz w:val="22"/>
          <w:szCs w:val="22"/>
          <w:lang w:eastAsia="ru-RU"/>
        </w:rPr>
        <w:tab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Пост</w:t>
      </w:r>
      <w:r>
        <w:rPr>
          <w:sz w:val="22"/>
          <w:szCs w:val="22"/>
        </w:rPr>
        <w:t xml:space="preserve">авка Товара осуществляется путем передачи Поставщиком Товара и следующих документов: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Счета;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счет-фактуры в соответствии с налоговым законодательством Российской Федерации;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товарной накладной либо универсального передаточного документа (УПД);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сертификата соответствия или декларации о соответствии (при наличии).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4.4. Упаковка товара и грузовая тара должны обеспечивать сохранность товара при транспортировке к конечному месту эксплуатации и хранения, а также при осуществлении погрузочно-разгрузочных работ.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4.5. Упаковка и маркировка товара должны соответствовать требованиям ГОСТ 17527-2020 «Упаковка. Термины и опре</w:t>
      </w:r>
      <w:r>
        <w:rPr>
          <w:sz w:val="22"/>
          <w:szCs w:val="22"/>
        </w:rPr>
        <w:t xml:space="preserve">деления», ГОСТ 14192-96 «Маркировка грузов», импортного товара – международным стандартам упаковки.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4.6. Право собственности и риск случайной гибели или порчи Товара переходит от Поставщика к Заказчику с момента приемки Товара 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4.7. Доставка, погрузочно-разгрузочные работы на склад Заказчика и вывоз мусора (коробки, упаковки, тара) производится за счет Поставщика.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4.8.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b/>
          <w:bCs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         5. Цена Контракта и порядок расчетов</w:t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Batang"/>
          <w:b/>
          <w:bCs/>
          <w:sz w:val="22"/>
          <w:szCs w:val="22"/>
        </w:rPr>
      </w: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5.1. Цена Контракта в соответствии со сведениями, изложенными в электронном контракте ЕАТ.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5.2. Сумма, подлежащая уплате Заказчиком Поставщику, уменьшается на размер налогов, сборов и иных обязательных платежей в бюджеты бюджетной системы Р</w:t>
      </w:r>
      <w:r>
        <w:rPr>
          <w:rFonts w:eastAsia="Calibri"/>
          <w:sz w:val="22"/>
          <w:szCs w:val="22"/>
          <w:lang w:eastAsia="en-US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5.3. Цена Контракта является твердой и определяется на весь срок исполнения Контракта, за исключением случаев, установленных Законом о контрактной системе и Контрактом.</w:t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5.4. Цена Контракта включ</w:t>
      </w:r>
      <w:r>
        <w:rPr>
          <w:rFonts w:eastAsia="Calibri"/>
          <w:sz w:val="22"/>
          <w:szCs w:val="22"/>
          <w:lang w:eastAsia="en-US"/>
        </w:rPr>
        <w:t xml:space="preserve">ает в себя стоимость Оборудования и Услуг, а также все расходы на страхование, транспортировку, погрузочно-разгрузочные работы, доставку Оборудования по адресу, указанному в Контракте, стоимость упаковки, установки и ввода оборудования в эксплуатацию, обуч</w:t>
      </w:r>
      <w:r>
        <w:rPr>
          <w:rFonts w:eastAsia="Calibri"/>
          <w:sz w:val="22"/>
          <w:szCs w:val="22"/>
          <w:lang w:eastAsia="en-US"/>
        </w:rPr>
        <w:t xml:space="preserve">ение медицинского и технического персонала, уплату налогов, пошлин, таможенных сборов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5.5. Цена Контракта может быть изменена,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</w:t>
      </w:r>
      <w:r>
        <w:rPr>
          <w:rFonts w:eastAsia="Calibri"/>
          <w:sz w:val="22"/>
          <w:szCs w:val="22"/>
          <w:lang w:eastAsia="en-US"/>
        </w:rPr>
        <w:t xml:space="preserve">чем на десять процентов. При этом по соглашению С</w:t>
      </w:r>
      <w:r>
        <w:rPr>
          <w:rFonts w:eastAsia="Calibri"/>
          <w:sz w:val="22"/>
          <w:szCs w:val="22"/>
          <w:lang w:eastAsia="en-US"/>
        </w:rPr>
        <w:t xml:space="preserve">торон допускается изменение, с учетом положений бюджетного законодательства Российской Федерации, цены Контракта пропорционально дополнительному количеству Товара, исходя из установленной в Контракте цены единицы Товара, но не более чем на десять процентов</w:t>
      </w:r>
      <w:r>
        <w:rPr>
          <w:rFonts w:eastAsia="Calibri"/>
          <w:sz w:val="22"/>
          <w:szCs w:val="22"/>
          <w:lang w:eastAsia="en-US"/>
        </w:rPr>
        <w:t xml:space="preserve"> цены Контракта. 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При уменьшении предусмотренного Контрактом количества Товара Стороны Контракта обязаны уменьшить цену Контракта исходя из цены единицы Товара. Цена единицы </w:t>
      </w:r>
      <w:r>
        <w:rPr>
          <w:rFonts w:eastAsia="Calibri"/>
          <w:sz w:val="22"/>
          <w:szCs w:val="22"/>
          <w:lang w:eastAsia="en-US"/>
        </w:rPr>
        <w:t xml:space="preserve">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Товара.</w:t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По соглашению Сторон цена Контракта может быть снижена без изменения предусмотренного Контрактом количества Товара и иных условий Контракта.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5.6. Источник финансирования - средства бюджетных учреждений. Код вида расходов – 244.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5.7. Оплата по Контракту осуществляется в рублях Российской Федерации.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540"/>
        <w:jc w:val="both"/>
        <w:rPr>
          <w:rFonts w:eastAsiaTheme="minorHAnsi"/>
          <w:b/>
          <w:bCs/>
          <w:sz w:val="22"/>
          <w:szCs w:val="22"/>
          <w:highlight w:val="white"/>
        </w:rPr>
      </w:pPr>
      <w:r>
        <w:rPr>
          <w:rFonts w:eastAsiaTheme="minorHAnsi"/>
          <w:sz w:val="22"/>
          <w:szCs w:val="22"/>
          <w:lang w:eastAsia="en-US"/>
        </w:rPr>
        <w:t xml:space="preserve">   5.8.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 xml:space="preserve">Оплата по Контракту осуществляется за счет средств бюджетных учреждений, полученных Заказчиком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по Соглашени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ю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 о предоставлении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из федерального бюджета гранта в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форме субсидий на осуществление государственной поддержки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программ развития научных центров мирового уровня, выполняющих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исследования и разработки по приоритетным направлениям научно-технологического развития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(от «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06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»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ма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я 2026 г. № 075-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15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-2026-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326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, идентификатор соглаш</w:t>
      </w:r>
      <w:r>
        <w:rPr>
          <w:rFonts w:eastAsiaTheme="minorHAnsi"/>
          <w:b/>
          <w:bCs/>
          <w:sz w:val="22"/>
          <w:szCs w:val="22"/>
          <w:highlight w:val="white"/>
          <w:lang w:eastAsia="en-US"/>
        </w:rPr>
        <w:t xml:space="preserve">ения </w:t>
      </w:r>
      <w:r>
        <w:rPr>
          <w:rFonts w:eastAsiaTheme="minorHAnsi"/>
          <w:b/>
          <w:bCs/>
          <w:sz w:val="22"/>
          <w:szCs w:val="22"/>
          <w:highlight w:val="white"/>
          <w:lang w:eastAsia="en-US"/>
        </w:rPr>
        <w:t xml:space="preserve">00000000</w:t>
      </w:r>
      <w:r>
        <w:rPr>
          <w:rFonts w:eastAsiaTheme="minorHAnsi"/>
          <w:b/>
          <w:bCs/>
          <w:sz w:val="22"/>
          <w:szCs w:val="22"/>
          <w:highlight w:val="white"/>
          <w:lang w:eastAsia="en-US"/>
        </w:rPr>
        <w:t xml:space="preserve">07526RCU000</w:t>
      </w:r>
      <w:r>
        <w:rPr>
          <w:rFonts w:eastAsiaTheme="minorHAnsi"/>
          <w:b/>
          <w:bCs/>
          <w:sz w:val="22"/>
          <w:szCs w:val="22"/>
          <w:highlight w:val="white"/>
          <w:lang w:eastAsia="en-US"/>
        </w:rPr>
        <w:t xml:space="preserve">2</w:t>
      </w:r>
      <w:r>
        <w:rPr>
          <w:rFonts w:eastAsiaTheme="minorHAnsi"/>
          <w:b/>
          <w:bCs/>
          <w:sz w:val="22"/>
          <w:szCs w:val="22"/>
          <w:highlight w:val="white"/>
          <w:lang w:eastAsia="en-US"/>
        </w:rPr>
        <w:t xml:space="preserve">. Код вида расходов – 244</w:t>
      </w:r>
      <w:r>
        <w:rPr>
          <w:rFonts w:eastAsiaTheme="minorHAnsi"/>
          <w:b/>
          <w:bCs/>
          <w:sz w:val="22"/>
          <w:szCs w:val="22"/>
          <w:highlight w:val="white"/>
          <w:lang w:eastAsia="en-US"/>
        </w:rPr>
        <w:t xml:space="preserve">.</w:t>
      </w:r>
      <w:r>
        <w:rPr>
          <w:rFonts w:eastAsiaTheme="minorHAnsi"/>
          <w:b/>
          <w:bCs/>
          <w:sz w:val="22"/>
          <w:szCs w:val="22"/>
          <w:highlight w:val="white"/>
        </w:rPr>
      </w:r>
      <w:r>
        <w:rPr>
          <w:rFonts w:eastAsiaTheme="minorHAnsi"/>
          <w:b/>
          <w:bCs/>
          <w:sz w:val="22"/>
          <w:szCs w:val="22"/>
          <w:highlight w:val="white"/>
        </w:rPr>
      </w:r>
    </w:p>
    <w:p>
      <w:pPr>
        <w:contextualSpacing/>
        <w:ind w:firstLine="540"/>
        <w:jc w:val="both"/>
        <w:rPr>
          <w:rFonts w:eastAsiaTheme="minorHAnsi"/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5.9. О</w:t>
      </w:r>
      <w:r>
        <w:rPr>
          <w:rFonts w:eastAsiaTheme="minorHAnsi"/>
          <w:sz w:val="22"/>
          <w:szCs w:val="22"/>
          <w:lang w:eastAsia="en-US"/>
        </w:rPr>
        <w:t xml:space="preserve">плата по Контракту осуществляется по факту поставки всего Оборудования, предусмотренного Спецификацией (</w:t>
      </w:r>
      <w:hyperlink w:tooltip="#Par359" w:anchor="Par359" w:history="1">
        <w:r>
          <w:rPr>
            <w:rFonts w:eastAsiaTheme="minorHAnsi"/>
            <w:sz w:val="22"/>
            <w:szCs w:val="22"/>
            <w:lang w:eastAsia="en-US"/>
          </w:rPr>
          <w:t xml:space="preserve">приложение N 1</w:t>
        </w:r>
      </w:hyperlink>
      <w:r>
        <w:rPr>
          <w:rFonts w:eastAsiaTheme="minorHAnsi"/>
          <w:sz w:val="22"/>
          <w:szCs w:val="22"/>
          <w:lang w:eastAsia="en-US"/>
        </w:rPr>
        <w:t xml:space="preserve"> к Контракту), и оказания Услуг в течение 7 (семи) рабочих дней после </w:t>
      </w:r>
      <w:r>
        <w:rPr>
          <w:rFonts w:eastAsia="Tinos"/>
          <w:sz w:val="22"/>
          <w:szCs w:val="22"/>
        </w:rPr>
        <w:t xml:space="preserve">подписания Заказчик</w:t>
      </w:r>
      <w:r>
        <w:rPr>
          <w:rFonts w:eastAsia="Tinos"/>
          <w:sz w:val="22"/>
          <w:szCs w:val="22"/>
          <w:highlight w:val="white"/>
        </w:rPr>
        <w:t xml:space="preserve">ом </w:t>
      </w:r>
      <w:r>
        <w:rPr>
          <w:color w:val="000000"/>
          <w:sz w:val="22"/>
          <w:szCs w:val="22"/>
          <w:highlight w:val="white"/>
        </w:rPr>
        <w:t xml:space="preserve">Акта по форме ОКУД 0510452 (Приказ Минфина РФ от 15.04.2021 г. № 61н). 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contextualSpacing/>
        <w:ind w:firstLine="709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Авансовый платеж не предусмотрен.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contextualSpacing/>
        <w:ind w:firstLine="709"/>
        <w:jc w:val="both"/>
        <w:rPr>
          <w:sz w:val="22"/>
          <w:szCs w:val="22"/>
          <w:highlight w:val="white"/>
        </w:rPr>
      </w:pPr>
      <w:r>
        <w:rPr>
          <w:sz w:val="22"/>
          <w:szCs w:val="22"/>
        </w:rPr>
        <w:t xml:space="preserve">5.10. В случае ненадлежащего исполнения Поставщиком обязательств, предусмотренных Контракто</w:t>
      </w:r>
      <w:r>
        <w:rPr>
          <w:sz w:val="22"/>
          <w:szCs w:val="22"/>
        </w:rPr>
        <w:t xml:space="preserve">м, в том числе нарушения срока поставки Товара по Контракту (этапу), Заказчик вправе произвести оплату поставленного по Контракту Товара с учетом вычета рассчитанного в установленном законо</w:t>
      </w:r>
      <w:r>
        <w:rPr>
          <w:sz w:val="22"/>
          <w:szCs w:val="22"/>
          <w:highlight w:val="white"/>
        </w:rPr>
        <w:t xml:space="preserve">дательством Российской Федерации порядке размера неустойки (пени). 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contextualSpacing/>
        <w:ind w:firstLine="709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5</w:t>
      </w:r>
      <w:r>
        <w:rPr>
          <w:sz w:val="22"/>
          <w:szCs w:val="22"/>
          <w:highlight w:val="white"/>
        </w:rPr>
        <w:t xml:space="preserve">.11. Оплата по К</w:t>
      </w:r>
      <w:r>
        <w:rPr>
          <w:sz w:val="22"/>
          <w:szCs w:val="22"/>
          <w:highlight w:val="white"/>
        </w:rPr>
        <w:t xml:space="preserve">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</w:t>
      </w:r>
      <w:r>
        <w:rPr>
          <w:sz w:val="22"/>
          <w:szCs w:val="22"/>
          <w:highlight w:val="white"/>
        </w:rPr>
        <w:t xml:space="preserve">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у6казанный в Контракте счет Поставщика, несет Поставщик. 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contextualSpacing/>
        <w:ind w:firstLine="540"/>
        <w:jc w:val="both"/>
        <w:rPr>
          <w:rFonts w:eastAsiaTheme="minorHAnsi"/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Обязательства Заказчика по оплате считаются исполненными с момента списания </w:t>
      </w:r>
      <w:r>
        <w:rPr>
          <w:rFonts w:eastAsiaTheme="minorHAnsi"/>
          <w:sz w:val="22"/>
          <w:szCs w:val="22"/>
          <w:highlight w:val="white"/>
          <w:lang w:eastAsia="en-US"/>
        </w:rPr>
        <w:t xml:space="preserve">денежных средств со счета Заказчика на счет Поставщика. Датой оплаты считается дата списания денежных средств со счета Заказчика.</w:t>
      </w:r>
      <w:r>
        <w:rPr>
          <w:rFonts w:eastAsiaTheme="minorHAnsi"/>
          <w:sz w:val="22"/>
          <w:szCs w:val="22"/>
          <w:highlight w:val="white"/>
        </w:rPr>
      </w:r>
      <w:r>
        <w:rPr>
          <w:rFonts w:eastAsiaTheme="minorHAnsi"/>
          <w:sz w:val="22"/>
          <w:szCs w:val="22"/>
          <w:highlight w:val="white"/>
        </w:rPr>
      </w:r>
    </w:p>
    <w:p>
      <w:pPr>
        <w:jc w:val="center"/>
        <w:rPr>
          <w:rFonts w:eastAsiaTheme="minorHAnsi"/>
          <w:b/>
          <w:sz w:val="22"/>
          <w:szCs w:val="22"/>
          <w:lang w:eastAsia="en-US"/>
        </w:rPr>
        <w:outlineLvl w:val="0"/>
      </w:pPr>
      <w:r>
        <w:rPr>
          <w:rFonts w:eastAsiaTheme="minorHAnsi"/>
          <w:b/>
          <w:sz w:val="22"/>
          <w:szCs w:val="22"/>
          <w:lang w:eastAsia="en-US"/>
        </w:rPr>
        <w:t xml:space="preserve">6. Порядок оказания и приемки Услуг</w:t>
      </w:r>
      <w:r>
        <w:rPr>
          <w:rFonts w:eastAsiaTheme="minorHAnsi"/>
          <w:b/>
          <w:sz w:val="22"/>
          <w:szCs w:val="22"/>
          <w:lang w:eastAsia="en-US"/>
        </w:rPr>
      </w:r>
      <w:r>
        <w:rPr>
          <w:rFonts w:eastAsiaTheme="minorHAnsi"/>
          <w:b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6.1. Услуги выполняются Поставщиком лично, либо с привлечением соисполнителей. Обязательное требов</w:t>
      </w:r>
      <w:r>
        <w:rPr>
          <w:rFonts w:eastAsiaTheme="minorHAnsi"/>
          <w:sz w:val="22"/>
          <w:szCs w:val="22"/>
          <w:lang w:eastAsia="en-US"/>
        </w:rPr>
        <w:t xml:space="preserve">ание: организация, выполняющая монтаж и ввод оборудования в эксплуатацию, должна иметь действующую лицензию Федеральной службы по надзору в сфере здравоохранения на осуществление деятельности по производству и техническому обслуживанию медицинской техники.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6.2. Сборка, установка, монтаж и ввод в эксплуатацию Оборудования, должны быть выполнены в соответствии с Техническим заданием.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6.3. Приемка оказанных Услуг осуществляется по факту их оказания, о чем Поставщик и Заказчик подписывают Акт ввода Оборудования в эксплуатацию, оказания Услуг по обучению правилам эксплуатации и инструктажу специалистов (</w:t>
      </w:r>
      <w:hyperlink w:tooltip="#Par596" w:anchor="Par596" w:history="1">
        <w:r>
          <w:rPr>
            <w:rFonts w:eastAsiaTheme="minorHAnsi"/>
            <w:sz w:val="22"/>
            <w:szCs w:val="22"/>
            <w:lang w:eastAsia="en-US"/>
          </w:rPr>
          <w:t xml:space="preserve">приложение N </w:t>
        </w:r>
      </w:hyperlink>
      <w:r>
        <w:rPr>
          <w:rFonts w:eastAsiaTheme="minorHAnsi"/>
          <w:sz w:val="22"/>
          <w:szCs w:val="22"/>
          <w:lang w:eastAsia="en-US"/>
        </w:rPr>
        <w:t xml:space="preserve">1).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6.4. Оказание Услуг по сборке, установке и</w:t>
      </w:r>
      <w:r>
        <w:rPr>
          <w:rFonts w:eastAsiaTheme="minorHAnsi"/>
          <w:sz w:val="22"/>
          <w:szCs w:val="22"/>
          <w:lang w:eastAsia="en-US"/>
        </w:rPr>
        <w:t xml:space="preserve">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(или) эксплуатационной документацией производителя (изготови</w:t>
      </w:r>
      <w:r>
        <w:rPr>
          <w:rFonts w:eastAsiaTheme="minorHAnsi"/>
          <w:sz w:val="22"/>
          <w:szCs w:val="22"/>
          <w:lang w:eastAsia="en-US"/>
        </w:rPr>
        <w:t xml:space="preserve">теля) Оборудования и законодательством Российской Федерации и включает комплекс работ по расконсервации, установке, сборке и монтажу Оборудования в соответствии с технической и (или) эксплуатационной документацией производителя (изготовителя) Оборудования.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6.5. Оказание Услуг по вводу в эксплуатацию Оборудования включает пусконаладочные работы, в том числе работы по наладке, настройке, регулировке, апробированию, инструментальному контролю соответствия выходных параметров Оборудования.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6.6. Оказание Услуг по обучению правилам эксплуатации специалистов Заказчика, эксплуатирующих Обор</w:t>
      </w:r>
      <w:r>
        <w:rPr>
          <w:rFonts w:eastAsiaTheme="minorHAnsi"/>
          <w:sz w:val="22"/>
          <w:szCs w:val="22"/>
          <w:lang w:eastAsia="en-US"/>
        </w:rPr>
        <w:t xml:space="preserve">удование, включает в себя инструктаж и обучение правилам эксплуатации Оборудования, необходимых для эксплуатации Оборудования, в объеме и порядке, предусмотренном технической и (или) эксплуатационной документацией производителя (изготовителя) Оборудования.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6.7. </w:t>
      </w:r>
      <w:bookmarkStart w:id="0" w:name="undefined"/>
      <w:r/>
      <w:bookmarkEnd w:id="0"/>
      <w:r>
        <w:rPr>
          <w:rFonts w:eastAsiaTheme="minorHAnsi"/>
          <w:sz w:val="22"/>
          <w:szCs w:val="22"/>
          <w:lang w:eastAsia="en-US"/>
        </w:rPr>
        <w:t xml:space="preserve">Для проверки предоставленных Поставщиком результатов оказания Услуг, предусмотренных Контрактом, в части их соответствия условиям Контракта, Заказчик проводит экспертизу оказанных Услуг в порядке, предусмотренном </w:t>
      </w:r>
      <w:hyperlink r:id="rId9" w:tooltip="consultantplus://offline/ref=6625E569E3D7E22B380F31F570485C0B3DAD5D4BD4D68C9D31435EF14249E46DF01E3B55231F3C31709F3B1BD93220499C107D6921A20753tALCN" w:history="1">
        <w:r>
          <w:rPr>
            <w:rFonts w:eastAsiaTheme="minorHAnsi"/>
            <w:sz w:val="22"/>
            <w:szCs w:val="22"/>
            <w:lang w:eastAsia="en-US"/>
          </w:rPr>
          <w:t xml:space="preserve">статьей 94</w:t>
        </w:r>
      </w:hyperlink>
      <w:r>
        <w:rPr>
          <w:rFonts w:eastAsiaTheme="minorHAnsi"/>
          <w:sz w:val="22"/>
          <w:szCs w:val="22"/>
          <w:lang w:eastAsia="en-US"/>
        </w:rPr>
        <w:t xml:space="preserve"> Федерального закона. Экспертиза может проводиться силами Заказчика или к ее проведению могут привлекаться эксперты, экспертные организации.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/>
      <w:bookmarkStart w:id="0" w:name="undefined"/>
      <w:r/>
      <w:bookmarkEnd w:id="0"/>
      <w:r>
        <w:rPr>
          <w:rFonts w:eastAsiaTheme="minorHAnsi"/>
          <w:sz w:val="22"/>
          <w:szCs w:val="22"/>
          <w:lang w:eastAsia="en-US"/>
        </w:rPr>
        <w:t xml:space="preserve">6.8. Заказчик в течение пяти рабочих дней со дня получения от Поставщика Акта ввода Оборудования в эксплуатацию, оказания Услуг по обучению правилам эксплуатации и инструктажу специалистов (</w:t>
      </w:r>
      <w:hyperlink w:tooltip="#Par596" w:anchor="Par596" w:history="1">
        <w:r>
          <w:rPr>
            <w:rFonts w:eastAsiaTheme="minorHAnsi"/>
            <w:sz w:val="22"/>
            <w:szCs w:val="22"/>
            <w:lang w:eastAsia="en-US"/>
          </w:rPr>
          <w:t xml:space="preserve">приложение N </w:t>
        </w:r>
      </w:hyperlink>
      <w:r>
        <w:rPr>
          <w:rFonts w:eastAsiaTheme="minorHAnsi"/>
          <w:sz w:val="22"/>
          <w:szCs w:val="22"/>
          <w:lang w:eastAsia="en-US"/>
        </w:rPr>
        <w:t xml:space="preserve">2) направляет Поставщику подписанный Акт ввода Оборудования в эксплуатацию, оказания Услуг по обучению правилам эксплуатации и инструктажу специалистов </w:t>
      </w:r>
      <w:r>
        <w:rPr>
          <w:rFonts w:eastAsiaTheme="minorHAnsi"/>
          <w:sz w:val="22"/>
          <w:szCs w:val="22"/>
          <w:lang w:eastAsia="en-US"/>
        </w:rPr>
        <w:t xml:space="preserve">(</w:t>
      </w:r>
      <w:hyperlink w:tooltip="#Par596" w:anchor="Par596" w:history="1">
        <w:r>
          <w:rPr>
            <w:rFonts w:eastAsiaTheme="minorHAnsi"/>
            <w:sz w:val="22"/>
            <w:szCs w:val="22"/>
            <w:lang w:eastAsia="en-US"/>
          </w:rPr>
          <w:t xml:space="preserve">приложение N </w:t>
        </w:r>
      </w:hyperlink>
      <w:r>
        <w:rPr>
          <w:rFonts w:eastAsiaTheme="minorHAnsi"/>
          <w:sz w:val="22"/>
          <w:szCs w:val="22"/>
          <w:lang w:eastAsia="en-US"/>
        </w:rPr>
        <w:t xml:space="preserve">1) или мотивированный отказ от подписания, в котором указываются недостатки и сроки их устранения.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6.9. После устранения недостатков, послуживших основанием для неподписания Акта ввода Оборудования в эксплуатацию, оказания Услуг по обучению правилам эксплуатации и инструктажу специалистов (</w:t>
      </w:r>
      <w:hyperlink w:tooltip="#Par596" w:anchor="Par596" w:history="1">
        <w:r>
          <w:rPr>
            <w:rFonts w:eastAsiaTheme="minorHAnsi"/>
            <w:sz w:val="22"/>
            <w:szCs w:val="22"/>
            <w:lang w:eastAsia="en-US"/>
          </w:rPr>
          <w:t xml:space="preserve">приложение N </w:t>
        </w:r>
      </w:hyperlink>
      <w:r>
        <w:rPr>
          <w:rFonts w:eastAsiaTheme="minorHAnsi"/>
          <w:sz w:val="22"/>
          <w:szCs w:val="22"/>
          <w:lang w:eastAsia="en-US"/>
        </w:rPr>
        <w:t xml:space="preserve">1), Поставщик и Заказчик подписывают Акт ввода Оборудования в эксплуатацию, оказания Услуг по обучению правилам эксплуатации и инструктажу специалистов (</w:t>
      </w:r>
      <w:hyperlink w:tooltip="#Par596" w:anchor="Par596" w:history="1">
        <w:r>
          <w:rPr>
            <w:rFonts w:eastAsiaTheme="minorHAnsi"/>
            <w:sz w:val="22"/>
            <w:szCs w:val="22"/>
            <w:lang w:eastAsia="en-US"/>
          </w:rPr>
          <w:t xml:space="preserve">приложение N </w:t>
        </w:r>
      </w:hyperlink>
      <w:r>
        <w:rPr>
          <w:rFonts w:eastAsiaTheme="minorHAnsi"/>
          <w:sz w:val="22"/>
          <w:szCs w:val="22"/>
          <w:lang w:eastAsia="en-US"/>
        </w:rPr>
        <w:t xml:space="preserve">1). 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7. Обязательства Сторон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7.1. Поставщик обязуется: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7.1.1. Поставить Товар в соответствии с условиями настоящего Контракта.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  <w:highlight w:val="none"/>
        </w:rPr>
      </w:pPr>
      <w:r>
        <w:rPr>
          <w:rFonts w:eastAsia="Batang"/>
          <w:sz w:val="22"/>
          <w:szCs w:val="22"/>
        </w:rPr>
        <w:t xml:space="preserve">7.1.2. Поставщик гарантирует соответствие поставляемого Товара требованиям настоящего Контракта и несет все расходы по замене некачественного или дефектного Товара, выявленного Заказчиком в течение всего срока годности Товара.</w:t>
      </w:r>
      <w:r>
        <w:rPr>
          <w:rFonts w:eastAsia="Batang"/>
          <w:sz w:val="22"/>
          <w:szCs w:val="22"/>
          <w:highlight w:val="none"/>
        </w:rPr>
      </w:r>
      <w:r>
        <w:rPr>
          <w:rFonts w:eastAsia="Batang"/>
          <w:sz w:val="22"/>
          <w:szCs w:val="22"/>
          <w:highlight w:val="none"/>
        </w:rPr>
      </w:r>
    </w:p>
    <w:p>
      <w:pPr>
        <w:ind w:firstLine="709"/>
        <w:jc w:val="both"/>
        <w:rPr>
          <w:rFonts w:eastAsia="Batang"/>
          <w:b w:val="0"/>
          <w:bCs w:val="0"/>
          <w:sz w:val="22"/>
          <w:szCs w:val="22"/>
        </w:rPr>
      </w:pPr>
      <w:r>
        <w:rPr>
          <w:rFonts w:eastAsia="Batang"/>
          <w:sz w:val="22"/>
          <w:szCs w:val="22"/>
          <w:highlight w:val="none"/>
        </w:rPr>
        <w:t xml:space="preserve">7.1.3.</w:t>
      </w:r>
      <w:r>
        <w:rPr>
          <w:rFonts w:eastAsiaTheme="minorHAnsi"/>
          <w:b w:val="0"/>
          <w:bCs w:val="0"/>
          <w:sz w:val="22"/>
          <w:szCs w:val="22"/>
          <w:lang w:eastAsia="en-US"/>
        </w:rPr>
        <w:t xml:space="preserve">Поставщик</w:t>
      </w:r>
      <w:r>
        <w:rPr>
          <w:rFonts w:eastAsiaTheme="minorHAnsi"/>
          <w:b w:val="0"/>
          <w:bCs w:val="0"/>
          <w:sz w:val="22"/>
          <w:szCs w:val="22"/>
          <w:lang w:eastAsia="en-US"/>
        </w:rPr>
        <w:t xml:space="preserve"> </w:t>
      </w:r>
      <w:r>
        <w:rPr>
          <w:rFonts w:eastAsiaTheme="minorHAnsi"/>
          <w:b w:val="0"/>
          <w:bCs w:val="0"/>
          <w:sz w:val="22"/>
          <w:szCs w:val="22"/>
          <w:lang w:eastAsia="en-US"/>
        </w:rPr>
        <w:t xml:space="preserve">выражает свое согласие на осуществление в отношении него обязательных проверок Министерством науки и высшего образования Российской Федерации, а также уполномоченным органом государственного финансового контроля в рамках настоящего Контракта</w:t>
      </w:r>
      <w:r>
        <w:rPr>
          <w:rFonts w:eastAsiaTheme="minorHAnsi"/>
          <w:b w:val="0"/>
          <w:bCs w:val="0"/>
          <w:sz w:val="22"/>
          <w:szCs w:val="22"/>
          <w:lang w:eastAsia="en-US"/>
        </w:rPr>
        <w:t xml:space="preserve">.</w:t>
      </w:r>
      <w:r>
        <w:rPr>
          <w:rFonts w:eastAsia="Batang"/>
          <w:b w:val="0"/>
          <w:bCs w:val="0"/>
          <w:sz w:val="22"/>
          <w:szCs w:val="22"/>
        </w:rPr>
      </w:r>
      <w:r>
        <w:rPr>
          <w:rFonts w:eastAsia="Batang"/>
          <w:b w:val="0"/>
          <w:bCs w:val="0"/>
          <w:sz w:val="22"/>
          <w:szCs w:val="22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eastAsia="Batang" w:cs="Times New Roman"/>
          <w:sz w:val="22"/>
          <w:szCs w:val="22"/>
        </w:rPr>
      </w:pPr>
      <w:r>
        <w:rPr>
          <w:rFonts w:ascii="Times New Roman" w:hAnsi="Times New Roman" w:eastAsia="Batang" w:cs="Times New Roman"/>
          <w:sz w:val="22"/>
          <w:szCs w:val="22"/>
        </w:rPr>
        <w:t xml:space="preserve">7.2. Заказчик обязуется принять и оплатить Товар в соответствии с условиями настоящего Контракта.  </w:t>
      </w:r>
      <w:r>
        <w:rPr>
          <w:rFonts w:ascii="Times New Roman" w:hAnsi="Times New Roman" w:eastAsia="Batang" w:cs="Times New Roman"/>
          <w:sz w:val="22"/>
          <w:szCs w:val="22"/>
        </w:rPr>
      </w:r>
      <w:r>
        <w:rPr>
          <w:rFonts w:ascii="Times New Roman" w:hAnsi="Times New Roman" w:eastAsia="Batang" w:cs="Times New Roman"/>
          <w:sz w:val="22"/>
          <w:szCs w:val="22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7.3.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en-US"/>
        </w:rPr>
        <w:t xml:space="preserve">утвердить сведения об операциях с целевыми средствами, необходимы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en-US"/>
        </w:rPr>
        <w:t xml:space="preserve">е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en-US"/>
        </w:rPr>
        <w:t xml:space="preserve"> для санкционирования расходов,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en-US"/>
        </w:rPr>
        <w:t xml:space="preserve">в случае, если средства по настоящему 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en-US"/>
        </w:rPr>
        <w:t xml:space="preserve">Контракт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en-US"/>
        </w:rPr>
        <w:t xml:space="preserve">у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en-US"/>
        </w:rPr>
        <w:t xml:space="preserve">подлежат расширенному казначейскому сопровождению с применением экономического обоснования затрат.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7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.4. </w:t>
      </w:r>
      <w:r>
        <w:rPr>
          <w:rFonts w:ascii="Times New Roman" w:hAnsi="Times New Roman" w:eastAsia="Times New Roman" w:cs="Times New Roman" w:eastAsiaTheme="minorHAnsi"/>
          <w:sz w:val="22"/>
          <w:szCs w:val="22"/>
          <w:highlight w:val="white"/>
          <w:lang w:eastAsia="en-US"/>
        </w:rPr>
        <w:t xml:space="preserve">обеспечить условия для оказания Поставщиком Услуг по сборке, установке, монтажу и вводу</w:t>
      </w:r>
      <w:r>
        <w:rPr>
          <w:rFonts w:ascii="Times New Roman" w:hAnsi="Times New Roman" w:eastAsia="Times New Roman" w:cs="Times New Roman" w:eastAsiaTheme="minorHAnsi"/>
          <w:sz w:val="22"/>
          <w:szCs w:val="22"/>
          <w:highlight w:val="white"/>
          <w:lang w:eastAsia="en-US"/>
        </w:rPr>
        <w:t xml:space="preserve"> в эксплуатацию Оборудования, в том числе подготовку помещения или места экс</w:t>
      </w:r>
      <w:r>
        <w:rPr>
          <w:rFonts w:ascii="Times New Roman" w:hAnsi="Times New Roman" w:eastAsia="Times New Roman" w:cs="Times New Roman" w:eastAsiaTheme="minorHAnsi"/>
          <w:sz w:val="22"/>
          <w:szCs w:val="22"/>
          <w:highlight w:val="white"/>
          <w:lang w:eastAsia="en-US"/>
        </w:rPr>
        <w:t xml:space="preserve">плуатации, в соответствии с требованиями технической и (или) эксплуатационной документации производителя (изготовителя) Оборудования, с учетом класса электробезопасности и иных требований безопасности в соответствии с законодательством Российской Федерации</w:t>
      </w:r>
      <w:r>
        <w:rPr>
          <w:rFonts w:ascii="Times New Roman" w:hAnsi="Times New Roman" w:eastAsia="Times New Roman" w:cs="Times New Roman" w:eastAsiaTheme="minorHAnsi"/>
          <w:sz w:val="22"/>
          <w:szCs w:val="22"/>
          <w:highlight w:val="white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   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7.5.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Стороны обязуются сохранять в тайне информацию служебного и частного характера, ставшую известной в ходе исполнения обязательств по настоящему договору, касаемую предмета Контракта, не разглашать тр</w:t>
      </w:r>
      <w:r>
        <w:rPr>
          <w:rFonts w:ascii="Times New Roman" w:hAnsi="Times New Roman" w:cs="Times New Roman"/>
          <w:sz w:val="22"/>
          <w:szCs w:val="22"/>
        </w:rPr>
        <w:t xml:space="preserve">етьим лицам конфиденциальную информацию (любую ин</w:t>
      </w:r>
      <w:r>
        <w:rPr>
          <w:rFonts w:ascii="Times New Roman" w:hAnsi="Times New Roman" w:cs="Times New Roman"/>
          <w:sz w:val="22"/>
          <w:szCs w:val="22"/>
        </w:rPr>
        <w:t xml:space="preserve">формацию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Сторон, не обнародованную или иным образ</w:t>
      </w:r>
      <w:r>
        <w:rPr>
          <w:rFonts w:ascii="Times New Roman" w:hAnsi="Times New Roman" w:cs="Times New Roman"/>
          <w:sz w:val="22"/>
          <w:szCs w:val="22"/>
        </w:rPr>
        <w:t xml:space="preserve">ом не переданную для свободного доступа и ставшую известной Сторонам в ходе исполнения настоящего договора, и не использовать ее любым другим способом, а также предпринимать необходимые меры для предотвращения разглашения конфиденциальной информации.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tabs>
          <w:tab w:val="left" w:pos="-426" w:leader="none"/>
        </w:tabs>
        <w:rPr>
          <w:rFonts w:eastAsia="Batang"/>
          <w:b/>
          <w:sz w:val="22"/>
          <w:szCs w:val="22"/>
        </w:rPr>
      </w:pPr>
      <w:r>
        <w:rPr>
          <w:sz w:val="22"/>
          <w:szCs w:val="22"/>
        </w:rPr>
        <w:t xml:space="preserve">             8</w:t>
      </w:r>
      <w:r>
        <w:rPr>
          <w:rFonts w:eastAsia="Batang"/>
          <w:b/>
          <w:sz w:val="22"/>
          <w:szCs w:val="22"/>
        </w:rPr>
        <w:t xml:space="preserve">. Ответственность Сторон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8.1. </w:t>
      </w:r>
      <w:r>
        <w:rPr>
          <w:sz w:val="22"/>
          <w:szCs w:val="22"/>
        </w:rPr>
        <w:t xml:space="preserve">В случае просрочки исполнения,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8.2. Сторона, не исполнившая или исполнившая ненадлежащим образом обязательства по Контракту, обязана в полном объеме возместить убытки, возникшие по ее вине.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8.3. За каждый факт неисполнения или ненадлежащего исполнения </w:t>
      </w:r>
      <w:r>
        <w:rPr>
          <w:iCs/>
          <w:sz w:val="22"/>
          <w:szCs w:val="22"/>
        </w:rPr>
        <w:t xml:space="preserve">Поставщиком </w:t>
      </w:r>
      <w:r>
        <w:rPr>
          <w:sz w:val="22"/>
          <w:szCs w:val="22"/>
          <w:lang w:eastAsia="zh-CN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  <w:r>
        <w:rPr>
          <w:sz w:val="22"/>
          <w:szCs w:val="22"/>
        </w:rPr>
        <w:t xml:space="preserve">10 процентов цены Контракта (этапа) в случае, если цена Контракта (этапа) не превышает 3 млн. рублей;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8.4. Заказчик получает право требования уплаты штрафа в следующих случаях неисполнения (ненадлежащего исполнения) Контракта: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а) если Поставщик не поставил Заказчику полностью или частично товар, являющийся предметом Контракта;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б) если Поставщик поставил товар, не соответствующий требования Контракта по качеству и/или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количеству, спецификации и/или комплектности, техническим и функциональным характеристикам (потребительским свойствам), предусмотренным Контрактом, и не осуществил в течение 30 дней замену такого товара на товар, соответствующий требованиям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Cs/>
          <w:sz w:val="22"/>
          <w:szCs w:val="22"/>
        </w:rPr>
        <w:t xml:space="preserve">8.5.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следующем порядке: 1000 рублей, если цена Контракта не превышает 3 млн. рублей;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8.6.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определяется в следующем порядке: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widowControl w:val="off"/>
        <w:rPr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  <w:lang w:eastAsia="zh-CN"/>
        </w:rPr>
        <w:t xml:space="preserve">8.8.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color w:val="000000"/>
          <w:sz w:val="22"/>
          <w:szCs w:val="22"/>
          <w:shd w:val="clear" w:color="auto" w:fill="ffffff"/>
        </w:rPr>
      </w:r>
      <w:r>
        <w:rPr>
          <w:color w:val="000000"/>
          <w:sz w:val="22"/>
          <w:szCs w:val="22"/>
          <w:shd w:val="clear" w:color="auto" w:fill="ffffff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8.8</w:t>
      </w:r>
      <w:r>
        <w:rPr>
          <w:sz w:val="22"/>
          <w:szCs w:val="22"/>
          <w:shd w:val="clear" w:color="auto" w:fill="ffffff"/>
          <w:lang w:eastAsia="zh-CN"/>
        </w:rPr>
        <w:t xml:space="preserve">.1.</w:t>
      </w:r>
      <w:r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8.9. Уплата штрафных санкций не освобождает стороны от выполнения обязательств по настоящему Контракту.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8.10.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</w:t>
      </w:r>
      <w:r>
        <w:rPr>
          <w:sz w:val="22"/>
          <w:szCs w:val="22"/>
          <w:shd w:val="clear" w:color="auto" w:fill="ffffff"/>
        </w:rPr>
        <w:t xml:space="preserve">ательств, предусмотренных Контрактом,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</w:t>
      </w:r>
      <w:r>
        <w:rPr>
          <w:sz w:val="22"/>
          <w:szCs w:val="22"/>
          <w:shd w:val="clear" w:color="auto" w:fill="ffffff"/>
        </w:rPr>
        <w:t xml:space="preserve">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8.11. В случае просрочки исполнения поставщиком (под</w:t>
      </w:r>
      <w:r>
        <w:rPr>
          <w:sz w:val="22"/>
          <w:szCs w:val="22"/>
          <w:shd w:val="clear" w:color="auto" w:fill="ffffff"/>
        </w:rPr>
        <w:t xml:space="preserve">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</w:t>
      </w:r>
      <w:r>
        <w:rPr>
          <w:sz w:val="22"/>
          <w:szCs w:val="22"/>
          <w:shd w:val="clear" w:color="auto" w:fill="ffffff"/>
        </w:rPr>
        <w:t xml:space="preserve">казчик направляет Поставщику (подрядчику, исполнителю) требование об уплате неустоек (штрафов, пеней). 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</w:t>
      </w:r>
      <w:r>
        <w:rPr>
          <w:sz w:val="22"/>
          <w:szCs w:val="22"/>
          <w:shd w:val="clear" w:color="auto" w:fill="ffffff"/>
        </w:rPr>
        <w:t xml:space="preserve">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</w:t>
      </w:r>
      <w:r>
        <w:rPr>
          <w:sz w:val="22"/>
          <w:szCs w:val="22"/>
          <w:shd w:val="clear" w:color="auto" w:fill="ffffff"/>
        </w:rPr>
        <w:t xml:space="preserve">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  <w:r>
        <w:rPr>
          <w:rFonts w:eastAsia="Batang"/>
          <w:sz w:val="22"/>
          <w:szCs w:val="22"/>
        </w:rPr>
        <w:t xml:space="preserve">                           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9. Действие обстоятельств непреодолимой силы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9.1.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9.2. Сторона, которая не исполняет своего обязательства вследствие действия непреодолимой силы, должна незамед</w:t>
      </w:r>
      <w:r>
        <w:rPr>
          <w:rFonts w:eastAsia="Batang"/>
          <w:sz w:val="22"/>
          <w:szCs w:val="22"/>
        </w:rPr>
        <w:t xml:space="preserve">лительно известить другую Сторону о таких обстоятельствах и их влиянии на исполнение обязательств по договору,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9.3. Если обстоятельства непреодолимой силы действуют на протяжении 3 (трех) последовательных месяцев, настоящий договор может быть расторгнут любой из Сторон путем направления письменного уведомления другой Стороне.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9.4. </w:t>
      </w:r>
      <w:r>
        <w:rPr>
          <w:rFonts w:eastAsia="Batang"/>
          <w:sz w:val="22"/>
          <w:szCs w:val="22"/>
        </w:rPr>
        <w:t xml:space="preserve">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10. Порядок разрешения споров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10.1. Все споры или разногласия, возникающие между Сторонами по настоящему Договору, разрешаются путем переговоров между ними.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10.2.</w:t>
      </w:r>
      <w:r>
        <w:rPr>
          <w:sz w:val="22"/>
          <w:szCs w:val="22"/>
        </w:rPr>
        <w:t xml:space="preserve"> После принятия сторонами мер по досудебному урегулированию споров Сторона договора имеет право передать спор на разрешен</w:t>
      </w:r>
      <w:r>
        <w:rPr>
          <w:sz w:val="22"/>
          <w:szCs w:val="22"/>
        </w:rPr>
        <w:t xml:space="preserve">ие Арбитражного суда по истечении 10 рабочих дней со дня получения претензии (требования) другой Стороной. При невозможности разрешения споров путем переговоров или в претензионном порядке спорный вопрос передается на рассмотрение в Арбитражный суд, где он</w:t>
      </w:r>
      <w:r>
        <w:rPr>
          <w:rFonts w:eastAsia="Batang"/>
          <w:sz w:val="22"/>
          <w:szCs w:val="22"/>
        </w:rPr>
        <w:t xml:space="preserve"> разрешается в порядке, установленном действующим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  <w:highlight w:val="none"/>
        </w:rPr>
      </w:pPr>
      <w:r>
        <w:rPr>
          <w:rFonts w:eastAsia="Batang"/>
          <w:b/>
          <w:sz w:val="22"/>
          <w:szCs w:val="22"/>
        </w:rPr>
        <w:t xml:space="preserve">11. Прочие условия</w:t>
      </w:r>
      <w:r>
        <w:rPr>
          <w:rFonts w:eastAsia="Batang"/>
          <w:b/>
          <w:bCs/>
          <w:sz w:val="22"/>
          <w:szCs w:val="22"/>
          <w:highlight w:val="none"/>
        </w:rPr>
      </w:r>
      <w:r>
        <w:rPr>
          <w:rFonts w:eastAsia="Batang"/>
          <w:b/>
          <w:bCs/>
          <w:sz w:val="22"/>
          <w:szCs w:val="22"/>
          <w:highlight w:val="none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11.1. Настоящий Договор вступает в силу с момента его подписания и действует </w:t>
      </w:r>
      <w:r>
        <w:rPr>
          <w:rFonts w:eastAsia="Batang"/>
          <w:sz w:val="22"/>
          <w:szCs w:val="22"/>
        </w:rPr>
        <w:t xml:space="preserve">до 31.12.2026 года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11.2. Настоящий Договор может быть расторгнут досрочно по соглашению Сторон при полном взаиморасчете.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 11.3. В случае изменения у како</w:t>
      </w:r>
      <w:r>
        <w:rPr>
          <w:rFonts w:eastAsia="Batang"/>
          <w:sz w:val="22"/>
          <w:szCs w:val="22"/>
        </w:rPr>
        <w:t xml:space="preserve">й-либо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11.4. 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11.5. Во всем остальном, что не предусмотрено настоящим Договором, Стороны обязаны руководствоваться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tabs>
          <w:tab w:val="left" w:pos="4815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Антикоррупционная оговорка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11.1. При исполнении своих обязательств по Договору, Стороны, их аффилированные лица, работники или посредники не выплачивают, не п</w:t>
      </w:r>
      <w:r>
        <w:rPr>
          <w:rFonts w:ascii="Times New Roman" w:hAnsi="Times New Roman" w:cs="Times New Roman"/>
          <w:sz w:val="22"/>
          <w:szCs w:val="22"/>
        </w:rPr>
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11.2. При исполнении своих обязательств по Договору, Стороны, их аффилированные лица, работники или посредники не осуществляют действия, квалифиц</w:t>
      </w:r>
      <w:r>
        <w:rPr>
          <w:rFonts w:ascii="Times New Roman" w:hAnsi="Times New Roman" w:cs="Times New Roman"/>
          <w:sz w:val="22"/>
          <w:szCs w:val="22"/>
        </w:rPr>
        <w:t xml:space="preserve">ируемые применимым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11.3. В случае возникновения у Стороны подозрений, что произошло или может произойти нарушение каких-либ</w:t>
      </w:r>
      <w:r>
        <w:rPr>
          <w:rFonts w:ascii="Times New Roman" w:hAnsi="Times New Roman" w:cs="Times New Roman"/>
          <w:sz w:val="22"/>
          <w:szCs w:val="22"/>
        </w:rPr>
        <w:t xml:space="preserve">о положений настоящей части Договора,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</w:t>
      </w:r>
      <w:r>
        <w:rPr>
          <w:rFonts w:ascii="Times New Roman" w:hAnsi="Times New Roman" w:cs="Times New Roman"/>
          <w:sz w:val="22"/>
          <w:szCs w:val="22"/>
        </w:rPr>
        <w:t xml:space="preserve">полагать, что произошло или может произойти нарушение каких-либо положений настоящей части Договора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</w:t>
      </w:r>
      <w:r>
        <w:rPr>
          <w:rFonts w:ascii="Times New Roman" w:hAnsi="Times New Roman" w:cs="Times New Roman"/>
          <w:sz w:val="22"/>
          <w:szCs w:val="22"/>
        </w:rPr>
        <w:t xml:space="preserve">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</w:t>
      </w:r>
      <w:r>
        <w:rPr>
          <w:rFonts w:ascii="Times New Roman" w:hAnsi="Times New Roman" w:cs="Times New Roman"/>
          <w:sz w:val="22"/>
          <w:szCs w:val="22"/>
        </w:rPr>
        <w:t xml:space="preserve">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момента направления письменного уведомления.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11.4. В случае нарушения одной Стороной обязательств воздерживаться</w:t>
      </w:r>
      <w:r>
        <w:rPr>
          <w:sz w:val="22"/>
          <w:szCs w:val="22"/>
        </w:rPr>
        <w:t xml:space="preserve"> от запрещенных в данной части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</w:t>
      </w:r>
      <w:r>
        <w:rPr>
          <w:sz w:val="22"/>
          <w:szCs w:val="22"/>
        </w:rPr>
        <w:t xml:space="preserve">или в части, направив письменное уведомление о расторжении. Сторона, по чьей инициативе был, расторгнут Договор в соответствии с положениями настоящей части Договора, вправе требовать возмещения реального ущерба, возникшего в результате такого расторжения.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5"/>
        <w:jc w:val="both"/>
        <w:rPr>
          <w:rFonts w:ascii="Times New Roman" w:hAnsi="Times New Roman" w:eastAsia="MS Mincho"/>
          <w:b/>
          <w:bCs/>
          <w:sz w:val="22"/>
          <w:szCs w:val="22"/>
        </w:rPr>
      </w:pP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</w:p>
    <w:p>
      <w:pPr>
        <w:pStyle w:val="915"/>
        <w:jc w:val="both"/>
        <w:rPr>
          <w:rFonts w:ascii="Times New Roman" w:hAnsi="Times New Roman" w:eastAsia="MS Mincho"/>
          <w:b/>
          <w:bCs/>
          <w:sz w:val="22"/>
          <w:szCs w:val="22"/>
        </w:rPr>
      </w:pPr>
      <w:r>
        <w:rPr>
          <w:rFonts w:ascii="Times New Roman" w:hAnsi="Times New Roman" w:eastAsia="MS Mincho"/>
          <w:b/>
          <w:bCs/>
          <w:sz w:val="22"/>
          <w:szCs w:val="22"/>
        </w:rPr>
        <w:t xml:space="preserve">12. Контактная информация Заказчика</w:t>
      </w: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Юр</w:t>
      </w:r>
      <w:r>
        <w:rPr>
          <w:color w:val="000000" w:themeColor="text1"/>
          <w:sz w:val="22"/>
          <w:szCs w:val="22"/>
        </w:rPr>
        <w:t xml:space="preserve">идический адрес: 125367, г. Москва, Волоколамское шоссе, д. 80,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ff"/>
          <w:sz w:val="22"/>
          <w:szCs w:val="22"/>
          <w:u w:val="single"/>
        </w:rPr>
      </w:pPr>
      <w:r>
        <w:rPr>
          <w:sz w:val="22"/>
          <w:szCs w:val="22"/>
          <w:lang w:eastAsia="ru-RU"/>
        </w:rPr>
        <w:t xml:space="preserve">Заключение контракта: +7(495)490-22-30 доб.474</w:t>
      </w:r>
      <w:r>
        <w:rPr>
          <w:color w:val="0000ff"/>
          <w:sz w:val="22"/>
          <w:szCs w:val="22"/>
          <w:u w:val="single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Согласование поставки: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shd w:val="clear" w:color="auto" w:fill="ffffff"/>
        <w:rPr>
          <w:color w:val="1a1a1a"/>
          <w:sz w:val="22"/>
          <w:szCs w:val="22"/>
        </w:rPr>
      </w:pPr>
      <w:r>
        <w:rPr>
          <w:sz w:val="22"/>
          <w:szCs w:val="22"/>
          <w:lang w:eastAsia="ru-RU"/>
        </w:rPr>
        <w:t xml:space="preserve">Резуненко Наталья Сергеевна      </w:t>
      </w:r>
      <w:r>
        <w:rPr>
          <w:sz w:val="22"/>
          <w:szCs w:val="22"/>
          <w:lang w:eastAsia="ru-RU"/>
        </w:rPr>
        <w:t xml:space="preserve">+7(495)490-20-07 </w:t>
      </w:r>
      <w:r/>
      <w:r>
        <w:rPr>
          <w:sz w:val="22"/>
          <w:szCs w:val="22"/>
          <w:lang w:eastAsia="ru-RU"/>
        </w:rPr>
        <w:tab/>
        <w:t xml:space="preserve">578</w:t>
      </w:r>
      <w:r>
        <w:rPr>
          <w:color w:val="1a1a1a"/>
          <w:sz w:val="22"/>
          <w:szCs w:val="22"/>
          <w:lang w:eastAsia="ru-RU"/>
        </w:rPr>
        <w:t xml:space="preserve"> </w:t>
      </w:r>
      <w:r>
        <w:rPr>
          <w:color w:val="1a1a1a"/>
          <w:sz w:val="22"/>
          <w:szCs w:val="22"/>
        </w:rPr>
      </w:r>
      <w:r>
        <w:rPr>
          <w:color w:val="1a1a1a"/>
          <w:sz w:val="22"/>
          <w:szCs w:val="22"/>
        </w:rPr>
      </w:r>
    </w:p>
    <w:p>
      <w:pPr>
        <w:pStyle w:val="912"/>
        <w:ind w:left="0" w:righ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Реквизиты для перечисления обеспечения: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ФГБНУ РЦНН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ИНН 7733012151 КПП 773301001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ОКПО 01897653 ОКТМО 45368000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ОКОПФ 75103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Банковские реквизиты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Получатель: ОКЦ № 1 ГУ БАНКА РОССИИ ПО ЦФО//УФК ПО Г. МОСКВЕ г. Москва (ФГБНУ РЦНН </w:t>
      </w:r>
      <w:r>
        <w:rPr>
          <w:rFonts w:ascii="Times New Roman" w:hAnsi="Times New Roman" w:cs="Times New Roman"/>
          <w:sz w:val="22"/>
          <w:szCs w:val="22"/>
        </w:rPr>
        <w:t xml:space="preserve">л/с 20736У94110</w:t>
      </w:r>
      <w:r>
        <w:rPr>
          <w:rFonts w:ascii="Times New Roman" w:hAnsi="Times New Roman" w:cs="Times New Roman"/>
          <w:sz w:val="22"/>
          <w:szCs w:val="22"/>
        </w:rPr>
        <w:t xml:space="preserve">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Единый казначейский счет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(счет банка получателя) 40102810545370000003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</w:rPr>
        <w:t xml:space="preserve">Казначейский с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чет (р/с)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03215643000000017301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БИК 004525988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КБК 00000 00000 00000 00510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contextualSpacing/>
        <w:ind w:firstLine="709"/>
        <w:jc w:val="both"/>
        <w:rPr>
          <w:rFonts w:eastAsiaTheme="minorHAnsi"/>
          <w:b/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 xml:space="preserve">Назначение платежа: </w:t>
      </w:r>
      <w:r>
        <w:rPr>
          <w:rFonts w:eastAsiaTheme="minorHAnsi"/>
          <w:sz w:val="22"/>
          <w:szCs w:val="22"/>
          <w:highlight w:val="white"/>
          <w:lang w:eastAsia="en-US"/>
        </w:rPr>
        <w:t xml:space="preserve">обеспечение исполнения </w:t>
      </w:r>
      <w:r>
        <w:rPr>
          <w:rFonts w:eastAsiaTheme="minorHAnsi"/>
          <w:sz w:val="22"/>
          <w:szCs w:val="22"/>
          <w:highlight w:val="white"/>
          <w:lang w:eastAsia="en-US"/>
        </w:rPr>
        <w:t xml:space="preserve">контракта или гарантийных</w:t>
      </w:r>
      <w:r>
        <w:rPr>
          <w:rFonts w:eastAsiaTheme="minorHAnsi"/>
          <w:sz w:val="22"/>
          <w:szCs w:val="22"/>
          <w:highlight w:val="white"/>
          <w:lang w:eastAsia="en-US"/>
        </w:rPr>
        <w:t xml:space="preserve"> обязательств по контракту </w:t>
      </w:r>
      <w:r>
        <w:rPr>
          <w:rFonts w:eastAsiaTheme="minorHAnsi"/>
          <w:b/>
          <w:sz w:val="22"/>
          <w:szCs w:val="22"/>
          <w:highlight w:val="white"/>
          <w:lang w:eastAsia="en-US"/>
        </w:rPr>
        <w:t xml:space="preserve">№ </w:t>
      </w:r>
      <w:r>
        <w:rPr>
          <w:rFonts w:eastAsiaTheme="minorHAnsi"/>
          <w:b/>
          <w:sz w:val="22"/>
          <w:szCs w:val="22"/>
          <w:highlight w:val="white"/>
          <w:lang w:eastAsia="en-US"/>
        </w:rPr>
        <w:t xml:space="preserve">______________</w:t>
      </w:r>
      <w:r>
        <w:rPr>
          <w:rFonts w:eastAsiaTheme="minorHAnsi"/>
          <w:b/>
          <w:sz w:val="22"/>
          <w:szCs w:val="22"/>
          <w:highlight w:val="white"/>
          <w:lang w:eastAsia="en-US"/>
        </w:rPr>
        <w:t xml:space="preserve"> (ИКЗ </w:t>
      </w:r>
      <w:r>
        <w:rPr>
          <w:rFonts w:eastAsiaTheme="minorHAnsi"/>
          <w:b/>
          <w:sz w:val="22"/>
          <w:szCs w:val="22"/>
          <w:highlight w:val="white"/>
          <w:lang w:eastAsia="en-US"/>
        </w:rPr>
        <w:t xml:space="preserve">___________________</w:t>
      </w:r>
      <w:r>
        <w:rPr>
          <w:rFonts w:eastAsiaTheme="minorHAnsi"/>
          <w:b/>
          <w:sz w:val="22"/>
          <w:szCs w:val="22"/>
          <w:highlight w:val="white"/>
          <w:lang w:eastAsia="en-US"/>
        </w:rPr>
        <w:t xml:space="preserve">,</w:t>
      </w:r>
      <w:r>
        <w:rPr>
          <w:rFonts w:eastAsiaTheme="minorHAnsi"/>
          <w:sz w:val="22"/>
          <w:szCs w:val="22"/>
          <w:highlight w:val="white"/>
          <w:lang w:eastAsia="en-US"/>
        </w:rPr>
        <w:t xml:space="preserve"> </w:t>
      </w:r>
      <w:r>
        <w:rPr>
          <w:rFonts w:eastAsiaTheme="minorHAnsi"/>
          <w:b/>
          <w:sz w:val="22"/>
          <w:szCs w:val="22"/>
          <w:highlight w:val="white"/>
          <w:lang w:eastAsia="en-US"/>
        </w:rPr>
        <w:t xml:space="preserve">идентификатор соглашения: </w:t>
      </w:r>
      <w:r>
        <w:rPr>
          <w:rFonts w:eastAsiaTheme="minorHAnsi"/>
          <w:sz w:val="22"/>
          <w:szCs w:val="22"/>
          <w:highlight w:val="white"/>
          <w:lang w:eastAsia="en-US"/>
        </w:rPr>
        <w:t xml:space="preserve">0000000007526RCU0002</w:t>
      </w:r>
      <w:r>
        <w:rPr>
          <w:rFonts w:eastAsiaTheme="minorHAnsi"/>
          <w:b/>
          <w:sz w:val="22"/>
          <w:szCs w:val="22"/>
          <w:highlight w:val="white"/>
          <w:lang w:eastAsia="en-US"/>
        </w:rPr>
        <w:t xml:space="preserve">).</w:t>
      </w:r>
      <w:r>
        <w:rPr>
          <w:rFonts w:eastAsiaTheme="minorHAnsi"/>
          <w:b/>
          <w:sz w:val="22"/>
          <w:szCs w:val="22"/>
          <w:highlight w:val="white"/>
        </w:rPr>
      </w:r>
      <w:r>
        <w:rPr>
          <w:rFonts w:eastAsiaTheme="minorHAnsi"/>
          <w:b/>
          <w:sz w:val="22"/>
          <w:szCs w:val="22"/>
          <w:highlight w:val="white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Приложение 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</w:t>
      </w:r>
      <w:r>
        <w:rPr>
          <w:sz w:val="22"/>
          <w:szCs w:val="22"/>
        </w:rPr>
        <w:t xml:space="preserve">Спецификация</w:t>
      </w:r>
      <w:r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11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2125"/>
        <w:gridCol w:w="992"/>
        <w:gridCol w:w="1559"/>
        <w:gridCol w:w="850"/>
        <w:gridCol w:w="2411"/>
      </w:tblGrid>
      <w:tr>
        <w:tblPrEx/>
        <w:trPr>
          <w:trHeight w:val="743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№ п/п</w:t>
            </w:r>
            <w:r>
              <w:rPr>
                <w:rFonts w:cs="Times New Roman"/>
                <w:b/>
                <w:szCs w:val="20"/>
              </w:rPr>
            </w:r>
            <w:r>
              <w:rPr>
                <w:rFonts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51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Требуемый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параметр</w:t>
            </w:r>
            <w:r>
              <w:rPr>
                <w:rFonts w:cs="Times New Roman"/>
                <w:b/>
                <w:szCs w:val="20"/>
              </w:rPr>
            </w:r>
            <w:r>
              <w:rPr>
                <w:rFonts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Требуемое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значение</w:t>
            </w:r>
            <w:r>
              <w:rPr>
                <w:rFonts w:cs="Times New Roman"/>
                <w:b/>
                <w:szCs w:val="20"/>
              </w:rPr>
            </w:r>
            <w:r>
              <w:rPr>
                <w:rFonts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Обоснование</w:t>
            </w:r>
            <w:r>
              <w:rPr>
                <w:rFonts w:cs="Times New Roman"/>
                <w:b/>
                <w:szCs w:val="20"/>
              </w:rPr>
            </w:r>
            <w:r>
              <w:rPr>
                <w:rFonts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9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Инструкция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по 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заполнению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заявки</w:t>
            </w:r>
            <w:r>
              <w:rPr>
                <w:rFonts w:cs="Times New Roman"/>
                <w:b/>
                <w:szCs w:val="20"/>
              </w:rPr>
            </w:r>
            <w:r>
              <w:rPr>
                <w:rFonts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Кол-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во</w:t>
            </w:r>
            <w:r>
              <w:rPr>
                <w:rFonts w:cs="Times New Roman"/>
                <w:b/>
                <w:szCs w:val="20"/>
              </w:rPr>
            </w:r>
            <w:r>
              <w:rPr>
                <w:rFonts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Ед. изм.</w:t>
            </w:r>
            <w:r>
              <w:rPr>
                <w:rFonts w:cs="Times New Roman"/>
                <w:b/>
                <w:szCs w:val="20"/>
              </w:rPr>
            </w:r>
            <w:r>
              <w:rPr>
                <w:rFonts w:cs="Times New Roman"/>
                <w:b/>
                <w:szCs w:val="20"/>
              </w:rPr>
            </w:r>
          </w:p>
        </w:tc>
      </w:tr>
      <w:tr>
        <w:tblPrEx/>
        <w:trPr>
          <w:trHeight w:val="312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1</w:t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76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sz w:val="22"/>
                <w:szCs w:val="22"/>
                <w:lang w:val="ru-RU"/>
              </w:rPr>
              <w:t xml:space="preserve">Устройство мягкой фиксации лабораторных мышей</w:t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9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1</w:t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штука</w:t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</w:tr>
      <w:tr>
        <w:tblPrEx/>
        <w:trPr>
          <w:trHeight w:val="281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668" w:type="dxa"/>
            <w:textDirection w:val="lrTb"/>
            <w:noWrap w:val="false"/>
          </w:tcPr>
          <w:p>
            <w:pPr>
              <w:pStyle w:val="919"/>
              <w:numPr>
                <w:ilvl w:val="0"/>
                <w:numId w:val="0"/>
              </w:numPr>
              <w:ind w:left="33"/>
              <w:jc w:val="both"/>
              <w:rPr>
                <w:szCs w:val="20"/>
              </w:rPr>
            </w:pPr>
            <w:r>
              <w:rPr>
                <w:sz w:val="22"/>
                <w:szCs w:val="22"/>
                <w:lang w:val="ru-RU"/>
              </w:rPr>
              <w:t xml:space="preserve">Оборудование предназначено для проведения стандартизированных поведенческих тестов на лабораторных </w:t>
            </w:r>
            <w:r>
              <w:rPr>
                <w:sz w:val="22"/>
                <w:szCs w:val="22"/>
                <w:lang w:val="ru-RU"/>
              </w:rPr>
              <w:t xml:space="preserve">мышах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919"/>
              <w:numPr>
                <w:ilvl w:val="0"/>
                <w:numId w:val="0"/>
              </w:numPr>
              <w:ind w:left="33"/>
              <w:jc w:val="both"/>
              <w:rPr>
                <w:szCs w:val="20"/>
              </w:rPr>
            </w:pPr>
            <w:r>
              <w:rPr>
                <w:sz w:val="22"/>
                <w:szCs w:val="22"/>
                <w:lang w:val="ru-RU"/>
              </w:rPr>
              <w:t xml:space="preserve">Конструкция должна обеспечивать устойчивость, безопасность животного, возможность санитарной обработки и повторяемость условий эксперимента.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919"/>
              <w:numPr>
                <w:ilvl w:val="0"/>
                <w:numId w:val="0"/>
              </w:numPr>
              <w:ind w:left="33"/>
              <w:jc w:val="both"/>
              <w:rPr>
                <w:szCs w:val="20"/>
              </w:rPr>
            </w:pPr>
            <w:r>
              <w:rPr>
                <w:sz w:val="22"/>
                <w:szCs w:val="22"/>
                <w:lang w:val="ru-RU"/>
              </w:rPr>
              <w:t xml:space="preserve">Материалы элементов, непосредственно контактирующих с животными, должны быть устойчивы к применяемым средствам очистки и дезинфекции.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919"/>
              <w:numPr>
                <w:ilvl w:val="0"/>
                <w:numId w:val="0"/>
              </w:numPr>
              <w:ind w:left="33"/>
              <w:jc w:val="both"/>
              <w:rPr>
                <w:szCs w:val="20"/>
              </w:rPr>
            </w:pPr>
            <w:r>
              <w:rPr>
                <w:sz w:val="22"/>
                <w:szCs w:val="22"/>
                <w:lang w:val="ru-RU"/>
              </w:rPr>
              <w:t xml:space="preserve">Съемные элементы должны устанавливаться без применения специального инструмента, если иное прямо не предусмотрено конструкцией.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919"/>
              <w:numPr>
                <w:ilvl w:val="0"/>
                <w:numId w:val="0"/>
              </w:numPr>
              <w:ind w:left="33"/>
              <w:jc w:val="both"/>
              <w:rPr>
                <w:szCs w:val="20"/>
              </w:rPr>
            </w:pPr>
            <w:r>
              <w:rPr>
                <w:sz w:val="22"/>
                <w:szCs w:val="22"/>
                <w:lang w:val="ru-RU"/>
              </w:rPr>
              <w:t xml:space="preserve">Поставляемое оборудование должно быть новым, не бывшим в эксплуатации, комплектным и готовым к использованию.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919"/>
              <w:numPr>
                <w:ilvl w:val="0"/>
                <w:numId w:val="0"/>
              </w:numPr>
              <w:ind w:left="33"/>
              <w:jc w:val="both"/>
              <w:rPr>
                <w:rFonts w:eastAsia="Times New Roman" w:cs="Times New Roman"/>
                <w:b/>
                <w:szCs w:val="20"/>
              </w:rPr>
            </w:pPr>
            <w:r>
              <w:rPr>
                <w:sz w:val="22"/>
                <w:szCs w:val="22"/>
                <w:lang w:val="ru-RU"/>
              </w:rPr>
              <w:t xml:space="preserve">В комплект поставки должны входить паспорт изделия и гарантийные документы.</w:t>
            </w:r>
            <w:r>
              <w:rPr>
                <w:rFonts w:eastAsia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9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sz w:val="22"/>
                <w:szCs w:val="22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sz w:val="22"/>
                <w:szCs w:val="22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</w:p>
        </w:tc>
      </w:tr>
      <w:tr>
        <w:tblPrEx/>
        <w:trPr>
          <w:trHeight w:val="1422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51" w:type="dxa"/>
            <w:textDirection w:val="lrTb"/>
            <w:noWrap w:val="false"/>
          </w:tcPr>
          <w:p>
            <w:pPr>
              <w:jc w:val="both"/>
            </w:pPr>
            <w:r>
              <w:rPr>
                <w:b/>
                <w:sz w:val="22"/>
                <w:szCs w:val="22"/>
                <w:lang w:val="ru-RU"/>
              </w:rPr>
              <w:t xml:space="preserve">Назначение / конструкция</w:t>
            </w:r>
            <w:r>
              <w:rPr>
                <w:sz w:val="22"/>
                <w:szCs w:val="22"/>
                <w:lang w:val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5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  <w:lang w:val="ru-RU"/>
              </w:rPr>
              <w:t xml:space="preserve">Предназначено для контролируемой фиксации животного при проведении стандартных экспериментальных процедур.</w:t>
            </w:r>
            <w:r>
              <w:rPr>
                <w:sz w:val="22"/>
                <w:szCs w:val="22"/>
                <w:lang w:val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  <w:r>
              <w:rPr>
                <w:rFonts w:cs="Times New Roman"/>
                <w:szCs w:val="20"/>
              </w:rPr>
            </w:r>
            <w:r>
              <w:rPr>
                <w:rFonts w:cs="Times New Roman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9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 w:val="22"/>
                <w:szCs w:val="22"/>
                <w:lang w:val="ru-RU"/>
              </w:rPr>
            </w:r>
            <w:r>
              <w:rPr>
                <w:rFonts w:eastAsia="Times New Roman" w:cs="Times New Roman"/>
                <w:szCs w:val="20"/>
              </w:rPr>
            </w:r>
            <w:r>
              <w:rPr>
                <w:rFonts w:eastAsia="Times New Roman" w:cs="Times New Roman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sz w:val="22"/>
                <w:szCs w:val="22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sz w:val="22"/>
                <w:szCs w:val="22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</w:p>
        </w:tc>
      </w:tr>
      <w:tr>
        <w:tblPrEx/>
        <w:trPr>
          <w:trHeight w:val="413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51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Материал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5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  <w:lang w:val="ru-RU"/>
              </w:rPr>
              <w:t xml:space="preserve">Прозрачный</w:t>
            </w:r>
            <w:r>
              <w:rPr>
                <w:sz w:val="22"/>
                <w:szCs w:val="22"/>
                <w:lang w:val="ru-RU"/>
              </w:rPr>
              <w:t xml:space="preserve"> акриловый или аналогичный жесткий прозрачный материал с гладкими поверхностями.</w:t>
            </w:r>
            <w:r>
              <w:rPr>
                <w:sz w:val="22"/>
                <w:szCs w:val="22"/>
                <w:lang w:val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9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sz w:val="22"/>
                <w:szCs w:val="22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sz w:val="22"/>
                <w:szCs w:val="22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51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Размеры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5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9×3×2</w:t>
            </w:r>
            <w:r>
              <w:rPr>
                <w:sz w:val="22"/>
                <w:szCs w:val="22"/>
              </w:rPr>
              <w:t xml:space="preserve">,7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см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  <w:r>
              <w:rPr>
                <w:rFonts w:cs="Times New Roman"/>
                <w:szCs w:val="20"/>
              </w:rPr>
            </w:r>
            <w:r>
              <w:rPr>
                <w:rFonts w:cs="Times New Roman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9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  <w:r>
              <w:rPr>
                <w:rFonts w:cs="Times New Roman"/>
                <w:szCs w:val="20"/>
              </w:rPr>
            </w:r>
            <w:r>
              <w:rPr>
                <w:rFonts w:cs="Times New Roman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sz w:val="22"/>
                <w:szCs w:val="22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sz w:val="22"/>
                <w:szCs w:val="22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51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Функциональные требования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5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  <w:lang w:val="ru-RU"/>
              </w:rPr>
              <w:t xml:space="preserve">Фиксация должна осуществляться мягкой регулируемой системой с двумя подвижными ограничителями, позволяющей </w:t>
            </w:r>
            <w:r>
              <w:rPr>
                <w:sz w:val="22"/>
                <w:szCs w:val="22"/>
                <w:lang w:val="ru-RU"/>
              </w:rPr>
              <w:t xml:space="preserve">адаптировать изделие к размеру животного без </w:t>
            </w:r>
            <w:r>
              <w:rPr>
                <w:sz w:val="22"/>
                <w:szCs w:val="22"/>
                <w:lang w:val="ru-RU"/>
              </w:rPr>
              <w:t xml:space="preserve">травмирования</w:t>
            </w:r>
            <w:r>
              <w:rPr>
                <w:sz w:val="22"/>
                <w:szCs w:val="22"/>
                <w:lang w:val="ru-RU"/>
              </w:rPr>
              <w:t xml:space="preserve"> и чрезмерного давления.</w:t>
            </w:r>
            <w:r>
              <w:rPr>
                <w:sz w:val="22"/>
                <w:szCs w:val="22"/>
                <w:lang w:val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  <w:r>
              <w:rPr>
                <w:rFonts w:cs="Times New Roman"/>
                <w:szCs w:val="20"/>
              </w:rPr>
            </w:r>
            <w:r>
              <w:rPr>
                <w:rFonts w:cs="Times New Roman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9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  <w:r>
              <w:rPr>
                <w:rFonts w:cs="Times New Roman"/>
                <w:szCs w:val="20"/>
              </w:rPr>
            </w:r>
            <w:r>
              <w:rPr>
                <w:rFonts w:cs="Times New Roman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sz w:val="22"/>
                <w:szCs w:val="22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sz w:val="22"/>
                <w:szCs w:val="22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51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Комплектация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5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  <w:lang w:val="ru-RU"/>
              </w:rPr>
              <w:t xml:space="preserve">Комплект: устройство фиксации, паспорт, </w:t>
            </w:r>
            <w:r>
              <w:rPr>
                <w:sz w:val="22"/>
                <w:szCs w:val="22"/>
                <w:lang w:val="ru-RU"/>
              </w:rPr>
              <w:t xml:space="preserve">С</w:t>
            </w:r>
            <w:r>
              <w:rPr>
                <w:sz w:val="22"/>
                <w:szCs w:val="22"/>
                <w:lang w:val="ru-RU"/>
              </w:rPr>
              <w:t xml:space="preserve">гарантийные</w:t>
            </w:r>
            <w:r>
              <w:rPr>
                <w:sz w:val="22"/>
                <w:szCs w:val="22"/>
                <w:lang w:val="ru-RU"/>
              </w:rPr>
              <w:t xml:space="preserve"> документы.</w:t>
            </w:r>
            <w:r>
              <w:rPr>
                <w:sz w:val="22"/>
                <w:szCs w:val="22"/>
                <w:lang w:val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  <w:r>
              <w:rPr>
                <w:rFonts w:cs="Times New Roman"/>
                <w:szCs w:val="20"/>
              </w:rPr>
            </w:r>
            <w:r>
              <w:rPr>
                <w:rFonts w:cs="Times New Roman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9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  <w:r>
              <w:rPr>
                <w:rFonts w:cs="Times New Roman"/>
                <w:szCs w:val="20"/>
              </w:rPr>
            </w:r>
            <w:r>
              <w:rPr>
                <w:rFonts w:cs="Times New Roman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sz w:val="22"/>
                <w:szCs w:val="22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sz w:val="22"/>
                <w:szCs w:val="22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51" w:type="dxa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Срок поставки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7938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</w:rPr>
            </w:pPr>
            <w:r>
              <w:rPr>
                <w:rFonts w:eastAsia="SimSun" w:cs="Times New Roman"/>
                <w:b/>
                <w:bCs/>
                <w:color w:val="000000"/>
                <w:sz w:val="22"/>
                <w:szCs w:val="22"/>
                <w:lang w:val="ru-RU" w:eastAsia="zh-CN"/>
              </w:rPr>
              <w:t xml:space="preserve">120 календарных дней</w:t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</w:rPr>
            </w:r>
          </w:p>
        </w:tc>
      </w:tr>
    </w:tbl>
    <w:p>
      <w:pPr>
        <w:contextualSpacing/>
        <w:jc w:val="both"/>
        <w:shd w:val="clear" w:color="auto" w:fill="ffffff"/>
        <w:rPr>
          <w:b/>
          <w:bCs/>
          <w:color w:val="1a1a1a"/>
          <w:sz w:val="22"/>
          <w:szCs w:val="22"/>
        </w:rPr>
      </w:pPr>
      <w:r>
        <w:rPr>
          <w:b/>
          <w:bCs/>
          <w:color w:val="1a1a1a"/>
          <w:sz w:val="22"/>
          <w:szCs w:val="22"/>
          <w:lang w:eastAsia="ru-RU"/>
        </w:rPr>
      </w:r>
      <w:r>
        <w:rPr>
          <w:b/>
          <w:bCs/>
          <w:color w:val="1a1a1a"/>
          <w:sz w:val="22"/>
          <w:szCs w:val="22"/>
        </w:rPr>
      </w:r>
      <w:r>
        <w:rPr>
          <w:b/>
          <w:bCs/>
          <w:color w:val="1a1a1a"/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Приложение №2 </w:t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Образец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center"/>
        <w:rPr>
          <w:rFonts w:eastAsiaTheme="minorHAnsi"/>
          <w:sz w:val="22"/>
          <w:szCs w:val="22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eastAsiaTheme="minorHAnsi"/>
          <w:sz w:val="22"/>
          <w:szCs w:val="22"/>
          <w:lang w:eastAsia="en-US"/>
        </w:rPr>
        <w:t xml:space="preserve">АКТ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center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ВВОДА ОБОРУДОВАНИЯ В ЭКСПЛУАТАЦИЮ, ОКАЗАНИЯ УСЛУГ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center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ПО ОБУЧЕНИЮ ПРАВИЛАМ ЭКСПЛУАТАЦИИ И ИНСТРУКТАЖУ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center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СПЕЦИАЛИСТОВ ПО КОНТРАКТУ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center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ОТ "___" __________ 202___ г. N ____________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center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center"/>
        <w:rPr>
          <w:rFonts w:eastAsiaTheme="minorHAns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идентификатор соглашения – </w:t>
      </w:r>
      <w:r>
        <w:rPr>
          <w:rFonts w:eastAsiaTheme="minorHAnsi"/>
          <w:b/>
          <w:bCs/>
          <w:sz w:val="22"/>
          <w:szCs w:val="22"/>
          <w:highlight w:val="green"/>
          <w:lang w:eastAsia="en-US"/>
        </w:rPr>
        <w:t xml:space="preserve">0000000007526RCU0002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center"/>
        <w:rPr>
          <w:color w:val="000000"/>
          <w:sz w:val="22"/>
          <w:szCs w:val="22"/>
          <w:shd w:val="clear" w:color="auto" w:fill="ffffff"/>
        </w:rPr>
      </w:pPr>
      <w:r>
        <w:rPr>
          <w:rFonts w:eastAsiaTheme="minorHAnsi"/>
          <w:sz w:val="22"/>
          <w:szCs w:val="22"/>
          <w:lang w:eastAsia="en-US"/>
        </w:rPr>
        <w:t xml:space="preserve">ИКЗ </w:t>
      </w:r>
      <w:r>
        <w:rPr>
          <w:color w:val="000000"/>
          <w:sz w:val="22"/>
          <w:szCs w:val="22"/>
          <w:shd w:val="clear" w:color="auto" w:fill="ffffff"/>
        </w:rPr>
        <w:t xml:space="preserve">_____________________________</w:t>
      </w:r>
      <w:r>
        <w:rPr>
          <w:color w:val="000000"/>
          <w:sz w:val="22"/>
          <w:szCs w:val="22"/>
          <w:shd w:val="clear" w:color="auto" w:fill="ffffff"/>
        </w:rPr>
      </w:r>
      <w:r>
        <w:rPr>
          <w:color w:val="000000"/>
          <w:sz w:val="22"/>
          <w:szCs w:val="22"/>
          <w:shd w:val="clear" w:color="auto" w:fill="ffffff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Поставщик __________ (</w:t>
      </w:r>
      <w:r>
        <w:rPr>
          <w:rFonts w:eastAsiaTheme="minorHAnsi"/>
          <w:i/>
          <w:sz w:val="22"/>
          <w:szCs w:val="22"/>
          <w:lang w:eastAsia="en-US"/>
        </w:rPr>
        <w:t xml:space="preserve">полное наименование</w:t>
      </w:r>
      <w:r>
        <w:rPr>
          <w:rFonts w:eastAsiaTheme="minorHAnsi"/>
          <w:sz w:val="22"/>
          <w:szCs w:val="22"/>
          <w:lang w:eastAsia="en-US"/>
        </w:rPr>
        <w:t xml:space="preserve">), в лице __________ (</w:t>
      </w:r>
      <w:r>
        <w:rPr>
          <w:rFonts w:eastAsiaTheme="minorHAnsi"/>
          <w:i/>
          <w:sz w:val="22"/>
          <w:szCs w:val="22"/>
          <w:lang w:eastAsia="en-US"/>
        </w:rPr>
        <w:t xml:space="preserve">должность, фамилия, имя, отчество (при наличии) лица, подписывающего Акт</w:t>
      </w:r>
      <w:r>
        <w:rPr>
          <w:rFonts w:eastAsiaTheme="minorHAnsi"/>
          <w:sz w:val="22"/>
          <w:szCs w:val="22"/>
          <w:lang w:eastAsia="en-US"/>
        </w:rPr>
        <w:t xml:space="preserve">), действующего на основании __________ (</w:t>
      </w:r>
      <w:r>
        <w:rPr>
          <w:rFonts w:eastAsiaTheme="minorHAnsi"/>
          <w:i/>
          <w:sz w:val="22"/>
          <w:szCs w:val="22"/>
          <w:lang w:eastAsia="en-US"/>
        </w:rPr>
        <w:t xml:space="preserve">указываются реквизиты документа, удостоверяющие полномочия лица на подписание Акта</w:t>
      </w:r>
      <w:r>
        <w:rPr>
          <w:rFonts w:eastAsiaTheme="minorHAnsi"/>
          <w:sz w:val="22"/>
          <w:szCs w:val="22"/>
          <w:lang w:eastAsia="en-US"/>
        </w:rPr>
        <w:t xml:space="preserve">), с одной стороны, 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и Заказчик Федеральное государственное бюджетное научное учреждение «Российский центр неврологии и нейронаук» в лице ______________________________________________________________ (</w:t>
      </w:r>
      <w:r>
        <w:rPr>
          <w:rFonts w:eastAsiaTheme="minorHAnsi"/>
          <w:i/>
          <w:sz w:val="22"/>
          <w:szCs w:val="22"/>
          <w:lang w:eastAsia="en-US"/>
        </w:rPr>
        <w:t xml:space="preserve">должность, фамилия, имя, отчество (при наличии) лица, подписывающего Акт</w:t>
      </w:r>
      <w:r>
        <w:rPr>
          <w:rFonts w:eastAsiaTheme="minorHAnsi"/>
          <w:sz w:val="22"/>
          <w:szCs w:val="22"/>
          <w:lang w:eastAsia="en-US"/>
        </w:rPr>
        <w:t xml:space="preserve">), действующего на основании _________________________________ (</w:t>
      </w:r>
      <w:r>
        <w:rPr>
          <w:rFonts w:eastAsiaTheme="minorHAnsi"/>
          <w:i/>
          <w:sz w:val="22"/>
          <w:szCs w:val="22"/>
          <w:lang w:eastAsia="en-US"/>
        </w:rPr>
        <w:t xml:space="preserve">указываются реквизиты документа, удостоверяющие полномочия лица на подписание Акта</w:t>
      </w:r>
      <w:r>
        <w:rPr>
          <w:rFonts w:eastAsiaTheme="minorHAnsi"/>
          <w:sz w:val="22"/>
          <w:szCs w:val="22"/>
          <w:lang w:eastAsia="en-US"/>
        </w:rPr>
        <w:t xml:space="preserve">), с другой стороны, составили настоящий Акт о следующем: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Поставщик осуществил сборку, установку, монтаж и ввод Оборудования в эксплуатацию, а Заказчик принял следующее Оборудование к эксплуатации:__________________________________________________________ (</w:t>
      </w:r>
      <w:r>
        <w:rPr>
          <w:rFonts w:eastAsiaTheme="minorHAnsi"/>
          <w:i/>
          <w:sz w:val="22"/>
          <w:szCs w:val="22"/>
          <w:lang w:eastAsia="en-US"/>
        </w:rPr>
        <w:t xml:space="preserve">описание Оборудования</w:t>
      </w:r>
      <w:r>
        <w:rPr>
          <w:rFonts w:eastAsiaTheme="minorHAnsi"/>
          <w:sz w:val="22"/>
          <w:szCs w:val="22"/>
          <w:lang w:eastAsia="en-US"/>
        </w:rPr>
        <w:t xml:space="preserve">).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Заводские (серийные) NN ______________________________________________________________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Перечень работ по вводу в эксплуатацию Оборудования: ____________________________________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Результаты испытаний Оборудования: ____________________________________________________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Оборудование находится в рабочем состоянии и отвечает техническим требованиям Контракта.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Получатель к установленному и введенному в эксплуатацию Оборудованию претензий не имеет.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В сроки предусмотренные условиями Контракта ___________________________________, Поставщиком проведены обучение правилам эксплуатации и инструктаж по правилам эксплуатации Оборудования следующих специалистов Заказчика (Получателя):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1. _____________________________________________________________________________________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2. ____________________________________________________________________________________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Обучение правилам эксплуатации и инструктаж специалистов Заказчика проведены в соответствии с порядком и программой обучения и инструктажа, технической и (или) эксплуатационной документацией производителя (изготовителя) Оборудования: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______________________________________________________________________________________(</w:t>
      </w:r>
      <w:r>
        <w:rPr>
          <w:rFonts w:eastAsiaTheme="minorHAnsi"/>
          <w:i/>
          <w:sz w:val="22"/>
          <w:szCs w:val="22"/>
          <w:lang w:eastAsia="en-US"/>
        </w:rPr>
        <w:t xml:space="preserve">дать краткое описание программы обучения эксплуатации и инструктажа</w:t>
      </w:r>
      <w:r>
        <w:rPr>
          <w:rFonts w:eastAsiaTheme="minorHAnsi"/>
          <w:sz w:val="22"/>
          <w:szCs w:val="22"/>
          <w:lang w:eastAsia="en-US"/>
        </w:rPr>
        <w:t xml:space="preserve">)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В результате проведенного обучения правилам эксплуатации и инструктажа специалисты Заказчика могут самостоятельно эксплуатировать Оборудование, в соответствии с технической и (или) эксплуатационной документацией производителя (изготовителя) Оборудования.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К настоящему Акту прилагаются следующие документы, подтверждающие ввод Оборудования в эксплуатацию и проведение обучения правилам эксплуатации и инструктажа специалистов Заказчика: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spacing w:before="220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________________________________ (</w:t>
      </w:r>
      <w:r>
        <w:rPr>
          <w:rFonts w:eastAsiaTheme="minorHAnsi"/>
          <w:i/>
          <w:sz w:val="22"/>
          <w:szCs w:val="22"/>
          <w:lang w:eastAsia="en-US"/>
        </w:rPr>
        <w:t xml:space="preserve">перечислить документы при наличии</w:t>
      </w:r>
      <w:r>
        <w:rPr>
          <w:rFonts w:eastAsiaTheme="minorHAnsi"/>
          <w:sz w:val="22"/>
          <w:szCs w:val="22"/>
          <w:lang w:eastAsia="en-US"/>
        </w:rPr>
        <w:t xml:space="preserve">).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spacing w:before="220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88"/>
        <w:gridCol w:w="3723"/>
        <w:gridCol w:w="1474"/>
        <w:gridCol w:w="3572"/>
      </w:tblGrid>
      <w:tr>
        <w:tblPrEx/>
        <w:trPr/>
        <w:tc>
          <w:tcPr>
            <w:tcW w:w="388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</w:rPr>
            </w:r>
            <w:r>
              <w:rPr>
                <w:rFonts w:eastAsiaTheme="minorHAnsi"/>
                <w:sz w:val="22"/>
                <w:szCs w:val="22"/>
              </w:rPr>
            </w:r>
          </w:p>
        </w:tc>
        <w:tc>
          <w:tcPr>
            <w:tcW w:w="3723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Заказчик:</w:t>
            </w:r>
            <w:r>
              <w:rPr>
                <w:rFonts w:eastAsiaTheme="minorHAnsi"/>
                <w:sz w:val="22"/>
                <w:szCs w:val="22"/>
              </w:rPr>
            </w:r>
            <w:r>
              <w:rPr>
                <w:rFonts w:eastAsiaTheme="minorHAnsi"/>
                <w:sz w:val="22"/>
                <w:szCs w:val="22"/>
              </w:rPr>
            </w:r>
          </w:p>
          <w:p>
            <w:pPr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                                                          </w:t>
            </w:r>
            <w:r>
              <w:rPr>
                <w:rFonts w:eastAsiaTheme="minorHAnsi"/>
                <w:sz w:val="22"/>
                <w:szCs w:val="22"/>
              </w:rPr>
            </w:r>
            <w:r>
              <w:rPr>
                <w:rFonts w:eastAsiaTheme="minorHAnsi"/>
                <w:sz w:val="22"/>
                <w:szCs w:val="22"/>
              </w:rPr>
            </w:r>
          </w:p>
        </w:tc>
        <w:tc>
          <w:tcPr>
            <w:tcW w:w="1474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</w:rPr>
            </w:r>
            <w:r>
              <w:rPr>
                <w:rFonts w:eastAsiaTheme="minorHAnsi"/>
                <w:sz w:val="22"/>
                <w:szCs w:val="22"/>
              </w:rPr>
            </w:r>
          </w:p>
        </w:tc>
        <w:tc>
          <w:tcPr>
            <w:tcW w:w="3572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Поставщик:</w:t>
            </w:r>
            <w:r>
              <w:rPr>
                <w:rFonts w:eastAsiaTheme="minorHAnsi"/>
                <w:sz w:val="22"/>
                <w:szCs w:val="22"/>
              </w:rPr>
            </w:r>
            <w:r>
              <w:rPr>
                <w:rFonts w:eastAsiaTheme="minorHAnsi"/>
                <w:sz w:val="22"/>
                <w:szCs w:val="22"/>
              </w:rPr>
            </w:r>
          </w:p>
          <w:p>
            <w:pPr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</w:rPr>
            </w:r>
            <w:r>
              <w:rPr>
                <w:rFonts w:eastAsiaTheme="minorHAnsi"/>
                <w:sz w:val="22"/>
                <w:szCs w:val="22"/>
              </w:rPr>
            </w:r>
          </w:p>
          <w:p>
            <w:pPr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</w:rPr>
            </w:r>
            <w:r>
              <w:rPr>
                <w:rFonts w:eastAsiaTheme="minorHAnsi"/>
                <w:sz w:val="22"/>
                <w:szCs w:val="22"/>
              </w:rPr>
            </w:r>
          </w:p>
          <w:p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 / ___________/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                                                    </w:t>
            </w:r>
            <w:r>
              <w:rPr>
                <w:rFonts w:eastAsiaTheme="minorHAnsi"/>
                <w:sz w:val="22"/>
                <w:szCs w:val="22"/>
              </w:rPr>
            </w:r>
            <w:r>
              <w:rPr>
                <w:rFonts w:eastAsiaTheme="minorHAnsi"/>
                <w:sz w:val="22"/>
                <w:szCs w:val="22"/>
              </w:rPr>
            </w:r>
          </w:p>
        </w:tc>
      </w:tr>
    </w:tbl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993" w:right="424" w:bottom="709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00000000000000000"/>
  </w:font>
  <w:font w:name="Tahoma">
    <w:panose1 w:val="020B0604030504040204"/>
  </w:font>
  <w:font w:name="MS Mincho">
    <w:panose1 w:val="02020503050405090304"/>
  </w:font>
  <w:font w:name="Symbol">
    <w:panose1 w:val="05050102010706020507"/>
  </w:font>
  <w:font w:name="Verdana">
    <w:panose1 w:val="020B0604030504040204"/>
  </w:font>
  <w:font w:name="SimSun">
    <w:panose1 w:val="02010600030101010101"/>
  </w:font>
  <w:font w:name="Calibri">
    <w:panose1 w:val="020F0502020204030204"/>
  </w:font>
  <w:font w:name="Batang">
    <w:panose1 w:val="02010600030101010101"/>
  </w:font>
  <w:font w:name="Times New Roman">
    <w:panose1 w:val="02020603050405020304"/>
  </w:font>
  <w:font w:name="Arial Narrow">
    <w:panose1 w:val="020B0604020202020204"/>
  </w:font>
  <w:font w:name="Microsoft YaHei">
    <w:panose1 w:val="020B0503020204020204"/>
  </w:font>
  <w:font w:name="Courier New">
    <w:panose1 w:val="02070309020205020404"/>
  </w:font>
  <w:font w:name="Mangal">
    <w:panose1 w:val="02040503050406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pStyle w:val="899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  <w:rPr>
        <w:b/>
        <w:i w:val="0"/>
      </w:rPr>
    </w:lvl>
    <w:lvl w:ilvl="1">
      <w:start w:val="1"/>
      <w:numFmt w:val="decimal"/>
      <w:pStyle w:val="900"/>
      <w:isLgl w:val="false"/>
      <w:suff w:val="tab"/>
      <w:lvlText w:val="%1.%2"/>
      <w:lvlJc w:val="left"/>
      <w:pPr>
        <w:ind w:left="2269" w:hanging="851"/>
        <w:tabs>
          <w:tab w:val="num" w:pos="2269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901"/>
      <w:isLgl w:val="false"/>
      <w:suff w:val="tab"/>
      <w:lvlText w:val="%1.%2.%3"/>
      <w:lvlJc w:val="left"/>
      <w:pPr>
        <w:ind w:left="851" w:hanging="851"/>
        <w:tabs>
          <w:tab w:val="num" w:pos="851" w:leader="none"/>
        </w:tabs>
      </w:pPr>
      <w:rPr>
        <w:b w:val="0"/>
        <w:bCs w:val="0"/>
        <w:i w:val="0"/>
        <w:iCs w:val="0"/>
      </w:rPr>
    </w:lvl>
    <w:lvl w:ilvl="3">
      <w:start w:val="1"/>
      <w:numFmt w:val="lowerLetter"/>
      <w:pStyle w:val="902"/>
      <w:isLgl w:val="false"/>
      <w:suff w:val="tab"/>
      <w:lvlText w:val="%4)"/>
      <w:lvlJc w:val="left"/>
      <w:pPr>
        <w:ind w:left="1418" w:hanging="567"/>
        <w:tabs>
          <w:tab w:val="num" w:pos="1418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isLgl w:val="false"/>
      <w:suff w:val="tab"/>
      <w:lvlText w:val="%5)"/>
      <w:lvlJc w:val="left"/>
      <w:pPr>
        <w:ind w:left="1134" w:hanging="567"/>
        <w:tabs>
          <w:tab w:val="num" w:pos="1134" w:leader="none"/>
        </w:tabs>
      </w:pPr>
    </w:lvl>
    <w:lvl w:ilvl="5">
      <w:start w:val="1"/>
      <w:numFmt w:val="bullet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ascii="Symbol" w:hAnsi="Symbol"/>
      </w:rPr>
    </w:lvl>
    <w:lvl w:ilvl="6">
      <w:start w:val="1"/>
      <w:numFmt w:val="lowerLetter"/>
      <w:isLgl w:val="false"/>
      <w:suff w:val="tab"/>
      <w:lvlText w:val="%5%6%7)"/>
      <w:lvlJc w:val="left"/>
      <w:pPr>
        <w:ind w:left="2268" w:hanging="567"/>
        <w:tabs>
          <w:tab w:val="num" w:pos="226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2" w:hanging="1224"/>
        <w:tabs>
          <w:tab w:val="num" w:pos="397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98" w:hanging="1440"/>
        <w:tabs>
          <w:tab w:val="num" w:pos="4698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4.4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8371" w:hanging="432"/>
        <w:tabs>
          <w:tab w:val="num" w:pos="2693" w:leader="none"/>
        </w:tabs>
      </w:pPr>
      <w:rPr>
        <w:rFonts w:ascii="Times New Roman" w:hAnsi="Times New Roman" w:cs="Times New Roman"/>
        <w:b/>
        <w:bCs/>
        <w:color w:val="00000a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 w:default="1">
    <w:name w:val="Normal"/>
    <w:rPr>
      <w:sz w:val="24"/>
      <w:szCs w:val="24"/>
      <w:lang w:eastAsia="ar-SA"/>
    </w:rPr>
  </w:style>
  <w:style w:type="paragraph" w:styleId="675">
    <w:name w:val="Heading 1"/>
    <w:basedOn w:val="674"/>
    <w:link w:val="907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676">
    <w:name w:val="Heading 2"/>
    <w:basedOn w:val="674"/>
    <w:next w:val="674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7">
    <w:name w:val="Heading 3"/>
    <w:basedOn w:val="674"/>
    <w:next w:val="674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8">
    <w:name w:val="Heading 4"/>
    <w:basedOn w:val="674"/>
    <w:next w:val="674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9">
    <w:name w:val="Heading 5"/>
    <w:basedOn w:val="674"/>
    <w:next w:val="674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80">
    <w:name w:val="Heading 6"/>
    <w:basedOn w:val="674"/>
    <w:next w:val="674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1">
    <w:name w:val="Heading 7"/>
    <w:basedOn w:val="674"/>
    <w:next w:val="674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674"/>
    <w:next w:val="674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3">
    <w:name w:val="Heading 9"/>
    <w:basedOn w:val="674"/>
    <w:next w:val="674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4" w:default="1">
    <w:name w:val="Default Paragraph Font"/>
    <w:uiPriority w:val="1"/>
    <w:semiHidden/>
    <w:unhideWhenUsed/>
  </w:style>
  <w:style w:type="table" w:styleId="68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6" w:default="1">
    <w:name w:val="No List"/>
    <w:uiPriority w:val="99"/>
    <w:semiHidden/>
    <w:unhideWhenUsed/>
  </w:style>
  <w:style w:type="character" w:styleId="687" w:customStyle="1">
    <w:name w:val="Heading 2 Char"/>
    <w:basedOn w:val="684"/>
    <w:uiPriority w:val="9"/>
    <w:rPr>
      <w:rFonts w:ascii="Arial" w:hAnsi="Arial" w:eastAsia="Arial" w:cs="Arial"/>
      <w:sz w:val="34"/>
    </w:rPr>
  </w:style>
  <w:style w:type="character" w:styleId="688" w:customStyle="1">
    <w:name w:val="Heading 3 Char"/>
    <w:basedOn w:val="684"/>
    <w:uiPriority w:val="9"/>
    <w:rPr>
      <w:rFonts w:ascii="Arial" w:hAnsi="Arial" w:eastAsia="Arial" w:cs="Arial"/>
      <w:sz w:val="30"/>
      <w:szCs w:val="30"/>
    </w:rPr>
  </w:style>
  <w:style w:type="character" w:styleId="689" w:customStyle="1">
    <w:name w:val="Heading 4 Char"/>
    <w:basedOn w:val="684"/>
    <w:uiPriority w:val="9"/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Heading 5 Char"/>
    <w:basedOn w:val="684"/>
    <w:uiPriority w:val="9"/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Heading 6 Char"/>
    <w:basedOn w:val="684"/>
    <w:uiPriority w:val="9"/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Heading 7 Char"/>
    <w:basedOn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Heading 8 Char"/>
    <w:basedOn w:val="684"/>
    <w:uiPriority w:val="9"/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Heading 9 Char"/>
    <w:basedOn w:val="684"/>
    <w:uiPriority w:val="9"/>
    <w:rPr>
      <w:rFonts w:ascii="Arial" w:hAnsi="Arial" w:eastAsia="Arial" w:cs="Arial"/>
      <w:i/>
      <w:iCs/>
      <w:sz w:val="21"/>
      <w:szCs w:val="21"/>
    </w:rPr>
  </w:style>
  <w:style w:type="character" w:styleId="695" w:customStyle="1">
    <w:name w:val="Title Char"/>
    <w:basedOn w:val="684"/>
    <w:uiPriority w:val="10"/>
    <w:rPr>
      <w:sz w:val="48"/>
      <w:szCs w:val="48"/>
    </w:rPr>
  </w:style>
  <w:style w:type="character" w:styleId="696" w:customStyle="1">
    <w:name w:val="Subtitle Char"/>
    <w:basedOn w:val="684"/>
    <w:uiPriority w:val="11"/>
    <w:rPr>
      <w:sz w:val="24"/>
      <w:szCs w:val="24"/>
    </w:rPr>
  </w:style>
  <w:style w:type="character" w:styleId="697" w:customStyle="1">
    <w:name w:val="Quote Char"/>
    <w:uiPriority w:val="29"/>
    <w:rPr>
      <w:i/>
    </w:rPr>
  </w:style>
  <w:style w:type="character" w:styleId="698" w:customStyle="1">
    <w:name w:val="Intense Quote Char"/>
    <w:uiPriority w:val="30"/>
    <w:rPr>
      <w:i/>
    </w:rPr>
  </w:style>
  <w:style w:type="character" w:styleId="699" w:customStyle="1">
    <w:name w:val="Header Char"/>
    <w:basedOn w:val="684"/>
    <w:uiPriority w:val="99"/>
  </w:style>
  <w:style w:type="character" w:styleId="700" w:customStyle="1">
    <w:name w:val="Caption Char"/>
    <w:uiPriority w:val="99"/>
  </w:style>
  <w:style w:type="character" w:styleId="701" w:customStyle="1">
    <w:name w:val="Footnote Text Char"/>
    <w:uiPriority w:val="99"/>
    <w:rPr>
      <w:sz w:val="18"/>
    </w:rPr>
  </w:style>
  <w:style w:type="character" w:styleId="702" w:customStyle="1">
    <w:name w:val="Endnote Text Char"/>
    <w:uiPriority w:val="99"/>
    <w:rPr>
      <w:sz w:val="20"/>
    </w:rPr>
  </w:style>
  <w:style w:type="character" w:styleId="703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link w:val="676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link w:val="677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link w:val="678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link w:val="679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link w:val="680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link w:val="6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link w:val="682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link w:val="683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No Spacing"/>
    <w:rPr>
      <w:sz w:val="24"/>
      <w:szCs w:val="24"/>
      <w:lang w:eastAsia="ru-RU"/>
    </w:rPr>
  </w:style>
  <w:style w:type="paragraph" w:styleId="713">
    <w:name w:val="Title"/>
    <w:basedOn w:val="674"/>
    <w:next w:val="889"/>
    <w:link w:val="714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character" w:styleId="714" w:customStyle="1">
    <w:name w:val="Заголовок Знак"/>
    <w:link w:val="713"/>
    <w:uiPriority w:val="10"/>
    <w:rPr>
      <w:sz w:val="48"/>
      <w:szCs w:val="48"/>
    </w:rPr>
  </w:style>
  <w:style w:type="paragraph" w:styleId="715">
    <w:name w:val="Subtitle"/>
    <w:basedOn w:val="674"/>
    <w:next w:val="674"/>
    <w:link w:val="716"/>
    <w:uiPriority w:val="11"/>
    <w:qFormat/>
    <w:pPr>
      <w:spacing w:before="200" w:after="200"/>
    </w:pPr>
  </w:style>
  <w:style w:type="character" w:styleId="716" w:customStyle="1">
    <w:name w:val="Подзаголовок Знак"/>
    <w:link w:val="715"/>
    <w:uiPriority w:val="11"/>
    <w:rPr>
      <w:sz w:val="24"/>
      <w:szCs w:val="24"/>
    </w:rPr>
  </w:style>
  <w:style w:type="paragraph" w:styleId="717">
    <w:name w:val="Quote"/>
    <w:basedOn w:val="674"/>
    <w:next w:val="674"/>
    <w:link w:val="718"/>
    <w:uiPriority w:val="29"/>
    <w:qFormat/>
    <w:pPr>
      <w:ind w:left="720" w:right="720"/>
    </w:pPr>
    <w:rPr>
      <w:i/>
    </w:rPr>
  </w:style>
  <w:style w:type="character" w:styleId="718" w:customStyle="1">
    <w:name w:val="Цитата 2 Знак"/>
    <w:link w:val="717"/>
    <w:uiPriority w:val="29"/>
    <w:rPr>
      <w:i/>
    </w:rPr>
  </w:style>
  <w:style w:type="paragraph" w:styleId="719">
    <w:name w:val="Intense Quote"/>
    <w:basedOn w:val="674"/>
    <w:next w:val="674"/>
    <w:link w:val="72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 w:customStyle="1">
    <w:name w:val="Выделенная цитата Знак"/>
    <w:link w:val="719"/>
    <w:uiPriority w:val="30"/>
    <w:rPr>
      <w:i/>
    </w:rPr>
  </w:style>
  <w:style w:type="paragraph" w:styleId="721">
    <w:name w:val="Header"/>
    <w:basedOn w:val="674"/>
    <w:link w:val="72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2" w:customStyle="1">
    <w:name w:val="Верхний колонтитул Знак"/>
    <w:link w:val="721"/>
    <w:uiPriority w:val="99"/>
  </w:style>
  <w:style w:type="paragraph" w:styleId="723">
    <w:name w:val="Footer"/>
    <w:basedOn w:val="674"/>
    <w:link w:val="72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4" w:customStyle="1">
    <w:name w:val="Footer Char"/>
    <w:uiPriority w:val="99"/>
  </w:style>
  <w:style w:type="paragraph" w:styleId="725">
    <w:name w:val="Caption"/>
    <w:basedOn w:val="674"/>
    <w:next w:val="674"/>
    <w:link w:val="7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 w:customStyle="1">
    <w:name w:val="Нижний колонтитул Знак"/>
    <w:link w:val="723"/>
    <w:uiPriority w:val="99"/>
  </w:style>
  <w:style w:type="table" w:styleId="727">
    <w:name w:val="Table Grid"/>
    <w:basedOn w:val="685"/>
    <w:tblPr/>
  </w:style>
  <w:style w:type="table" w:styleId="728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7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8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9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0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1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2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9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0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1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2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3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4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5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6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9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0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1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2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3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4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5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0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1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2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3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4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5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6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7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8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9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0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1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2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3">
    <w:name w:val="Hyperlink"/>
    <w:basedOn w:val="878"/>
    <w:rPr>
      <w:color w:val="0000ff"/>
      <w:u w:val="single"/>
    </w:rPr>
  </w:style>
  <w:style w:type="paragraph" w:styleId="854">
    <w:name w:val="footnote text"/>
    <w:basedOn w:val="674"/>
    <w:link w:val="855"/>
    <w:uiPriority w:val="99"/>
    <w:semiHidden/>
    <w:unhideWhenUsed/>
    <w:pPr>
      <w:spacing w:after="40"/>
    </w:pPr>
    <w:rPr>
      <w:sz w:val="18"/>
    </w:rPr>
  </w:style>
  <w:style w:type="character" w:styleId="855" w:customStyle="1">
    <w:name w:val="Текст сноски Знак"/>
    <w:link w:val="854"/>
    <w:uiPriority w:val="99"/>
    <w:rPr>
      <w:sz w:val="18"/>
    </w:rPr>
  </w:style>
  <w:style w:type="character" w:styleId="856">
    <w:name w:val="footnote reference"/>
    <w:uiPriority w:val="99"/>
    <w:unhideWhenUsed/>
    <w:rPr>
      <w:vertAlign w:val="superscript"/>
    </w:rPr>
  </w:style>
  <w:style w:type="paragraph" w:styleId="857">
    <w:name w:val="endnote text"/>
    <w:basedOn w:val="674"/>
    <w:link w:val="858"/>
    <w:uiPriority w:val="99"/>
    <w:semiHidden/>
    <w:unhideWhenUsed/>
    <w:rPr>
      <w:sz w:val="20"/>
    </w:rPr>
  </w:style>
  <w:style w:type="character" w:styleId="858" w:customStyle="1">
    <w:name w:val="Текст концевой сноски Знак"/>
    <w:link w:val="857"/>
    <w:uiPriority w:val="99"/>
    <w:rPr>
      <w:sz w:val="20"/>
    </w:rPr>
  </w:style>
  <w:style w:type="character" w:styleId="859">
    <w:name w:val="endnote reference"/>
    <w:uiPriority w:val="99"/>
    <w:semiHidden/>
    <w:unhideWhenUsed/>
    <w:rPr>
      <w:vertAlign w:val="superscript"/>
    </w:rPr>
  </w:style>
  <w:style w:type="paragraph" w:styleId="860">
    <w:name w:val="toc 1"/>
    <w:basedOn w:val="674"/>
    <w:next w:val="674"/>
    <w:uiPriority w:val="39"/>
    <w:unhideWhenUsed/>
    <w:pPr>
      <w:spacing w:after="57"/>
    </w:pPr>
  </w:style>
  <w:style w:type="paragraph" w:styleId="861">
    <w:name w:val="toc 2"/>
    <w:basedOn w:val="674"/>
    <w:next w:val="674"/>
    <w:uiPriority w:val="39"/>
    <w:unhideWhenUsed/>
    <w:pPr>
      <w:ind w:left="283"/>
      <w:spacing w:after="57"/>
    </w:pPr>
  </w:style>
  <w:style w:type="paragraph" w:styleId="862">
    <w:name w:val="toc 3"/>
    <w:basedOn w:val="674"/>
    <w:next w:val="674"/>
    <w:uiPriority w:val="39"/>
    <w:unhideWhenUsed/>
    <w:pPr>
      <w:ind w:left="567"/>
      <w:spacing w:after="57"/>
    </w:pPr>
  </w:style>
  <w:style w:type="paragraph" w:styleId="863">
    <w:name w:val="toc 4"/>
    <w:basedOn w:val="674"/>
    <w:next w:val="674"/>
    <w:uiPriority w:val="39"/>
    <w:unhideWhenUsed/>
    <w:pPr>
      <w:ind w:left="850"/>
      <w:spacing w:after="57"/>
    </w:pPr>
  </w:style>
  <w:style w:type="paragraph" w:styleId="864">
    <w:name w:val="toc 5"/>
    <w:basedOn w:val="674"/>
    <w:next w:val="674"/>
    <w:uiPriority w:val="39"/>
    <w:unhideWhenUsed/>
    <w:pPr>
      <w:ind w:left="1134"/>
      <w:spacing w:after="57"/>
    </w:pPr>
  </w:style>
  <w:style w:type="paragraph" w:styleId="865">
    <w:name w:val="toc 6"/>
    <w:basedOn w:val="674"/>
    <w:next w:val="674"/>
    <w:uiPriority w:val="39"/>
    <w:unhideWhenUsed/>
    <w:pPr>
      <w:ind w:left="1417"/>
      <w:spacing w:after="57"/>
    </w:pPr>
  </w:style>
  <w:style w:type="paragraph" w:styleId="866">
    <w:name w:val="toc 7"/>
    <w:basedOn w:val="674"/>
    <w:next w:val="674"/>
    <w:uiPriority w:val="39"/>
    <w:unhideWhenUsed/>
    <w:pPr>
      <w:ind w:left="1701"/>
      <w:spacing w:after="57"/>
    </w:pPr>
  </w:style>
  <w:style w:type="paragraph" w:styleId="867">
    <w:name w:val="toc 8"/>
    <w:basedOn w:val="674"/>
    <w:next w:val="674"/>
    <w:uiPriority w:val="39"/>
    <w:unhideWhenUsed/>
    <w:pPr>
      <w:ind w:left="1984"/>
      <w:spacing w:after="57"/>
    </w:pPr>
  </w:style>
  <w:style w:type="paragraph" w:styleId="868">
    <w:name w:val="toc 9"/>
    <w:basedOn w:val="674"/>
    <w:next w:val="674"/>
    <w:uiPriority w:val="39"/>
    <w:unhideWhenUsed/>
    <w:pPr>
      <w:ind w:left="2268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674"/>
    <w:next w:val="674"/>
    <w:uiPriority w:val="99"/>
    <w:unhideWhenUsed/>
  </w:style>
  <w:style w:type="character" w:styleId="871" w:customStyle="1">
    <w:name w:val="Absatz-Standardschriftart"/>
  </w:style>
  <w:style w:type="character" w:styleId="872" w:customStyle="1">
    <w:name w:val="WW8Num1z0"/>
    <w:rPr>
      <w:rFonts w:ascii="Batang" w:hAnsi="Batang" w:cs="Batang"/>
      <w:b/>
      <w:bCs/>
      <w:i w:val="0"/>
      <w:iCs w:val="0"/>
      <w:caps w:val="0"/>
      <w:smallCaps w:val="0"/>
      <w:strike w:val="0"/>
      <w:color w:val="000000"/>
      <w:spacing w:val="8"/>
      <w:position w:val="0"/>
      <w:sz w:val="18"/>
      <w:szCs w:val="18"/>
      <w:u w:val="none"/>
      <w:vertAlign w:val="baseline"/>
    </w:rPr>
  </w:style>
  <w:style w:type="character" w:styleId="873" w:customStyle="1">
    <w:name w:val="WW8Num1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4" w:customStyle="1">
    <w:name w:val="WW8Num2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5" w:customStyle="1">
    <w:name w:val="WW8Num3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6" w:customStyle="1">
    <w:name w:val="WW8Num4z0"/>
    <w:rPr>
      <w:rFonts w:ascii="Batang" w:hAnsi="Batang" w:cs="Batang"/>
      <w:b w:val="0"/>
      <w:bCs w:val="0"/>
      <w:i/>
      <w:iCs/>
      <w:caps w:val="0"/>
      <w:smallCaps w:val="0"/>
      <w:strike w:val="0"/>
      <w:color w:val="000000"/>
      <w:spacing w:val="-34"/>
      <w:position w:val="0"/>
      <w:sz w:val="18"/>
      <w:szCs w:val="18"/>
      <w:u w:val="none"/>
      <w:vertAlign w:val="baseline"/>
    </w:rPr>
  </w:style>
  <w:style w:type="character" w:styleId="877" w:customStyle="1">
    <w:name w:val="WW8Num4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18"/>
      <w:szCs w:val="18"/>
      <w:u w:val="none"/>
      <w:vertAlign w:val="baseline"/>
    </w:rPr>
  </w:style>
  <w:style w:type="character" w:styleId="878" w:customStyle="1">
    <w:name w:val="Основной шрифт абзаца1"/>
  </w:style>
  <w:style w:type="character" w:styleId="879" w:customStyle="1">
    <w:name w:val="Основной текст (2)_"/>
    <w:basedOn w:val="878"/>
    <w:rPr>
      <w:rFonts w:ascii="Batang" w:hAnsi="Batang" w:eastAsia="Batang"/>
      <w:b/>
      <w:bCs/>
      <w:spacing w:val="6"/>
      <w:sz w:val="18"/>
      <w:szCs w:val="18"/>
      <w:lang w:eastAsia="ar-SA" w:bidi="ar-SA"/>
    </w:rPr>
  </w:style>
  <w:style w:type="character" w:styleId="880" w:customStyle="1">
    <w:name w:val="Основной текст (2) + Интервал 0 pt"/>
    <w:basedOn w:val="879"/>
    <w:rPr>
      <w:rFonts w:ascii="Batang" w:hAnsi="Batang" w:eastAsia="Batang"/>
      <w:b/>
      <w:bCs/>
      <w:spacing w:val="8"/>
      <w:sz w:val="18"/>
      <w:szCs w:val="18"/>
      <w:lang w:eastAsia="ar-SA" w:bidi="ar-SA"/>
    </w:rPr>
  </w:style>
  <w:style w:type="character" w:styleId="881" w:customStyle="1">
    <w:name w:val="Основной текст_"/>
    <w:basedOn w:val="878"/>
    <w:link w:val="916"/>
    <w:rPr>
      <w:rFonts w:ascii="Batang" w:hAnsi="Batang" w:eastAsia="Batang"/>
      <w:spacing w:val="2"/>
      <w:sz w:val="18"/>
      <w:szCs w:val="18"/>
      <w:lang w:eastAsia="ar-SA" w:bidi="ar-SA"/>
    </w:rPr>
  </w:style>
  <w:style w:type="character" w:styleId="882" w:customStyle="1">
    <w:name w:val="Основной текст + Интервал 0 pt"/>
    <w:basedOn w:val="881"/>
    <w:rPr>
      <w:rFonts w:ascii="Batang" w:hAnsi="Batang" w:eastAsia="Batang"/>
      <w:spacing w:val="3"/>
      <w:sz w:val="18"/>
      <w:szCs w:val="18"/>
      <w:lang w:eastAsia="ar-SA" w:bidi="ar-SA"/>
    </w:rPr>
  </w:style>
  <w:style w:type="character" w:styleId="883" w:customStyle="1">
    <w:name w:val="Основной текст + Интервал 2 pt"/>
    <w:basedOn w:val="881"/>
    <w:rPr>
      <w:rFonts w:ascii="Batang" w:hAnsi="Batang" w:eastAsia="Batang"/>
      <w:spacing w:val="43"/>
      <w:sz w:val="18"/>
      <w:szCs w:val="18"/>
      <w:lang w:eastAsia="ar-SA" w:bidi="ar-SA"/>
    </w:rPr>
  </w:style>
  <w:style w:type="character" w:styleId="884" w:customStyle="1">
    <w:name w:val="Основной текст (2) + Интервал 0 pt1"/>
    <w:basedOn w:val="879"/>
    <w:rPr>
      <w:rFonts w:ascii="Batang" w:hAnsi="Batang" w:eastAsia="Batang" w:cs="Batang"/>
      <w:b w:val="0"/>
      <w:bCs w:val="0"/>
      <w:spacing w:val="5"/>
      <w:sz w:val="18"/>
      <w:szCs w:val="18"/>
      <w:u w:val="none"/>
      <w:lang w:eastAsia="ar-SA" w:bidi="ar-SA"/>
    </w:rPr>
  </w:style>
  <w:style w:type="character" w:styleId="885" w:customStyle="1">
    <w:name w:val="Основной текст + Arial Narrow"/>
    <w:basedOn w:val="881"/>
    <w:rPr>
      <w:rFonts w:ascii="Arial Narrow" w:hAnsi="Arial Narrow" w:eastAsia="Batang" w:cs="Arial Narrow"/>
      <w:b/>
      <w:bCs/>
      <w:spacing w:val="0"/>
      <w:sz w:val="15"/>
      <w:szCs w:val="15"/>
      <w:u w:val="none"/>
      <w:lang w:eastAsia="ar-SA" w:bidi="ar-SA"/>
    </w:rPr>
  </w:style>
  <w:style w:type="character" w:styleId="886" w:customStyle="1">
    <w:name w:val="Заголовок №1_"/>
    <w:basedOn w:val="878"/>
    <w:rPr>
      <w:rFonts w:ascii="Arial Narrow" w:hAnsi="Arial Narrow"/>
      <w:b/>
      <w:bCs/>
      <w:i/>
      <w:iCs/>
      <w:spacing w:val="2"/>
      <w:sz w:val="39"/>
      <w:szCs w:val="39"/>
      <w:lang w:eastAsia="ar-SA" w:bidi="ar-SA"/>
    </w:rPr>
  </w:style>
  <w:style w:type="character" w:styleId="887" w:customStyle="1">
    <w:name w:val="Заголовок №1 + Batang"/>
    <w:basedOn w:val="886"/>
    <w:rPr>
      <w:rFonts w:ascii="Batang" w:hAnsi="Batang" w:eastAsia="Batang" w:cs="Batang"/>
      <w:b/>
      <w:bCs/>
      <w:i/>
      <w:iCs/>
      <w:spacing w:val="6"/>
      <w:sz w:val="18"/>
      <w:szCs w:val="18"/>
      <w:lang w:eastAsia="ar-SA" w:bidi="ar-SA"/>
    </w:rPr>
  </w:style>
  <w:style w:type="character" w:styleId="888" w:customStyle="1">
    <w:name w:val="Основной текст + Интервал 0 pt1"/>
    <w:basedOn w:val="881"/>
    <w:rPr>
      <w:rFonts w:ascii="Batang" w:hAnsi="Batang" w:eastAsia="Batang"/>
      <w:spacing w:val="2"/>
      <w:sz w:val="21"/>
      <w:szCs w:val="21"/>
      <w:lang w:eastAsia="ar-SA" w:bidi="ar-SA"/>
    </w:rPr>
  </w:style>
  <w:style w:type="paragraph" w:styleId="889">
    <w:name w:val="Body Text"/>
    <w:basedOn w:val="674"/>
    <w:link w:val="903"/>
    <w:pPr>
      <w:jc w:val="both"/>
      <w:spacing w:before="300" w:after="300" w:line="240" w:lineRule="atLeast"/>
      <w:shd w:val="clear" w:color="auto" w:fill="ffffff"/>
      <w:widowControl w:val="off"/>
    </w:pPr>
    <w:rPr>
      <w:rFonts w:ascii="Batang" w:hAnsi="Batang" w:eastAsia="Batang"/>
      <w:spacing w:val="2"/>
      <w:sz w:val="18"/>
      <w:szCs w:val="18"/>
    </w:rPr>
  </w:style>
  <w:style w:type="paragraph" w:styleId="890">
    <w:name w:val="List"/>
    <w:basedOn w:val="889"/>
    <w:rPr>
      <w:rFonts w:ascii="Arial" w:hAnsi="Arial" w:cs="Mangal"/>
    </w:rPr>
  </w:style>
  <w:style w:type="paragraph" w:styleId="891" w:customStyle="1">
    <w:name w:val="Название1"/>
    <w:basedOn w:val="674"/>
    <w:pPr>
      <w:spacing w:before="120" w:after="120"/>
      <w:suppressLineNumbers/>
    </w:pPr>
    <w:rPr>
      <w:rFonts w:ascii="Arial" w:hAnsi="Arial" w:cs="Mangal"/>
      <w:i/>
      <w:iCs/>
      <w:sz w:val="20"/>
    </w:rPr>
  </w:style>
  <w:style w:type="paragraph" w:styleId="892" w:customStyle="1">
    <w:name w:val="Указатель1"/>
    <w:basedOn w:val="674"/>
    <w:pPr>
      <w:suppressLineNumbers/>
    </w:pPr>
    <w:rPr>
      <w:rFonts w:ascii="Arial" w:hAnsi="Arial" w:cs="Mangal"/>
    </w:rPr>
  </w:style>
  <w:style w:type="paragraph" w:styleId="893" w:customStyle="1">
    <w:name w:val="Основной текст (2)"/>
    <w:basedOn w:val="674"/>
    <w:pPr>
      <w:spacing w:before="60" w:after="300" w:line="240" w:lineRule="atLeast"/>
      <w:shd w:val="clear" w:color="auto" w:fill="ffffff"/>
      <w:widowControl w:val="off"/>
    </w:pPr>
    <w:rPr>
      <w:rFonts w:ascii="Batang" w:hAnsi="Batang" w:eastAsia="Batang"/>
      <w:b/>
      <w:bCs/>
      <w:spacing w:val="6"/>
      <w:sz w:val="18"/>
      <w:szCs w:val="18"/>
    </w:rPr>
  </w:style>
  <w:style w:type="paragraph" w:styleId="894" w:customStyle="1">
    <w:name w:val="Заголовок №1"/>
    <w:basedOn w:val="674"/>
    <w:pPr>
      <w:jc w:val="both"/>
      <w:spacing w:line="461" w:lineRule="exact"/>
      <w:shd w:val="clear" w:color="auto" w:fill="ffffff"/>
      <w:widowControl w:val="off"/>
    </w:pPr>
    <w:rPr>
      <w:rFonts w:ascii="Arial Narrow" w:hAnsi="Arial Narrow"/>
      <w:b/>
      <w:bCs/>
      <w:i/>
      <w:iCs/>
      <w:spacing w:val="2"/>
      <w:sz w:val="39"/>
      <w:szCs w:val="39"/>
    </w:rPr>
  </w:style>
  <w:style w:type="paragraph" w:styleId="895" w:customStyle="1">
    <w:name w:val="western"/>
    <w:basedOn w:val="674"/>
    <w:pPr>
      <w:spacing w:before="280" w:after="280"/>
    </w:pPr>
  </w:style>
  <w:style w:type="paragraph" w:styleId="896" w:customStyle="1">
    <w:name w:val="Содержимое таблицы"/>
    <w:basedOn w:val="674"/>
    <w:pPr>
      <w:suppressLineNumbers/>
    </w:pPr>
  </w:style>
  <w:style w:type="paragraph" w:styleId="897" w:customStyle="1">
    <w:name w:val="Заголовок таблицы"/>
    <w:basedOn w:val="896"/>
    <w:pPr>
      <w:jc w:val="center"/>
    </w:pPr>
    <w:rPr>
      <w:b/>
      <w:bCs/>
    </w:rPr>
  </w:style>
  <w:style w:type="character" w:styleId="898" w:customStyle="1">
    <w:name w:val="Основной текст + 4.5 pt;Интервал 0 pt4"/>
    <w:basedOn w:val="881"/>
    <w:rPr>
      <w:rFonts w:ascii="Arial Unicode MS" w:hAnsi="Batang" w:eastAsia="Arial Unicode MS"/>
      <w:spacing w:val="1"/>
      <w:sz w:val="9"/>
      <w:szCs w:val="9"/>
      <w:lang w:eastAsia="ar-SA" w:bidi="ar-SA"/>
    </w:rPr>
  </w:style>
  <w:style w:type="paragraph" w:styleId="899" w:customStyle="1">
    <w:name w:val="Контракт-раздел"/>
    <w:basedOn w:val="674"/>
    <w:next w:val="900"/>
    <w:pPr>
      <w:numPr>
        <w:ilvl w:val="0"/>
        <w:numId w:val="1"/>
      </w:numPr>
      <w:jc w:val="center"/>
      <w:keepNext/>
      <w:spacing w:before="360" w:after="120"/>
      <w:tabs>
        <w:tab w:val="left" w:pos="540" w:leader="none"/>
      </w:tabs>
      <w:outlineLvl w:val="3"/>
    </w:pPr>
    <w:rPr>
      <w:b/>
      <w:bCs/>
      <w:caps/>
      <w:smallCaps/>
      <w:lang w:eastAsia="ru-RU"/>
    </w:rPr>
  </w:style>
  <w:style w:type="paragraph" w:styleId="900" w:customStyle="1">
    <w:name w:val="Контракт-пункт"/>
    <w:basedOn w:val="674"/>
    <w:pPr>
      <w:numPr>
        <w:ilvl w:val="1"/>
        <w:numId w:val="1"/>
      </w:numPr>
      <w:jc w:val="both"/>
    </w:pPr>
    <w:rPr>
      <w:lang w:eastAsia="ru-RU"/>
    </w:rPr>
  </w:style>
  <w:style w:type="paragraph" w:styleId="901" w:customStyle="1">
    <w:name w:val="Контракт-подпункт"/>
    <w:basedOn w:val="674"/>
    <w:pPr>
      <w:numPr>
        <w:ilvl w:val="2"/>
        <w:numId w:val="1"/>
      </w:numPr>
      <w:jc w:val="both"/>
    </w:pPr>
    <w:rPr>
      <w:lang w:eastAsia="ru-RU"/>
    </w:rPr>
  </w:style>
  <w:style w:type="paragraph" w:styleId="902" w:customStyle="1">
    <w:name w:val="Контракт-подподпункт"/>
    <w:basedOn w:val="674"/>
    <w:pPr>
      <w:numPr>
        <w:ilvl w:val="3"/>
        <w:numId w:val="1"/>
      </w:numPr>
      <w:jc w:val="both"/>
    </w:pPr>
    <w:rPr>
      <w:lang w:eastAsia="ru-RU"/>
    </w:rPr>
  </w:style>
  <w:style w:type="character" w:styleId="903" w:customStyle="1">
    <w:name w:val="Основной текст Знак"/>
    <w:link w:val="889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04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paragraph" w:styleId="905" w:customStyle="1">
    <w:name w:val="ConsNormal"/>
    <w:pPr>
      <w:ind w:right="19772" w:firstLine="720"/>
      <w:widowControl w:val="off"/>
    </w:pPr>
    <w:rPr>
      <w:rFonts w:ascii="Arial" w:hAnsi="Arial" w:cs="Arial"/>
      <w:lang w:eastAsia="ru-RU"/>
    </w:rPr>
  </w:style>
  <w:style w:type="paragraph" w:styleId="906">
    <w:name w:val="List Paragraph"/>
    <w:basedOn w:val="674"/>
    <w:link w:val="913"/>
    <w:pPr>
      <w:ind w:left="720"/>
      <w:jc w:val="both"/>
    </w:pPr>
    <w:rPr>
      <w:rFonts w:ascii="Arial Unicode MS" w:hAnsi="Arial Unicode MS" w:eastAsia="Arial Unicode MS" w:cs="Arial Unicode MS"/>
      <w:color w:val="000000"/>
    </w:rPr>
  </w:style>
  <w:style w:type="character" w:styleId="907" w:customStyle="1">
    <w:name w:val="Заголовок 1 Знак"/>
    <w:basedOn w:val="684"/>
    <w:link w:val="675"/>
    <w:rPr>
      <w:b/>
      <w:bCs/>
      <w:sz w:val="48"/>
      <w:szCs w:val="48"/>
      <w:lang w:val="ru-RU" w:eastAsia="ru-RU" w:bidi="ar-SA"/>
    </w:rPr>
  </w:style>
  <w:style w:type="paragraph" w:styleId="908">
    <w:name w:val="annotation text"/>
    <w:basedOn w:val="674"/>
    <w:semiHidden/>
    <w:rPr>
      <w:sz w:val="20"/>
      <w:szCs w:val="20"/>
    </w:rPr>
  </w:style>
  <w:style w:type="paragraph" w:styleId="909">
    <w:name w:val="annotation subject"/>
    <w:basedOn w:val="908"/>
    <w:next w:val="908"/>
    <w:link w:val="910"/>
    <w:semiHidden/>
    <w:pPr>
      <w:spacing w:after="160"/>
    </w:pPr>
    <w:rPr>
      <w:rFonts w:ascii="Calibri" w:hAnsi="Calibri"/>
      <w:b/>
      <w:bCs/>
      <w:lang w:eastAsia="en-US"/>
    </w:rPr>
  </w:style>
  <w:style w:type="character" w:styleId="910" w:customStyle="1">
    <w:name w:val="Тема примечания Знак"/>
    <w:basedOn w:val="684"/>
    <w:link w:val="909"/>
    <w:semiHidden/>
    <w:rPr>
      <w:rFonts w:ascii="Calibri" w:hAnsi="Calibri"/>
      <w:b/>
      <w:bCs/>
      <w:lang w:val="ru-RU" w:eastAsia="en-US" w:bidi="ar-SA"/>
    </w:rPr>
  </w:style>
  <w:style w:type="character" w:styleId="911" w:customStyle="1">
    <w:name w:val="Знак Знак2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12" w:customStyle="1">
    <w:name w:val="ConsPlusNormal"/>
    <w:pPr>
      <w:widowControl w:val="off"/>
    </w:pPr>
    <w:rPr>
      <w:rFonts w:ascii="Arial" w:hAnsi="Arial" w:eastAsia="SimSun" w:cs="Arial"/>
      <w:lang w:eastAsia="ru-RU"/>
    </w:rPr>
  </w:style>
  <w:style w:type="character" w:styleId="913" w:customStyle="1">
    <w:name w:val="Абзац списка Знак"/>
    <w:link w:val="906"/>
    <w:rPr>
      <w:rFonts w:ascii="Arial Unicode MS" w:hAnsi="Arial Unicode MS" w:eastAsia="Arial Unicode MS" w:cs="Arial Unicode MS"/>
      <w:color w:val="000000"/>
      <w:sz w:val="24"/>
      <w:szCs w:val="24"/>
      <w:lang w:val="ru-RU" w:eastAsia="ar-SA" w:bidi="ar-SA"/>
    </w:rPr>
  </w:style>
  <w:style w:type="paragraph" w:styleId="914" w:customStyle="1">
    <w:name w:val="ConsNonformat"/>
    <w:pPr>
      <w:ind w:right="19772"/>
      <w:widowControl w:val="off"/>
    </w:pPr>
    <w:rPr>
      <w:rFonts w:ascii="Courier New" w:hAnsi="Courier New" w:cs="Courier New"/>
    </w:rPr>
  </w:style>
  <w:style w:type="paragraph" w:styleId="915" w:customStyle="1">
    <w:name w:val="Текст1"/>
    <w:uiPriority w:val="99"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  <w:lang w:eastAsia="ru-RU"/>
    </w:rPr>
  </w:style>
  <w:style w:type="paragraph" w:styleId="916" w:customStyle="1">
    <w:name w:val="Другое"/>
    <w:link w:val="881"/>
    <w:pPr>
      <w:jc w:val="center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Verdana" w:hAnsi="Verdana" w:eastAsia="Verdana" w:cs="Verdana"/>
      <w:color w:val="000000"/>
      <w:sz w:val="15"/>
      <w:szCs w:val="15"/>
      <w:lang w:eastAsia="ru-RU" w:bidi="ru-RU"/>
    </w:rPr>
  </w:style>
  <w:style w:type="paragraph" w:styleId="917" w:customStyle="1">
    <w:name w:val="Table Paragraph"/>
    <w:basedOn w:val="674"/>
    <w:uiPriority w:val="1"/>
    <w:qFormat/>
    <w:pPr>
      <w:widowControl w:val="off"/>
    </w:pPr>
    <w:rPr>
      <w:rFonts w:ascii="Calibri" w:hAnsi="Calibri" w:eastAsia="Calibri"/>
      <w:sz w:val="22"/>
      <w:szCs w:val="22"/>
      <w:lang w:val="en-US" w:eastAsia="en-US"/>
    </w:rPr>
  </w:style>
  <w:style w:type="table" w:styleId="918" w:customStyle="1">
    <w:name w:val="Сетка таблицы13"/>
    <w:basedOn w:val="685"/>
    <w:next w:val="727"/>
    <w:uiPriority w:val="59"/>
    <w:rPr>
      <w:rFonts w:ascii="Arial" w:hAnsi="Arial" w:eastAsia="Arial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9" w:customStyle="1">
    <w:name w:val="List Bullet"/>
    <w:uiPriority w:val="99"/>
    <w:unhideWhenUsed/>
    <w:pPr>
      <w:numPr>
        <w:ilvl w:val="0"/>
        <w:numId w:val="0"/>
      </w:numPr>
      <w:contextualSpacing/>
      <w:ind w:left="360" w:right="0" w:hanging="36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Theme="minorEastAsia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6625E569E3D7E22B380F31F570485C0B3DAD5D4BD4D68C9D31435EF14249E46DF01E3B55231F3C31709F3B1BD93220499C107D6921A20753tALCN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OEM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636</dc:title>
  <dc:creator>Skazka</dc:creator>
  <cp:lastModifiedBy>ilyushina.a.yu</cp:lastModifiedBy>
  <cp:revision>40</cp:revision>
  <dcterms:created xsi:type="dcterms:W3CDTF">2025-02-03T06:54:00Z</dcterms:created>
  <dcterms:modified xsi:type="dcterms:W3CDTF">2026-08-28T09:01:41Z</dcterms:modified>
  <cp:version>730895</cp:version>
</cp:coreProperties>
</file>