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7"/>
        <w:gridCol w:w="1897"/>
        <w:gridCol w:w="1646"/>
        <w:gridCol w:w="1315"/>
        <w:gridCol w:w="134"/>
        <w:gridCol w:w="625"/>
        <w:gridCol w:w="278"/>
        <w:gridCol w:w="652"/>
        <w:gridCol w:w="278"/>
        <w:gridCol w:w="771"/>
        <w:gridCol w:w="278"/>
        <w:gridCol w:w="771"/>
        <w:gridCol w:w="278"/>
        <w:gridCol w:w="572"/>
        <w:gridCol w:w="278"/>
        <w:gridCol w:w="281"/>
        <w:gridCol w:w="278"/>
        <w:gridCol w:w="546"/>
        <w:gridCol w:w="278"/>
        <w:gridCol w:w="1010"/>
        <w:gridCol w:w="278"/>
        <w:gridCol w:w="1050"/>
        <w:gridCol w:w="278"/>
        <w:gridCol w:w="625"/>
        <w:gridCol w:w="1035"/>
      </w:tblGrid>
      <w:tr w:rsidR="00A97099" w:rsidTr="006C3771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  <w:trHeight w:val="235"/>
        </w:trPr>
        <w:tc>
          <w:tcPr>
            <w:tcW w:w="2284" w:type="dxa"/>
            <w:gridSpan w:val="2"/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</w:tr>
      <w:tr w:rsidR="00A97099" w:rsidTr="006C3771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A97099" w:rsidTr="006C3771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</w:tr>
      <w:tr w:rsidR="00A97099" w:rsidTr="006C37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A97099" w:rsidRDefault="0091265D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A97099" w:rsidTr="006C3771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A97099" w:rsidRDefault="00A97099">
            <w:pPr>
              <w:jc w:val="center"/>
            </w:pPr>
          </w:p>
        </w:tc>
      </w:tr>
      <w:tr w:rsidR="00A97099" w:rsidTr="006C37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6C3771" w:rsidTr="006C3771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Эпинефрин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Раствор для инъекций</w:t>
            </w:r>
          </w:p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1мг/мл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21.20.10.141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17,519*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12,840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18,500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20,620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275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5 670,50</w:t>
            </w:r>
          </w:p>
        </w:tc>
      </w:tr>
      <w:tr w:rsidR="006C3771" w:rsidTr="006C3771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Лидокаин+Хлоргексидин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Гель для местного применения</w:t>
            </w:r>
          </w:p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20мг+0,5мг/г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21.20.10.174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г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42,182*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46,400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625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29 000</w:t>
            </w:r>
          </w:p>
        </w:tc>
      </w:tr>
      <w:tr w:rsidR="006C3771" w:rsidTr="006C3771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Кларитромицин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Таблетки,</w:t>
            </w:r>
          </w:p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покрытые оболочкой</w:t>
            </w:r>
          </w:p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500мг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21.20.10.191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38,760*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24,007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45,621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4 562,10</w:t>
            </w:r>
          </w:p>
        </w:tc>
      </w:tr>
      <w:tr w:rsidR="006C3771" w:rsidTr="006C3771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Трамадол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Tramadolum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Раствор для инъекций</w:t>
            </w:r>
          </w:p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50 мг/мл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21.20.10.232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7,736*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7,270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8,510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9,361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4 680,50</w:t>
            </w:r>
          </w:p>
        </w:tc>
      </w:tr>
      <w:tr w:rsidR="006C3771" w:rsidTr="006C3771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Леветирацетам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 xml:space="preserve">Концентрат для приготовления раствора для </w:t>
            </w:r>
            <w:proofErr w:type="spellStart"/>
            <w:r w:rsidRPr="000167B0">
              <w:rPr>
                <w:rFonts w:ascii="Times New Roman" w:hAnsi="Times New Roman" w:cs="Times New Roman"/>
              </w:rPr>
              <w:t>инфузий</w:t>
            </w:r>
            <w:proofErr w:type="spellEnd"/>
          </w:p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100 мг/мл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21.20.10.233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75,259*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75,260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73,720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88,580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150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13 287</w:t>
            </w:r>
          </w:p>
        </w:tc>
      </w:tr>
      <w:tr w:rsidR="006C3771" w:rsidTr="006C3771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Венлафаксин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Таблетки</w:t>
            </w:r>
          </w:p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75мг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21.20.10.236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42,727*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47,000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14 100</w:t>
            </w:r>
          </w:p>
        </w:tc>
      </w:tr>
      <w:tr w:rsidR="006C3771" w:rsidTr="006C3771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Аминофиллин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 xml:space="preserve">Раствор для внутривенного введения </w:t>
            </w:r>
          </w:p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24мг/мл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21.20.10.254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0,860*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0,670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1,041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5 200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5 413,20</w:t>
            </w:r>
          </w:p>
        </w:tc>
      </w:tr>
      <w:tr w:rsidR="006C3771" w:rsidTr="006C3771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Дифенгидрамин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10 мг/мл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21.20.10.256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3,815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1,940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3,710*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4,367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620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2 707,54</w:t>
            </w:r>
          </w:p>
        </w:tc>
      </w:tr>
      <w:tr w:rsidR="006C3771" w:rsidTr="006C3771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Вода для инъекций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Растворитель для приготовления лекарственных форм для инъекций</w:t>
            </w:r>
          </w:p>
          <w:p w:rsidR="006C3771" w:rsidRPr="000167B0" w:rsidRDefault="006C3771" w:rsidP="006C3771">
            <w:pPr>
              <w:jc w:val="center"/>
              <w:rPr>
                <w:rFonts w:ascii="Times New Roman" w:hAnsi="Times New Roman" w:cs="Times New Roman"/>
              </w:rPr>
            </w:pPr>
            <w:r w:rsidRPr="000167B0">
              <w:rPr>
                <w:rFonts w:ascii="Times New Roman" w:hAnsi="Times New Roman" w:cs="Times New Roman"/>
              </w:rPr>
              <w:t>~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21.20.23.199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4,053*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0,083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4,770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C3771" w:rsidRDefault="006C3771" w:rsidP="006C377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2 862</w:t>
            </w:r>
            <w:bookmarkStart w:id="0" w:name="_GoBack"/>
            <w:bookmarkEnd w:id="0"/>
          </w:p>
        </w:tc>
      </w:tr>
      <w:tr w:rsidR="00A97099" w:rsidTr="006C37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81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7099" w:rsidRDefault="0091265D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82 282,84</w:t>
            </w:r>
          </w:p>
        </w:tc>
      </w:tr>
      <w:tr w:rsidR="00A97099" w:rsidTr="006C3771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A97099" w:rsidRDefault="00A97099"/>
        </w:tc>
        <w:tc>
          <w:tcPr>
            <w:tcW w:w="1897" w:type="dxa"/>
            <w:shd w:val="clear" w:color="auto" w:fill="auto"/>
            <w:vAlign w:val="bottom"/>
          </w:tcPr>
          <w:p w:rsidR="00A97099" w:rsidRDefault="00A97099"/>
        </w:tc>
        <w:tc>
          <w:tcPr>
            <w:tcW w:w="1646" w:type="dxa"/>
            <w:shd w:val="clear" w:color="auto" w:fill="auto"/>
            <w:vAlign w:val="bottom"/>
          </w:tcPr>
          <w:p w:rsidR="00A97099" w:rsidRDefault="00A97099"/>
        </w:tc>
        <w:tc>
          <w:tcPr>
            <w:tcW w:w="1315" w:type="dxa"/>
            <w:shd w:val="clear" w:color="auto" w:fill="auto"/>
            <w:vAlign w:val="bottom"/>
          </w:tcPr>
          <w:p w:rsidR="00A97099" w:rsidRDefault="00A97099"/>
        </w:tc>
        <w:tc>
          <w:tcPr>
            <w:tcW w:w="134" w:type="dxa"/>
            <w:shd w:val="clear" w:color="auto" w:fill="auto"/>
            <w:vAlign w:val="bottom"/>
          </w:tcPr>
          <w:p w:rsidR="00A97099" w:rsidRDefault="00A97099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625" w:type="dxa"/>
            <w:shd w:val="clear" w:color="auto" w:fill="auto"/>
            <w:vAlign w:val="bottom"/>
          </w:tcPr>
          <w:p w:rsidR="00A97099" w:rsidRDefault="00A97099"/>
        </w:tc>
      </w:tr>
      <w:tr w:rsidR="00A97099" w:rsidTr="006C37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A97099" w:rsidRDefault="0091265D">
            <w:r>
              <w:rPr>
                <w:rFonts w:ascii="Times New Roman" w:hAnsi="Times New Roman"/>
                <w:sz w:val="23"/>
                <w:szCs w:val="23"/>
              </w:rPr>
              <w:t>Проведенные исследования позволяют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определить начальную (максимальную) цену контракта в размере: 82 282,84 (Восемьдесят две тысячи двести восемьдесят два рубля 84 копейки)</w:t>
            </w:r>
          </w:p>
        </w:tc>
      </w:tr>
      <w:tr w:rsidR="00A97099" w:rsidTr="006C3771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A97099" w:rsidRDefault="00A97099"/>
        </w:tc>
        <w:tc>
          <w:tcPr>
            <w:tcW w:w="1897" w:type="dxa"/>
            <w:shd w:val="clear" w:color="auto" w:fill="auto"/>
            <w:vAlign w:val="bottom"/>
          </w:tcPr>
          <w:p w:rsidR="00A97099" w:rsidRDefault="00A97099"/>
        </w:tc>
        <w:tc>
          <w:tcPr>
            <w:tcW w:w="1646" w:type="dxa"/>
            <w:shd w:val="clear" w:color="auto" w:fill="auto"/>
            <w:vAlign w:val="bottom"/>
          </w:tcPr>
          <w:p w:rsidR="00A97099" w:rsidRDefault="00A97099"/>
        </w:tc>
        <w:tc>
          <w:tcPr>
            <w:tcW w:w="1315" w:type="dxa"/>
            <w:shd w:val="clear" w:color="auto" w:fill="auto"/>
            <w:vAlign w:val="bottom"/>
          </w:tcPr>
          <w:p w:rsidR="00A97099" w:rsidRDefault="00A97099"/>
        </w:tc>
        <w:tc>
          <w:tcPr>
            <w:tcW w:w="134" w:type="dxa"/>
            <w:shd w:val="clear" w:color="auto" w:fill="auto"/>
            <w:vAlign w:val="bottom"/>
          </w:tcPr>
          <w:p w:rsidR="00A97099" w:rsidRDefault="00A97099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625" w:type="dxa"/>
            <w:shd w:val="clear" w:color="auto" w:fill="auto"/>
            <w:vAlign w:val="bottom"/>
          </w:tcPr>
          <w:p w:rsidR="00A97099" w:rsidRDefault="00A97099"/>
        </w:tc>
      </w:tr>
      <w:tr w:rsidR="00A97099" w:rsidTr="006C37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A97099" w:rsidRDefault="0091265D">
            <w:r>
              <w:rPr>
                <w:rFonts w:ascii="Times New Roman" w:hAnsi="Times New Roman"/>
                <w:sz w:val="23"/>
                <w:szCs w:val="23"/>
              </w:rPr>
              <w:t>Дата подготовки обоснования НМЦК: 13.07.2026</w:t>
            </w:r>
          </w:p>
        </w:tc>
      </w:tr>
      <w:tr w:rsidR="00A97099" w:rsidTr="006C3771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A97099" w:rsidRDefault="00A97099"/>
        </w:tc>
        <w:tc>
          <w:tcPr>
            <w:tcW w:w="1897" w:type="dxa"/>
            <w:shd w:val="clear" w:color="auto" w:fill="auto"/>
            <w:vAlign w:val="bottom"/>
          </w:tcPr>
          <w:p w:rsidR="00A97099" w:rsidRDefault="00A97099"/>
        </w:tc>
        <w:tc>
          <w:tcPr>
            <w:tcW w:w="1646" w:type="dxa"/>
            <w:shd w:val="clear" w:color="auto" w:fill="auto"/>
            <w:vAlign w:val="bottom"/>
          </w:tcPr>
          <w:p w:rsidR="00A97099" w:rsidRDefault="00A97099"/>
        </w:tc>
        <w:tc>
          <w:tcPr>
            <w:tcW w:w="1315" w:type="dxa"/>
            <w:shd w:val="clear" w:color="auto" w:fill="auto"/>
            <w:vAlign w:val="bottom"/>
          </w:tcPr>
          <w:p w:rsidR="00A97099" w:rsidRDefault="00A97099"/>
        </w:tc>
        <w:tc>
          <w:tcPr>
            <w:tcW w:w="134" w:type="dxa"/>
            <w:shd w:val="clear" w:color="auto" w:fill="auto"/>
            <w:vAlign w:val="bottom"/>
          </w:tcPr>
          <w:p w:rsidR="00A97099" w:rsidRDefault="00A97099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625" w:type="dxa"/>
            <w:shd w:val="clear" w:color="auto" w:fill="auto"/>
            <w:vAlign w:val="bottom"/>
          </w:tcPr>
          <w:p w:rsidR="00A97099" w:rsidRDefault="00A97099"/>
        </w:tc>
      </w:tr>
      <w:tr w:rsidR="00A97099" w:rsidTr="006C3771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</w:trPr>
        <w:tc>
          <w:tcPr>
            <w:tcW w:w="3930" w:type="dxa"/>
            <w:gridSpan w:val="3"/>
            <w:shd w:val="clear" w:color="auto" w:fill="auto"/>
            <w:vAlign w:val="bottom"/>
          </w:tcPr>
          <w:p w:rsidR="00A97099" w:rsidRDefault="0091265D">
            <w:r>
              <w:rPr>
                <w:rFonts w:ascii="Times New Roman" w:hAnsi="Times New Roman"/>
                <w:szCs w:val="15"/>
              </w:rPr>
              <w:t>*Используется для расчёта НМЦК</w:t>
            </w:r>
          </w:p>
        </w:tc>
        <w:tc>
          <w:tcPr>
            <w:tcW w:w="1315" w:type="dxa"/>
            <w:shd w:val="clear" w:color="auto" w:fill="auto"/>
            <w:vAlign w:val="bottom"/>
          </w:tcPr>
          <w:p w:rsidR="00A97099" w:rsidRDefault="00A97099"/>
        </w:tc>
        <w:tc>
          <w:tcPr>
            <w:tcW w:w="134" w:type="dxa"/>
            <w:shd w:val="clear" w:color="auto" w:fill="auto"/>
            <w:vAlign w:val="bottom"/>
          </w:tcPr>
          <w:p w:rsidR="00A97099" w:rsidRDefault="00A97099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A97099" w:rsidRDefault="00A97099"/>
        </w:tc>
        <w:tc>
          <w:tcPr>
            <w:tcW w:w="625" w:type="dxa"/>
            <w:shd w:val="clear" w:color="auto" w:fill="auto"/>
            <w:vAlign w:val="bottom"/>
          </w:tcPr>
          <w:p w:rsidR="00A97099" w:rsidRDefault="00A97099"/>
        </w:tc>
      </w:tr>
      <w:tr w:rsidR="00A97099" w:rsidTr="006C37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shd w:val="clear" w:color="auto" w:fill="auto"/>
            <w:vAlign w:val="bottom"/>
          </w:tcPr>
          <w:p w:rsidR="00A97099" w:rsidRDefault="00A97099"/>
        </w:tc>
        <w:tc>
          <w:tcPr>
            <w:tcW w:w="15432" w:type="dxa"/>
            <w:gridSpan w:val="24"/>
            <w:shd w:val="clear" w:color="auto" w:fill="auto"/>
            <w:vAlign w:val="bottom"/>
          </w:tcPr>
          <w:p w:rsidR="00A97099" w:rsidRDefault="0091265D">
            <w:r>
              <w:rPr>
                <w:rFonts w:ascii="Times New Roman" w:hAnsi="Times New Roman"/>
                <w:i/>
                <w:sz w:val="17"/>
                <w:szCs w:val="17"/>
              </w:rPr>
              <w:t xml:space="preserve">Согласно п. 12 Приказа №1064н в случае, если на участие в закупке не подано ни одной заявки по НМЦК, рассчитанной по минимальной цене единицы лекарственного препарата, при проведении каждой следующей закупки заказчиком устанавливается значение НМЦК, </w:t>
            </w:r>
            <w:r>
              <w:rPr>
                <w:rFonts w:ascii="Times New Roman" w:hAnsi="Times New Roman"/>
                <w:i/>
                <w:sz w:val="17"/>
                <w:szCs w:val="17"/>
              </w:rPr>
              <w:t>следующее после НМЦК, начальной цены единицы лекарственного препарата, на участие в закупке по которой не подано ни одной заявки</w:t>
            </w:r>
          </w:p>
        </w:tc>
      </w:tr>
    </w:tbl>
    <w:p w:rsidR="00000000" w:rsidRDefault="0091265D"/>
    <w:sectPr w:rsidR="00000000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99"/>
    <w:rsid w:val="006C3771"/>
    <w:rsid w:val="0091265D"/>
    <w:rsid w:val="00A9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FA9BC-5D27-4F21-98FA-F52540A9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Макунин Антон Сергеевич</dc:creator>
  <cp:lastModifiedBy>Макунин Антон Сергеевич</cp:lastModifiedBy>
  <cp:revision>2</cp:revision>
  <dcterms:created xsi:type="dcterms:W3CDTF">2026-07-13T09:33:00Z</dcterms:created>
  <dcterms:modified xsi:type="dcterms:W3CDTF">2026-07-13T09:33:00Z</dcterms:modified>
</cp:coreProperties>
</file>