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center" w:pos="488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к электронному контракту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0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numPr>
          <w:ilvl w:val="0"/>
          <w:numId w:val="2"/>
        </w:numPr>
        <w:ind w:left="2694" w:firstLine="426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ЗАКУПКИ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146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Подрядчик обязуется выполнить работы по промывке и гидравлическому испытанию системы отопления, </w:t>
      </w:r>
      <w:r>
        <w:rPr>
          <w:rFonts w:ascii="Times New Roman" w:hAnsi="Times New Roman"/>
          <w:bCs/>
          <w:sz w:val="24"/>
          <w:szCs w:val="24"/>
        </w:rPr>
        <w:t xml:space="preserve">а так</w:t>
      </w:r>
      <w:r>
        <w:rPr>
          <w:rFonts w:ascii="Times New Roman" w:hAnsi="Times New Roman"/>
          <w:bCs/>
          <w:sz w:val="24"/>
          <w:szCs w:val="24"/>
        </w:rPr>
        <w:t xml:space="preserve">же составление и получение трехстороннего акта с теплоснабжающей организацией о выполненных работах,</w:t>
      </w:r>
      <w:r>
        <w:rPr>
          <w:rFonts w:ascii="Times New Roman" w:hAnsi="Times New Roman"/>
          <w:sz w:val="24"/>
          <w:szCs w:val="24"/>
        </w:rPr>
        <w:t xml:space="preserve"> в помещениях Управления по адресам: Кемеровская область – Кузбасс, г. Таштагол, ул. Поспелова, 24, а Заказчик</w:t>
      </w:r>
      <w:r>
        <w:rPr>
          <w:rFonts w:ascii="Times New Roman" w:hAnsi="Times New Roman"/>
          <w:sz w:val="24"/>
          <w:szCs w:val="24"/>
        </w:rPr>
        <w:t xml:space="preserve"> обязуется принять и оплатить выполненные работы.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06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ПОРЯДОК ОПЛАТЫ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06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06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Цена закупки является твердой, и определяется на весь срок его действия, за исключение случаев, предусмотренных частью 1 статьи 95 Закона о контрактной системе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0"/>
        <w:ind w:left="0" w:firstLine="284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по настоящей </w:t>
      </w:r>
      <w:r>
        <w:rPr>
          <w:rFonts w:ascii="Times New Roman" w:hAnsi="Times New Roman"/>
          <w:sz w:val="24"/>
          <w:szCs w:val="24"/>
        </w:rPr>
        <w:t xml:space="preserve">закупке оплачиваются из средств Федерального бюджета на 2026</w:t>
      </w:r>
      <w:r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cs="Calibri"/>
          <w:sz w:val="24"/>
          <w:szCs w:val="24"/>
          <w:lang w:eastAsia="ar-SA"/>
        </w:rPr>
      </w:pPr>
      <w:r>
        <w:rPr>
          <w:rFonts w:ascii="Times New Roman" w:hAnsi="Times New Roman" w:cs="Calibri"/>
          <w:sz w:val="24"/>
          <w:szCs w:val="24"/>
          <w:lang w:eastAsia="ar-SA"/>
        </w:rPr>
        <w:t xml:space="preserve">Расчет за выполненные работы производится в течение 10 (десяти) рабочих дней после подписания </w:t>
      </w:r>
      <w:r>
        <w:rPr>
          <w:rFonts w:ascii="Times New Roman" w:hAnsi="Times New Roman" w:cs="Calibri"/>
          <w:sz w:val="24"/>
          <w:szCs w:val="24"/>
          <w:lang w:eastAsia="ar-SA"/>
        </w:rPr>
        <w:t xml:space="preserve">Сторонами акта выполненных работ (акта), либо универсального передаточного документа (УПД), пре</w:t>
      </w:r>
      <w:r>
        <w:rPr>
          <w:rFonts w:ascii="Times New Roman" w:hAnsi="Times New Roman" w:cs="Calibri"/>
          <w:sz w:val="24"/>
          <w:szCs w:val="24"/>
          <w:lang w:eastAsia="ar-SA"/>
        </w:rPr>
        <w:t xml:space="preserve">доставленного Подрядчиком.</w:t>
      </w:r>
      <w:r>
        <w:rPr>
          <w:rFonts w:ascii="Times New Roman" w:hAnsi="Times New Roman" w:cs="Calibri"/>
          <w:sz w:val="24"/>
          <w:szCs w:val="24"/>
          <w:lang w:eastAsia="ar-SA"/>
        </w:rPr>
      </w:r>
      <w:r>
        <w:rPr>
          <w:rFonts w:ascii="Times New Roman" w:hAnsi="Times New Roman" w:cs="Calibri"/>
          <w:sz w:val="24"/>
          <w:szCs w:val="24"/>
          <w:lang w:eastAsia="ar-SA"/>
        </w:rPr>
      </w:r>
    </w:p>
    <w:p>
      <w:pPr>
        <w:pStyle w:val="870"/>
        <w:ind w:left="0" w:firstLine="284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5"/>
        </w:numPr>
        <w:ind w:firstLine="284"/>
        <w:jc w:val="center"/>
        <w:spacing w:after="0" w:line="240" w:lineRule="auto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ОБЯЗАТЕЛЬСТВА ПОДРЯДЧИКА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Подрядчик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Выполнить всю Работу в соответствии с требованиями СНиП, собственными или привлеченными силами, с надлежащим качеством, в установленном объеме и сроки.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.1.2. Нести ответственность перед Заказчиком за надлежащее выполнение Работ.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3.1.3. Выставлять акт о приемке выполненных работ и счета в срок до 5-ти дней с даты окончания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5"/>
        </w:numPr>
        <w:ind w:firstLine="284"/>
        <w:jc w:val="center"/>
        <w:spacing w:after="0" w:line="240" w:lineRule="auto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ОБЯЗАТЕЛЬСТВА И ПРАВА ЗАКАЗЧИКА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851" w:leader="none"/>
          <w:tab w:val="left" w:pos="1350" w:leader="none"/>
          <w:tab w:val="left" w:pos="5666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</w:t>
      </w:r>
      <w:r>
        <w:rPr>
          <w:rFonts w:ascii="Times New Roman" w:hAnsi="Times New Roman"/>
          <w:bCs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Заказчик обязан: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 Обеспечить бе</w:t>
      </w:r>
      <w:r>
        <w:rPr>
          <w:rFonts w:ascii="Times New Roman" w:hAnsi="Times New Roman"/>
          <w:sz w:val="24"/>
          <w:szCs w:val="24"/>
        </w:rPr>
        <w:t xml:space="preserve">спрепятственный доступ к сетям представителям Подрядчика для проведения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 Произвести оплату за выполненную Подрядчиком Работу.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35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Заказчик имеет право организовать и осуществлять надзор и контроль над выполнением Подрядчиком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numPr>
          <w:ilvl w:val="0"/>
          <w:numId w:val="5"/>
        </w:numPr>
        <w:ind w:firstLine="284"/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ВЫПОЛНЕНИЯ РАБОТ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Подрядчик приступает к выполнению работ по промывке и гидравлическому испытанию системы отопления после полной остановки системы отопления и до начала отопительного сезона, не позднее 15.09.2026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Работы по промывке и гидравл</w:t>
      </w:r>
      <w:r>
        <w:rPr>
          <w:rFonts w:ascii="Times New Roman" w:hAnsi="Times New Roman"/>
          <w:sz w:val="24"/>
          <w:szCs w:val="24"/>
        </w:rPr>
        <w:t xml:space="preserve">ическому испытанию системы отопления производятся в 3 этапа: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.2.1. Предварительная промывка и гидравлическое испытание системы отопления;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284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Поверка манометров 2 шт.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5.2.3. Устранение аварийных ситуаций, выявленных в процессе гидравлического испытания системы отопления;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5.2.4. Промывка системы отопления и гидравлическое испытание системы отопл</w:t>
      </w:r>
      <w:r>
        <w:rPr>
          <w:rFonts w:ascii="Times New Roman" w:hAnsi="Times New Roman"/>
          <w:sz w:val="24"/>
          <w:szCs w:val="24"/>
        </w:rPr>
        <w:t xml:space="preserve">ения с составлением Актов о промывке, гидравлическом испытании и готовности к отопительному сезону.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5"/>
        </w:num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ПРОИЗВОДСТВО РАБОТ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Работы должны быть выполнены в соответствии с условиями контракта, включая возможные Работы определенно в нем не упомянутые, но нео</w:t>
      </w:r>
      <w:r>
        <w:rPr>
          <w:rFonts w:ascii="Times New Roman" w:hAnsi="Times New Roman"/>
          <w:sz w:val="24"/>
          <w:szCs w:val="24"/>
        </w:rPr>
        <w:t xml:space="preserve">бходимые для нормального выполнения  </w:t>
      </w:r>
      <w:bookmarkStart w:id="1" w:name="_Hlt41306607"/>
      <w:r>
        <w:rPr>
          <w:rFonts w:ascii="Times New Roman" w:hAnsi="Times New Roman"/>
          <w:sz w:val="24"/>
          <w:szCs w:val="24"/>
        </w:rPr>
        <w:t xml:space="preserve">Работы.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>
        <w:rPr>
          <w:rFonts w:ascii="Times New Roman" w:hAnsi="Times New Roman"/>
          <w:sz w:val="24"/>
          <w:szCs w:val="24"/>
        </w:rPr>
        <w:t xml:space="preserve">Работы, необходимость выполнения которых возникла в процессе исполнения, выполняются Подрядчиком с письменного согласования Заказчика, с применением материалов Заказчика и за его счет и оплачиваются Заказчиком дополнительно.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Временные отключения комм</w:t>
      </w:r>
      <w:r>
        <w:rPr>
          <w:rFonts w:ascii="Times New Roman" w:hAnsi="Times New Roman"/>
          <w:sz w:val="24"/>
          <w:szCs w:val="24"/>
        </w:rPr>
        <w:t xml:space="preserve">уникаций для проведения работ производит Заказчик. Время и продолжительность отключения согласовывается с Подрядчиком до начала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16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Работы по промывке и гидравлическому испытанию систем отопления производятся согласно требований СНиП: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6.4.1. Работ</w:t>
      </w:r>
      <w:r>
        <w:rPr>
          <w:rFonts w:ascii="Times New Roman" w:hAnsi="Times New Roman"/>
          <w:sz w:val="24"/>
          <w:szCs w:val="24"/>
        </w:rPr>
        <w:t xml:space="preserve">ы по промывке производятся холодной водой до полного осветления и отсутствия в сбросах механических примесей;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6.4.2. Работы по гидравлическому испытанию систем отопления производятся холодной </w:t>
      </w:r>
      <w:bookmarkEnd w:id="1"/>
      <w:r>
        <w:rPr>
          <w:rFonts w:ascii="Times New Roman" w:hAnsi="Times New Roman"/>
          <w:sz w:val="24"/>
          <w:szCs w:val="24"/>
        </w:rPr>
        <w:t xml:space="preserve">водой давлением: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4"/>
        </w:numPr>
        <w:ind w:hanging="1004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Теплосети: 1,25 Р рабочее, но не ниже 1,0МПа (1</w:t>
      </w:r>
      <w:r>
        <w:rPr>
          <w:rFonts w:ascii="Times New Roman" w:hAnsi="Times New Roman"/>
          <w:sz w:val="24"/>
          <w:szCs w:val="24"/>
        </w:rPr>
        <w:t xml:space="preserve">0кгс/см2);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4"/>
        </w:numPr>
        <w:ind w:hanging="1004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Внутренних трубопроводов: 1,25Р рабочее, но не ниже 0,6МПа (6кгс/см3).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16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Работы по промывке и гидравлическому испытанию системы отопления, производятся водой Заказчика, и за счет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16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Устранение аварийных ситуаций, выявленных в про</w:t>
      </w:r>
      <w:r>
        <w:rPr>
          <w:rFonts w:ascii="Times New Roman" w:hAnsi="Times New Roman"/>
          <w:sz w:val="24"/>
          <w:szCs w:val="24"/>
        </w:rPr>
        <w:t xml:space="preserve">цессе промывки и гидравлическом испытании системы отопления, производятся с письменного согласования Заказчика, с применением материалов Заказчика и за его счет и оплачиваются Заказчиком дополнительно.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16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360"/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ГАРАНТИИ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</w:t>
      </w:r>
      <w:r>
        <w:rPr>
          <w:rFonts w:ascii="Times New Roman" w:hAnsi="Times New Roman"/>
          <w:sz w:val="24"/>
          <w:szCs w:val="24"/>
        </w:rPr>
        <w:tab/>
        <w:t xml:space="preserve">Подрядчик гарантирует: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7.1.1. Выполн</w:t>
      </w:r>
      <w:r>
        <w:rPr>
          <w:rFonts w:ascii="Times New Roman" w:hAnsi="Times New Roman"/>
          <w:sz w:val="24"/>
          <w:szCs w:val="24"/>
        </w:rPr>
        <w:t xml:space="preserve">ение всех Работ в полном объеме и в минимально возможные сроки.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7.1.2. Качество выполнения всех Работ в соответствии с действующими строительными нормами и стандартами.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shd w:val="clear" w:color="auto" w:fill="ffffff"/>
        <w:widowControl w:val="off"/>
        <w:tabs>
          <w:tab w:val="left" w:pos="117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.1.3. Своевременное устранение недостатков, выявленных при приемке Работ, в сроки, согласованные с Заказчиком в письменном виде.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center"/>
        <w:spacing w:before="7"/>
        <w:shd w:val="clear" w:color="auto" w:fill="ffff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8. ОТВЕТСТВЕННОСТЬ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7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В случае неисполнения или ненадлежащего исполнения своих обязательств по контракту </w:t>
      </w: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За ненадлежащее исполнение Сторонами обязательств, предусмотренных Контрактом, за исключением просрочки исполнения обязательств, начисляются штрафы. Раз</w:t>
      </w:r>
      <w:r>
        <w:rPr>
          <w:rFonts w:ascii="Times New Roman" w:hAnsi="Times New Roman" w:cs="Times New Roman"/>
          <w:sz w:val="24"/>
          <w:szCs w:val="24"/>
        </w:rPr>
        <w:t xml:space="preserve">мер штрафа определяется в соответствии с требованиями Постановления Правительства РФ от 30.08.2017 № 1042.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Сторонами обязательств, предусмотренных Контрактом, в размере одной трехсотой действующей на да</w:t>
      </w:r>
      <w:r>
        <w:rPr>
          <w:rFonts w:ascii="Times New Roman" w:hAnsi="Times New Roman" w:cs="Times New Roman"/>
          <w:sz w:val="24"/>
          <w:szCs w:val="24"/>
        </w:rPr>
        <w:t xml:space="preserve">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Стороной.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За нарушение иных условий Контракта Стороны несут ответст</w:t>
      </w:r>
      <w:r>
        <w:rPr>
          <w:rFonts w:ascii="Times New Roman" w:hAnsi="Times New Roman" w:cs="Times New Roman"/>
          <w:sz w:val="24"/>
          <w:szCs w:val="24"/>
        </w:rPr>
        <w:t xml:space="preserve">венность в соответствии с положениями действующего законодательства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Стороны освобождаются от ответственности за неисполнение или ненадлежащее исполнение обязательств по Контракту при возникновении обстоятельств непреодолимой силы</w:t>
      </w:r>
      <w:r>
        <w:rPr>
          <w:rFonts w:ascii="Times New Roman" w:hAnsi="Times New Roman" w:cs="Times New Roman"/>
          <w:sz w:val="24"/>
          <w:szCs w:val="24"/>
        </w:rPr>
        <w:t xml:space="preserve">, под которыми понимаются стихийные бедствия, массовые беспорядки, запретительные действия властей и иные форс-мажорные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6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720" w:firstLine="284"/>
        <w:jc w:val="center"/>
        <w:spacing w:after="0" w:line="240" w:lineRule="auto"/>
        <w:tabs>
          <w:tab w:val="left" w:pos="-540" w:leader="none"/>
          <w:tab w:val="num" w:pos="713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ИНЫЕ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284"/>
        <w:jc w:val="both"/>
        <w:spacing w:after="0" w:line="240" w:lineRule="auto"/>
        <w:tabs>
          <w:tab w:val="left" w:pos="-540" w:leader="none"/>
          <w:tab w:val="num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Все изменения и дополнения к контракту действительны при условии, если они совершены в письменной</w:t>
      </w:r>
      <w:r>
        <w:rPr>
          <w:rFonts w:ascii="Times New Roman" w:hAnsi="Times New Roman"/>
          <w:sz w:val="24"/>
          <w:szCs w:val="24"/>
        </w:rPr>
        <w:t xml:space="preserve"> форме и подписаны Сторонами либо надлежащим образом уполномоченными, на то представителями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284"/>
        <w:jc w:val="both"/>
        <w:spacing w:after="0" w:line="240" w:lineRule="auto"/>
        <w:tabs>
          <w:tab w:val="left" w:pos="-540" w:leader="none"/>
          <w:tab w:val="num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 Споры по контракту решаются Сторонами путем переговоров. Срок для рассмотрения писем, предложений, претензий (письменных обращений) Сторон составляет н</w:t>
      </w:r>
      <w:r>
        <w:rPr>
          <w:rFonts w:ascii="Times New Roman" w:hAnsi="Times New Roman"/>
          <w:sz w:val="24"/>
          <w:szCs w:val="24"/>
        </w:rPr>
        <w:t xml:space="preserve">е более 10 (рабочих) дней с момента их получения. При не урегулировании спора в </w:t>
      </w:r>
      <w:r>
        <w:rPr>
          <w:rFonts w:ascii="Times New Roman" w:hAnsi="Times New Roman"/>
          <w:sz w:val="24"/>
          <w:szCs w:val="24"/>
        </w:rPr>
        <w:t xml:space="preserve">процессе переговоров спор передается на рассмотрение Арбитражного суда Кемеровской области.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28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62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9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0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7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1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84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532"/>
      </w:pPr>
    </w:lvl>
    <w:lvl w:ilvl="2">
      <w:start w:val="3"/>
      <w:numFmt w:val="decimal"/>
      <w:isLgl w:val="false"/>
      <w:suff w:val="tab"/>
      <w:lvlText w:val="%1.%2.%3."/>
      <w:lvlJc w:val="left"/>
      <w:pPr>
        <w:ind w:left="142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9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30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47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04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176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1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3"/>
    <w:link w:val="685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3"/>
    <w:link w:val="707"/>
    <w:uiPriority w:val="10"/>
    <w:rPr>
      <w:sz w:val="48"/>
      <w:szCs w:val="48"/>
    </w:rPr>
  </w:style>
  <w:style w:type="character" w:styleId="676">
    <w:name w:val="Subtitle Char"/>
    <w:basedOn w:val="693"/>
    <w:link w:val="709"/>
    <w:uiPriority w:val="11"/>
    <w:rPr>
      <w:sz w:val="24"/>
      <w:szCs w:val="24"/>
    </w:rPr>
  </w:style>
  <w:style w:type="character" w:styleId="677">
    <w:name w:val="Quote Char"/>
    <w:link w:val="711"/>
    <w:uiPriority w:val="29"/>
    <w:rPr>
      <w:i/>
    </w:rPr>
  </w:style>
  <w:style w:type="character" w:styleId="678">
    <w:name w:val="Intense Quote Char"/>
    <w:link w:val="713"/>
    <w:uiPriority w:val="30"/>
    <w:rPr>
      <w:i/>
    </w:rPr>
  </w:style>
  <w:style w:type="character" w:styleId="679">
    <w:name w:val="Header Char"/>
    <w:basedOn w:val="693"/>
    <w:link w:val="715"/>
    <w:uiPriority w:val="99"/>
  </w:style>
  <w:style w:type="character" w:styleId="680">
    <w:name w:val="Caption Char"/>
    <w:basedOn w:val="719"/>
    <w:link w:val="717"/>
    <w:uiPriority w:val="99"/>
  </w:style>
  <w:style w:type="character" w:styleId="681">
    <w:name w:val="Footnote Text Char"/>
    <w:link w:val="848"/>
    <w:uiPriority w:val="99"/>
    <w:rPr>
      <w:sz w:val="18"/>
    </w:rPr>
  </w:style>
  <w:style w:type="character" w:styleId="682">
    <w:name w:val="Endnote Text Char"/>
    <w:link w:val="851"/>
    <w:uiPriority w:val="99"/>
    <w:rPr>
      <w:sz w:val="20"/>
    </w:rPr>
  </w:style>
  <w:style w:type="paragraph" w:styleId="683" w:default="1">
    <w:name w:val="Normal"/>
    <w:qFormat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684">
    <w:name w:val="Heading 1"/>
    <w:basedOn w:val="683"/>
    <w:next w:val="683"/>
    <w:link w:val="69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69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69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1">
    <w:name w:val="Heading 8"/>
    <w:basedOn w:val="683"/>
    <w:next w:val="683"/>
    <w:link w:val="70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Заголовок 1 Знак"/>
    <w:link w:val="684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link w:val="685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link w:val="686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683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707">
    <w:name w:val="Title"/>
    <w:basedOn w:val="683"/>
    <w:next w:val="683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Заголовок Знак"/>
    <w:link w:val="707"/>
    <w:uiPriority w:val="10"/>
    <w:rPr>
      <w:sz w:val="48"/>
      <w:szCs w:val="48"/>
    </w:rPr>
  </w:style>
  <w:style w:type="paragraph" w:styleId="709">
    <w:name w:val="Subtitle"/>
    <w:basedOn w:val="683"/>
    <w:next w:val="683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link w:val="709"/>
    <w:uiPriority w:val="11"/>
    <w:rPr>
      <w:sz w:val="24"/>
      <w:szCs w:val="24"/>
    </w:rPr>
  </w:style>
  <w:style w:type="paragraph" w:styleId="711">
    <w:name w:val="Quote"/>
    <w:basedOn w:val="683"/>
    <w:next w:val="683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3"/>
    <w:next w:val="683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link w:val="715"/>
    <w:uiPriority w:val="99"/>
  </w:style>
  <w:style w:type="paragraph" w:styleId="717">
    <w:name w:val="Footer"/>
    <w:basedOn w:val="683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uiPriority w:val="99"/>
  </w:style>
  <w:style w:type="paragraph" w:styleId="719">
    <w:name w:val="Caption"/>
    <w:basedOn w:val="683"/>
    <w:next w:val="68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0" w:customStyle="1">
    <w:name w:val="Нижний колонтитул Знак"/>
    <w:link w:val="717"/>
    <w:uiPriority w:val="99"/>
  </w:style>
  <w:style w:type="table" w:styleId="721">
    <w:name w:val="Table Grid"/>
    <w:basedOn w:val="694"/>
    <w:uiPriority w:val="59"/>
    <w:rPr>
      <w:rFonts w:eastAsia="Times New Roman"/>
      <w:sz w:val="22"/>
      <w:szCs w:val="22"/>
    </w:rPr>
    <w:tblPr/>
  </w:style>
  <w:style w:type="table" w:styleId="72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6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0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9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5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6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7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8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9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7">
    <w:name w:val="Hyperlink"/>
    <w:uiPriority w:val="99"/>
    <w:rPr>
      <w:color w:val="0000ff"/>
      <w:u w:val="single"/>
    </w:rPr>
  </w:style>
  <w:style w:type="paragraph" w:styleId="848">
    <w:name w:val="footnote text"/>
    <w:basedOn w:val="683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683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683"/>
    <w:next w:val="683"/>
    <w:uiPriority w:val="39"/>
    <w:unhideWhenUsed/>
    <w:pPr>
      <w:spacing w:after="57"/>
    </w:pPr>
  </w:style>
  <w:style w:type="paragraph" w:styleId="855">
    <w:name w:val="toc 2"/>
    <w:basedOn w:val="683"/>
    <w:next w:val="683"/>
    <w:uiPriority w:val="39"/>
    <w:unhideWhenUsed/>
    <w:pPr>
      <w:ind w:left="283"/>
      <w:spacing w:after="57"/>
    </w:pPr>
  </w:style>
  <w:style w:type="paragraph" w:styleId="856">
    <w:name w:val="toc 3"/>
    <w:basedOn w:val="683"/>
    <w:next w:val="683"/>
    <w:uiPriority w:val="39"/>
    <w:unhideWhenUsed/>
    <w:pPr>
      <w:ind w:left="567"/>
      <w:spacing w:after="57"/>
    </w:pPr>
  </w:style>
  <w:style w:type="paragraph" w:styleId="857">
    <w:name w:val="toc 4"/>
    <w:basedOn w:val="683"/>
    <w:next w:val="683"/>
    <w:uiPriority w:val="39"/>
    <w:unhideWhenUsed/>
    <w:pPr>
      <w:ind w:left="850"/>
      <w:spacing w:after="57"/>
    </w:pPr>
  </w:style>
  <w:style w:type="paragraph" w:styleId="858">
    <w:name w:val="toc 5"/>
    <w:basedOn w:val="683"/>
    <w:next w:val="683"/>
    <w:uiPriority w:val="39"/>
    <w:unhideWhenUsed/>
    <w:pPr>
      <w:ind w:left="1134"/>
      <w:spacing w:after="57"/>
    </w:pPr>
  </w:style>
  <w:style w:type="paragraph" w:styleId="859">
    <w:name w:val="toc 6"/>
    <w:basedOn w:val="683"/>
    <w:next w:val="683"/>
    <w:uiPriority w:val="39"/>
    <w:unhideWhenUsed/>
    <w:pPr>
      <w:ind w:left="1417"/>
      <w:spacing w:after="57"/>
    </w:pPr>
  </w:style>
  <w:style w:type="paragraph" w:styleId="860">
    <w:name w:val="toc 7"/>
    <w:basedOn w:val="683"/>
    <w:next w:val="683"/>
    <w:uiPriority w:val="39"/>
    <w:unhideWhenUsed/>
    <w:pPr>
      <w:ind w:left="1701"/>
      <w:spacing w:after="57"/>
    </w:pPr>
  </w:style>
  <w:style w:type="paragraph" w:styleId="861">
    <w:name w:val="toc 8"/>
    <w:basedOn w:val="683"/>
    <w:next w:val="683"/>
    <w:uiPriority w:val="39"/>
    <w:unhideWhenUsed/>
    <w:pPr>
      <w:ind w:left="1984"/>
      <w:spacing w:after="57"/>
    </w:pPr>
  </w:style>
  <w:style w:type="paragraph" w:styleId="862">
    <w:name w:val="toc 9"/>
    <w:basedOn w:val="683"/>
    <w:next w:val="683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83"/>
    <w:next w:val="683"/>
    <w:uiPriority w:val="99"/>
    <w:unhideWhenUsed/>
    <w:pPr>
      <w:spacing w:after="0"/>
    </w:pPr>
  </w:style>
  <w:style w:type="paragraph" w:styleId="865" w:customStyle="1">
    <w:name w:val="Нормальный (таблица)"/>
    <w:basedOn w:val="683"/>
    <w:next w:val="683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66">
    <w:name w:val="Normal (Web)"/>
    <w:basedOn w:val="68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67" w:customStyle="1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paragraph" w:styleId="868">
    <w:name w:val="Balloon Text"/>
    <w:basedOn w:val="683"/>
    <w:link w:val="8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9" w:customStyle="1">
    <w:name w:val="Текст выноски Знак"/>
    <w:link w:val="868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870" w:customStyle="1">
    <w:name w:val="Статья_договора"/>
    <w:basedOn w:val="683"/>
    <w:uiPriority w:val="99"/>
    <w:pPr>
      <w:ind w:left="426"/>
      <w:jc w:val="both"/>
      <w:spacing w:after="0" w:line="240" w:lineRule="auto"/>
      <w:outlineLvl w:val="1"/>
    </w:pPr>
    <w:rPr>
      <w:rFonts w:ascii="Arial" w:hAnsi="Arial"/>
    </w:rPr>
  </w:style>
  <w:style w:type="paragraph" w:styleId="871" w:customStyle="1">
    <w:name w:val="ConsPlusNormal"/>
    <w:pPr>
      <w:widowControl w:val="off"/>
    </w:pPr>
    <w:rPr>
      <w:rFonts w:eastAsia="Times New Roman" w:cs="Calibri"/>
      <w:sz w:val="22"/>
      <w:lang w:eastAsia="ru-RU"/>
    </w:rPr>
  </w:style>
  <w:style w:type="paragraph" w:styleId="872">
    <w:name w:val="Plain Text"/>
    <w:basedOn w:val="683"/>
    <w:link w:val="873"/>
    <w:pPr>
      <w:spacing w:after="0" w:line="240" w:lineRule="auto"/>
    </w:pPr>
    <w:rPr>
      <w:rFonts w:ascii="Courier New" w:hAnsi="Courier New"/>
      <w:color w:val="5f5f5f"/>
      <w:sz w:val="26"/>
      <w:szCs w:val="26"/>
    </w:rPr>
  </w:style>
  <w:style w:type="character" w:styleId="873" w:customStyle="1">
    <w:name w:val="Текст Знак"/>
    <w:link w:val="872"/>
    <w:rPr>
      <w:rFonts w:ascii="Courier New" w:hAnsi="Courier New" w:eastAsia="Times New Roman"/>
      <w:color w:val="5f5f5f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Speed_XP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revision>22</cp:revision>
  <dcterms:created xsi:type="dcterms:W3CDTF">2021-10-04T09:44:00Z</dcterms:created>
  <dcterms:modified xsi:type="dcterms:W3CDTF">2026-08-26T03:33:36Z</dcterms:modified>
  <cp:version>917504</cp:version>
</cp:coreProperties>
</file>