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pPr>
      <w:r>
        <w:rPr/>
        <w:t>Договор №</w:t>
      </w:r>
      <w:r>
        <w:rPr>
          <w:color w:val="FF0000"/>
        </w:rPr>
        <w:t xml:space="preserve"> </w:t>
      </w:r>
      <w:bookmarkStart w:id="0" w:name="docnum"/>
      <w:bookmarkEnd w:id="0"/>
      <w:r>
        <w:rPr/>
        <w:t>_______________________</w:t>
      </w:r>
    </w:p>
    <w:p>
      <w:pPr>
        <w:pStyle w:val="Normal"/>
        <w:jc w:val="center"/>
        <w:rPr>
          <w:b/>
          <w:sz w:val="22"/>
          <w:szCs w:val="22"/>
        </w:rPr>
      </w:pPr>
      <w:r>
        <w:rPr>
          <w:b/>
          <w:sz w:val="22"/>
          <w:szCs w:val="22"/>
        </w:rPr>
        <w:t>об оказании услуг передачи голосовой информации по установленному маршруту</w:t>
      </w:r>
    </w:p>
    <w:p>
      <w:pPr>
        <w:pStyle w:val="Normal"/>
        <w:jc w:val="center"/>
        <w:rPr>
          <w:b/>
          <w:szCs w:val="20"/>
        </w:rPr>
      </w:pPr>
      <w:r>
        <w:rPr>
          <w:b/>
          <w:sz w:val="22"/>
          <w:szCs w:val="22"/>
        </w:rPr>
        <w:t>посредством сети передачи данных</w:t>
      </w:r>
    </w:p>
    <w:p>
      <w:pPr>
        <w:pStyle w:val="Normal"/>
        <w:jc w:val="center"/>
        <w:rPr>
          <w:szCs w:val="20"/>
        </w:rPr>
      </w:pPr>
      <w:r>
        <w:rPr>
          <w:szCs w:val="20"/>
        </w:rPr>
      </w:r>
    </w:p>
    <w:p>
      <w:pPr>
        <w:pStyle w:val="Normal"/>
        <w:jc w:val="both"/>
        <w:rPr/>
      </w:pPr>
      <w:r>
        <w:rPr>
          <w:sz w:val="20"/>
          <w:szCs w:val="20"/>
        </w:rPr>
        <w:t>г. Уфа</w:t>
        <w:tab/>
        <w:tab/>
        <w:tab/>
        <w:tab/>
        <w:tab/>
        <w:tab/>
        <w:tab/>
        <w:tab/>
        <w:tab/>
      </w:r>
      <w:bookmarkStart w:id="1" w:name="docdate"/>
      <w:bookmarkEnd w:id="1"/>
      <w:r>
        <w:rPr>
          <w:sz w:val="20"/>
          <w:szCs w:val="20"/>
        </w:rPr>
        <w:t xml:space="preserve">                         «__» ______________ 202_ г.</w:t>
      </w:r>
    </w:p>
    <w:p>
      <w:pPr>
        <w:pStyle w:val="Normal"/>
        <w:ind w:firstLine="708"/>
        <w:jc w:val="center"/>
        <w:rPr/>
      </w:pPr>
      <w:r>
        <w:rPr/>
        <w:t>ИКЗ _________________________________________________</w:t>
      </w:r>
    </w:p>
    <w:p>
      <w:pPr>
        <w:pStyle w:val="Normal"/>
        <w:ind w:firstLine="708"/>
        <w:jc w:val="center"/>
        <w:rPr/>
      </w:pPr>
      <w:r>
        <w:rPr/>
      </w:r>
    </w:p>
    <w:p>
      <w:pPr>
        <w:pStyle w:val="Normal"/>
        <w:ind w:firstLine="708"/>
        <w:jc w:val="both"/>
        <w:rPr/>
      </w:pPr>
      <w:r>
        <w:rPr>
          <w:sz w:val="22"/>
          <w:szCs w:val="22"/>
        </w:rPr>
        <w:t xml:space="preserve">Публичное акционерное общество "Башинформсвязь" (ПАО "Башинформсвязь"), именуемое в дальнейшем "АГЕНТ", действующее от имени и по поручению Публичного акционерного общества "Ростелеком", именуемое в дальнейшем "Ростелеком", в лице менеджера по работе с государственными заказчиками Капишева Дениса Викторовича, действующего на основании </w:t>
      </w:r>
      <w:bookmarkStart w:id="2" w:name="bispodp_osnov"/>
      <w:bookmarkEnd w:id="2"/>
      <w:r>
        <w:rPr>
          <w:sz w:val="22"/>
          <w:szCs w:val="22"/>
        </w:rPr>
        <w:t>Доверенности №183 от 27.06.2025г., и Агентского контракта № 01К0007, заключенного между ПАО "Башинформсвязь" и ПАО "Ростелеком"  01 января 2006 г., с одной стороны, и</w:t>
      </w:r>
      <w:bookmarkStart w:id="3" w:name="clientname"/>
      <w:bookmarkEnd w:id="3"/>
      <w:r>
        <w:rPr>
          <w:sz w:val="22"/>
          <w:szCs w:val="22"/>
        </w:rPr>
        <w:t xml:space="preserve"> Главное управление Федеральной службы судебных приставов по Республике Башкортостан, в лице заместителя руководителя – заместителя главного судебного пристава Республики Башкортостан Кирюбы Сергея Николаевича, действующего  на основании на основании доверенности №Д-02915/24/57 от 02.09.2024 г., именуемый в дальнейшем «ПОЛЬЗОВАТЕЛЬ», с другой стороны, (которые, далее вместе именуются также «Стороны», а по отдельности «Сторона») заключили настоящий Договор о нижеследующем:</w:t>
      </w:r>
    </w:p>
    <w:p>
      <w:pPr>
        <w:pStyle w:val="Normal"/>
        <w:ind w:firstLine="708"/>
        <w:jc w:val="both"/>
        <w:rPr>
          <w:sz w:val="22"/>
          <w:szCs w:val="22"/>
        </w:rPr>
      </w:pPr>
      <w:r>
        <w:rPr>
          <w:sz w:val="22"/>
          <w:szCs w:val="22"/>
        </w:rPr>
      </w:r>
    </w:p>
    <w:p>
      <w:pPr>
        <w:pStyle w:val="Normal"/>
        <w:jc w:val="center"/>
        <w:rPr>
          <w:b/>
          <w:sz w:val="22"/>
          <w:szCs w:val="22"/>
        </w:rPr>
      </w:pPr>
      <w:r>
        <w:rPr>
          <w:b/>
          <w:sz w:val="22"/>
          <w:szCs w:val="22"/>
        </w:rPr>
        <w:t>1. Определения</w:t>
      </w:r>
    </w:p>
    <w:p>
      <w:pPr>
        <w:pStyle w:val="Normal"/>
        <w:jc w:val="center"/>
        <w:rPr>
          <w:b/>
          <w:sz w:val="22"/>
          <w:szCs w:val="22"/>
        </w:rPr>
      </w:pPr>
      <w:r>
        <w:rPr>
          <w:b/>
          <w:sz w:val="22"/>
          <w:szCs w:val="22"/>
        </w:rPr>
      </w:r>
    </w:p>
    <w:p>
      <w:pPr>
        <w:pStyle w:val="BodyTextIndent2"/>
        <w:numPr>
          <w:ilvl w:val="1"/>
          <w:numId w:val="3"/>
        </w:numPr>
        <w:tabs>
          <w:tab w:val="clear" w:pos="708"/>
          <w:tab w:val="left" w:pos="1134" w:leader="none"/>
        </w:tabs>
        <w:ind w:firstLine="567" w:left="0"/>
        <w:rPr>
          <w:sz w:val="22"/>
          <w:szCs w:val="22"/>
        </w:rPr>
      </w:pPr>
      <w:r>
        <w:rPr>
          <w:sz w:val="22"/>
          <w:szCs w:val="22"/>
        </w:rPr>
        <w:t>В настоящем Договоре, а равно при его толковании и исполнении, если прямо не установлено иное, нижеперечисленные термины применяются в следующем значении:</w:t>
      </w:r>
    </w:p>
    <w:p>
      <w:pPr>
        <w:pStyle w:val="BodyTextIndent2"/>
        <w:numPr>
          <w:ilvl w:val="2"/>
          <w:numId w:val="3"/>
        </w:numPr>
        <w:tabs>
          <w:tab w:val="clear" w:pos="708"/>
          <w:tab w:val="left" w:pos="1134" w:leader="none"/>
        </w:tabs>
        <w:ind w:firstLine="567" w:left="0"/>
        <w:rPr>
          <w:sz w:val="22"/>
          <w:szCs w:val="22"/>
        </w:rPr>
      </w:pPr>
      <w:r>
        <w:rPr>
          <w:sz w:val="22"/>
          <w:szCs w:val="22"/>
        </w:rPr>
        <w:t>Абонентская плата – фиксированный платеж за Услуги, оказываемые ПОЛЬЗОВАТЕЛЮ АГЕНТОМ в течение Расчетного периода;</w:t>
      </w:r>
    </w:p>
    <w:p>
      <w:pPr>
        <w:pStyle w:val="BodyTextIndent2"/>
        <w:numPr>
          <w:ilvl w:val="2"/>
          <w:numId w:val="3"/>
        </w:numPr>
        <w:tabs>
          <w:tab w:val="clear" w:pos="708"/>
          <w:tab w:val="left" w:pos="1134" w:leader="none"/>
        </w:tabs>
        <w:ind w:firstLine="567" w:left="0"/>
        <w:rPr>
          <w:sz w:val="22"/>
          <w:szCs w:val="22"/>
        </w:rPr>
      </w:pPr>
      <w:r>
        <w:rPr>
          <w:sz w:val="22"/>
          <w:szCs w:val="22"/>
        </w:rPr>
        <w:t>Авторизационные данные – логин и пароль, позволяющие идентифицировать и авторизовать ПОЛЬЗОВАТЕЛЯ в Личном кабинете.</w:t>
      </w:r>
    </w:p>
    <w:p>
      <w:pPr>
        <w:pStyle w:val="BodyTextIndent2"/>
        <w:numPr>
          <w:ilvl w:val="2"/>
          <w:numId w:val="3"/>
        </w:numPr>
        <w:tabs>
          <w:tab w:val="clear" w:pos="708"/>
          <w:tab w:val="left" w:pos="1134" w:leader="none"/>
        </w:tabs>
        <w:ind w:firstLine="567" w:left="0"/>
        <w:rPr>
          <w:sz w:val="22"/>
          <w:szCs w:val="22"/>
        </w:rPr>
      </w:pPr>
      <w:r>
        <w:rPr>
          <w:sz w:val="22"/>
          <w:szCs w:val="22"/>
        </w:rPr>
        <w:t>Единовременный платеж – платеж за предоставление доступа к Услугам, который производится согласно условиям настоящего Договора и Приложений к нему, а также тарифов АГЕНТА;</w:t>
      </w:r>
    </w:p>
    <w:p>
      <w:pPr>
        <w:pStyle w:val="BodyTextIndent2"/>
        <w:numPr>
          <w:ilvl w:val="2"/>
          <w:numId w:val="3"/>
        </w:numPr>
        <w:tabs>
          <w:tab w:val="clear" w:pos="708"/>
          <w:tab w:val="left" w:pos="1134" w:leader="none"/>
        </w:tabs>
        <w:ind w:firstLine="567" w:left="0"/>
        <w:rPr>
          <w:sz w:val="22"/>
          <w:szCs w:val="22"/>
        </w:rPr>
      </w:pPr>
      <w:r>
        <w:rPr>
          <w:sz w:val="22"/>
          <w:szCs w:val="22"/>
        </w:rPr>
        <w:t>Ежемесячный платеж – платеж, состоящий из Абонентской платы и платежей за Дополнительные услуги (в случае их оказания), определяемый тарифами АГЕНТА, рассчитанный по итогам пользования Услугой и Дополнительными услугами в течение Расчетного периода;</w:t>
      </w:r>
    </w:p>
    <w:p>
      <w:pPr>
        <w:pStyle w:val="BodyTextIndent2"/>
        <w:numPr>
          <w:ilvl w:val="2"/>
          <w:numId w:val="3"/>
        </w:numPr>
        <w:tabs>
          <w:tab w:val="clear" w:pos="708"/>
          <w:tab w:val="left" w:pos="1134" w:leader="none"/>
        </w:tabs>
        <w:ind w:firstLine="567" w:left="0"/>
        <w:rPr>
          <w:sz w:val="22"/>
          <w:szCs w:val="22"/>
        </w:rPr>
      </w:pPr>
      <w:r>
        <w:rPr>
          <w:sz w:val="22"/>
          <w:szCs w:val="22"/>
        </w:rPr>
        <w:t>Личный кабинет– специальный раздел Сайта Услуги, в котором ПОЛЬЗОВАТЕЛЬ может заказывать и управлять заказанными Услугами. Личный кабинет может располагаться на выделенном адресе в сети Интернет, отличном от адреса сайта Услуги.</w:t>
      </w:r>
    </w:p>
    <w:p>
      <w:pPr>
        <w:pStyle w:val="BodyTextIndent2"/>
        <w:numPr>
          <w:ilvl w:val="2"/>
          <w:numId w:val="3"/>
        </w:numPr>
        <w:tabs>
          <w:tab w:val="clear" w:pos="708"/>
          <w:tab w:val="left" w:pos="1134" w:leader="none"/>
        </w:tabs>
        <w:ind w:firstLine="567" w:left="0"/>
        <w:rPr>
          <w:sz w:val="22"/>
          <w:szCs w:val="22"/>
        </w:rPr>
      </w:pPr>
      <w:r>
        <w:rPr>
          <w:sz w:val="22"/>
          <w:szCs w:val="22"/>
        </w:rPr>
        <w:t>Расчетный период – календарный месяц, в котором предоставляются Услуги;</w:t>
      </w:r>
    </w:p>
    <w:p>
      <w:pPr>
        <w:pStyle w:val="BodyTextIndent2"/>
        <w:numPr>
          <w:ilvl w:val="2"/>
          <w:numId w:val="3"/>
        </w:numPr>
        <w:tabs>
          <w:tab w:val="clear" w:pos="708"/>
          <w:tab w:val="left" w:pos="1134" w:leader="none"/>
        </w:tabs>
        <w:ind w:firstLine="567" w:left="0"/>
        <w:rPr>
          <w:sz w:val="22"/>
          <w:szCs w:val="22"/>
        </w:rPr>
      </w:pPr>
      <w:r>
        <w:rPr>
          <w:sz w:val="22"/>
          <w:szCs w:val="22"/>
        </w:rPr>
        <w:t>Услуги – организация и обеспечение маршрутизации голосовых вызовов, поступающих на абонентский номер ПОЛЬЗОВАТЕЛЯ, по сети передачи данных АГЕНТА до оконечного оборудования ПОЛЬЗОВАТЕЛЯ, согласно Приложению №1 настоящего Договора и тарифам АГЕНТА.</w:t>
      </w:r>
    </w:p>
    <w:p>
      <w:pPr>
        <w:pStyle w:val="BodyTextIndent2"/>
        <w:numPr>
          <w:ilvl w:val="2"/>
          <w:numId w:val="3"/>
        </w:numPr>
        <w:tabs>
          <w:tab w:val="clear" w:pos="708"/>
          <w:tab w:val="left" w:pos="1134" w:leader="none"/>
        </w:tabs>
        <w:ind w:firstLine="567" w:left="0"/>
        <w:rPr>
          <w:sz w:val="22"/>
          <w:szCs w:val="22"/>
        </w:rPr>
      </w:pPr>
      <w:r>
        <w:rPr>
          <w:sz w:val="22"/>
          <w:szCs w:val="22"/>
        </w:rPr>
        <w:t>Дополнительные услуги – предоставление: местных телефонных соединений; внутризоновых соединений по сети передачи данных с абонентами телефонной сети связи общего пользования РБ и абонентами подвижной радиотелефонной связи РБ; соединений, осуществляемых за пределы территории РБ, через операторов дальней связи в соответствии с действующими договорами взаимодействия.</w:t>
      </w:r>
    </w:p>
    <w:p>
      <w:pPr>
        <w:pStyle w:val="BodyTextIndent2"/>
        <w:tabs>
          <w:tab w:val="clear" w:pos="708"/>
          <w:tab w:val="left" w:pos="709" w:leader="none"/>
        </w:tabs>
        <w:ind w:firstLine="567"/>
        <w:rPr>
          <w:sz w:val="22"/>
          <w:szCs w:val="22"/>
        </w:rPr>
      </w:pPr>
      <w:r>
        <w:rPr>
          <w:sz w:val="22"/>
          <w:szCs w:val="22"/>
        </w:rPr>
        <w:t>Иные термины, не определенные в данной статье, трактуются в соответствии с понятиями, данными в ФЗ «О связи», Правилами оказания услуг связи по передаче данных и Правилами оказания услуг телефонной связи.</w:t>
      </w:r>
    </w:p>
    <w:p>
      <w:pPr>
        <w:pStyle w:val="BodyTextIndent2"/>
        <w:ind w:hanging="0"/>
        <w:jc w:val="center"/>
        <w:rPr>
          <w:b/>
          <w:sz w:val="22"/>
          <w:szCs w:val="22"/>
        </w:rPr>
      </w:pPr>
      <w:r>
        <w:rPr>
          <w:b/>
          <w:sz w:val="22"/>
          <w:szCs w:val="22"/>
        </w:rPr>
        <w:t>2. Предмет Договора</w:t>
      </w:r>
    </w:p>
    <w:p>
      <w:pPr>
        <w:pStyle w:val="BodyTextIndent2"/>
        <w:ind w:hanging="0"/>
        <w:jc w:val="center"/>
        <w:rPr>
          <w:b/>
          <w:sz w:val="22"/>
          <w:szCs w:val="22"/>
        </w:rPr>
      </w:pPr>
      <w:r>
        <w:rPr>
          <w:b/>
          <w:sz w:val="22"/>
          <w:szCs w:val="22"/>
        </w:rPr>
      </w:r>
    </w:p>
    <w:p>
      <w:pPr>
        <w:pStyle w:val="Normal"/>
        <w:numPr>
          <w:ilvl w:val="0"/>
          <w:numId w:val="4"/>
        </w:numPr>
        <w:tabs>
          <w:tab w:val="clear" w:pos="708"/>
          <w:tab w:val="left" w:pos="993" w:leader="none"/>
        </w:tabs>
        <w:ind w:firstLine="567" w:left="0"/>
        <w:jc w:val="both"/>
        <w:rPr/>
      </w:pPr>
      <w:r>
        <w:rPr>
          <w:sz w:val="22"/>
          <w:szCs w:val="22"/>
        </w:rPr>
        <w:t xml:space="preserve">Пользователь принимает Услуги и Дополнительные услуги, и оплачивает их в соответствии с тарифами АГЕНТА в порядке, определяемом настоящим Договором и Приложениями к нему. Дата начала предоставления Услуги указывается в Акте приема–передачи выполненных работ по организации доступа к Услуге (Приложение №3). </w:t>
      </w:r>
    </w:p>
    <w:p>
      <w:pPr>
        <w:pStyle w:val="Normal"/>
        <w:numPr>
          <w:ilvl w:val="0"/>
          <w:numId w:val="4"/>
        </w:numPr>
        <w:tabs>
          <w:tab w:val="clear" w:pos="708"/>
          <w:tab w:val="left" w:pos="993" w:leader="none"/>
        </w:tabs>
        <w:ind w:firstLine="567" w:left="0"/>
        <w:jc w:val="both"/>
        <w:rPr/>
      </w:pPr>
      <w:r>
        <w:rPr>
          <w:sz w:val="22"/>
          <w:szCs w:val="22"/>
        </w:rPr>
        <w:t>Настоящий договор вступает в силу с момента его подписания и распространяет свое действие на отношения сторон возникшие до его заключения, с даты подписания договора.</w:t>
      </w:r>
    </w:p>
    <w:p>
      <w:pPr>
        <w:pStyle w:val="Normal"/>
        <w:numPr>
          <w:ilvl w:val="0"/>
          <w:numId w:val="0"/>
        </w:numPr>
        <w:tabs>
          <w:tab w:val="clear" w:pos="708"/>
          <w:tab w:val="left" w:pos="993" w:leader="none"/>
        </w:tabs>
        <w:ind w:hanging="0" w:left="0"/>
        <w:jc w:val="both"/>
        <w:rPr/>
      </w:pPr>
      <w:r>
        <w:rPr>
          <w:sz w:val="22"/>
          <w:szCs w:val="22"/>
        </w:rPr>
        <w:t xml:space="preserve">  </w:t>
      </w:r>
    </w:p>
    <w:p>
      <w:pPr>
        <w:pStyle w:val="Iniiaiieoaeno3"/>
        <w:jc w:val="center"/>
        <w:rPr>
          <w:sz w:val="22"/>
          <w:szCs w:val="22"/>
        </w:rPr>
      </w:pPr>
      <w:r>
        <w:rPr>
          <w:sz w:val="22"/>
          <w:szCs w:val="22"/>
        </w:rPr>
        <w:t>3. Порядок и условия расчетов</w:t>
      </w:r>
    </w:p>
    <w:p>
      <w:pPr>
        <w:pStyle w:val="Iniiaiieoaeno3"/>
        <w:jc w:val="center"/>
        <w:rPr>
          <w:sz w:val="22"/>
          <w:szCs w:val="22"/>
        </w:rPr>
      </w:pPr>
      <w:r>
        <w:rPr>
          <w:sz w:val="22"/>
          <w:szCs w:val="22"/>
        </w:rPr>
      </w:r>
    </w:p>
    <w:p>
      <w:pPr>
        <w:pStyle w:val="Normal"/>
        <w:ind w:firstLine="567"/>
        <w:jc w:val="both"/>
        <w:rPr>
          <w:sz w:val="22"/>
          <w:szCs w:val="22"/>
        </w:rPr>
      </w:pPr>
      <w:r>
        <w:rPr>
          <w:sz w:val="22"/>
          <w:szCs w:val="22"/>
        </w:rPr>
        <w:t>3.1. Пользователь оплачивает Единовременный платеж путем внесения наличных денежных средств в кассу Агента или путем перечисления суммы на расчетный счет Агента в соответствии с действующим тарифом в течение 5 (пяти) рабочих дней с момента выставления счета.</w:t>
      </w:r>
    </w:p>
    <w:p>
      <w:pPr>
        <w:pStyle w:val="Normal"/>
        <w:ind w:firstLine="567" w:right="-546"/>
        <w:jc w:val="both"/>
        <w:rPr>
          <w:sz w:val="22"/>
          <w:szCs w:val="22"/>
        </w:rPr>
      </w:pPr>
      <w:r>
        <w:rPr>
          <w:sz w:val="22"/>
          <w:szCs w:val="22"/>
        </w:rPr>
        <w:t>3.2. Ежемесячные платежи</w:t>
      </w:r>
    </w:p>
    <w:p>
      <w:pPr>
        <w:pStyle w:val="Normal"/>
        <w:ind w:firstLine="567" w:right="-546"/>
        <w:jc w:val="both"/>
        <w:rPr>
          <w:sz w:val="22"/>
          <w:szCs w:val="22"/>
        </w:rPr>
      </w:pPr>
      <w:r>
        <w:rPr>
          <w:sz w:val="22"/>
          <w:szCs w:val="22"/>
        </w:rPr>
        <w:t>3.2.1. Порядок оплаты оказанных Услуг и Дополнительных услуг - отложенный платеж.</w:t>
      </w:r>
    </w:p>
    <w:p>
      <w:pPr>
        <w:pStyle w:val="Normal"/>
        <w:ind w:firstLine="567"/>
        <w:jc w:val="both"/>
        <w:rPr>
          <w:sz w:val="22"/>
          <w:szCs w:val="22"/>
        </w:rPr>
      </w:pPr>
      <w:r>
        <w:rPr>
          <w:sz w:val="22"/>
          <w:szCs w:val="22"/>
        </w:rPr>
        <w:t>3.2.2. Безналичный расчет.</w:t>
      </w:r>
    </w:p>
    <w:p>
      <w:pPr>
        <w:pStyle w:val="Normal"/>
        <w:ind w:firstLine="567"/>
        <w:jc w:val="both"/>
        <w:rPr>
          <w:sz w:val="22"/>
          <w:szCs w:val="22"/>
        </w:rPr>
      </w:pPr>
      <w:r>
        <w:rPr>
          <w:sz w:val="22"/>
          <w:szCs w:val="22"/>
        </w:rPr>
        <w:t xml:space="preserve">3.2.2.1. АГЕНТ ежемесячно до 5-го числа месяца, следующего за расчетным, выставляет ПОЛЬЗОВАТЕЛЮ счет на оплату Ежемесячного платежа. </w:t>
      </w:r>
    </w:p>
    <w:p>
      <w:pPr>
        <w:pStyle w:val="Normal"/>
        <w:ind w:firstLine="567"/>
        <w:jc w:val="both"/>
        <w:rPr>
          <w:sz w:val="22"/>
          <w:szCs w:val="22"/>
        </w:rPr>
      </w:pPr>
      <w:r>
        <w:rPr>
          <w:sz w:val="22"/>
          <w:szCs w:val="22"/>
        </w:rPr>
        <w:t>3.2.2.2. Для оплаты ежемесячного платежа АГЕНТ представляет ПОЛЬЗОВАТЕЛЮ пакет платежных документов в соответствии с нормативными требованиями.</w:t>
      </w:r>
    </w:p>
    <w:p>
      <w:pPr>
        <w:pStyle w:val="Iniiaiieoaeno3"/>
        <w:ind w:firstLine="567"/>
        <w:jc w:val="both"/>
        <w:rPr>
          <w:b w:val="false"/>
          <w:sz w:val="22"/>
          <w:szCs w:val="22"/>
        </w:rPr>
      </w:pPr>
      <w:r>
        <w:rPr>
          <w:b w:val="false"/>
          <w:sz w:val="22"/>
          <w:szCs w:val="22"/>
        </w:rPr>
        <w:t>3.2.2.3. ПОЛЬЗОВАТЕЛЬ производит перечисление суммы Ежемесячного платежа в течение двадцати (20) календарных дней со дня выставления счета. Обязательства ПОЛЬЗОВАТЕЛЯ по исполнению Ежемесячного платежа считаются исполненными в момент поступления денежных средств на расчетный счет АГЕНТА.</w:t>
      </w:r>
    </w:p>
    <w:p>
      <w:pPr>
        <w:pStyle w:val="Normal"/>
        <w:ind w:firstLine="567"/>
        <w:jc w:val="both"/>
        <w:rPr>
          <w:sz w:val="22"/>
          <w:szCs w:val="22"/>
        </w:rPr>
      </w:pPr>
      <w:r>
        <w:rPr>
          <w:sz w:val="22"/>
          <w:szCs w:val="22"/>
        </w:rPr>
        <w:t>3.3. Оплата Услуг и Дополнительных услуг производится в соответствии с действующими на момент оказания Услуги Дополнительных услуг тарифами АГЕНТА. Основанием для осуществления расчетов за Дополнительные услуги являются показания оборудования АГЕНТА, учитывающие объем оказанных Дополнительных услуг.</w:t>
      </w:r>
    </w:p>
    <w:p>
      <w:pPr>
        <w:pStyle w:val="Normal"/>
        <w:ind w:firstLine="567"/>
        <w:jc w:val="both"/>
        <w:rPr>
          <w:sz w:val="22"/>
          <w:szCs w:val="22"/>
        </w:rPr>
      </w:pPr>
      <w:r>
        <w:rPr>
          <w:sz w:val="22"/>
          <w:szCs w:val="22"/>
        </w:rPr>
        <w:t>3.4. При оказании ПОЛЬЗОВАТЕЛЮ Услуг и Дополнительных услуг в течение неполного месяца (в случае подключения или расторжения Договора) Абонентская плата и платеж за оказанные Дополнительные услуги за данный месяц рассчитываются пропорционально количеству календарных дней, в течение которых Услуги и Дополнительные услуги предоставлялись ПОЛЬЗОВАТЕЛЮ.</w:t>
      </w:r>
    </w:p>
    <w:p>
      <w:pPr>
        <w:pStyle w:val="Normal"/>
        <w:ind w:firstLine="567"/>
        <w:jc w:val="both"/>
        <w:rPr>
          <w:sz w:val="22"/>
          <w:szCs w:val="22"/>
        </w:rPr>
      </w:pPr>
      <w:r>
        <w:rPr>
          <w:sz w:val="22"/>
          <w:szCs w:val="22"/>
        </w:rPr>
        <w:t>3.5. При наличии договора с банком, в котором находится расчетный счет ПОЛЬЗОВАТЕЛЯ, о безакцептном списании денежных средств со счета ПОЛЬЗОВАТЕЛЯ по платежным требованиям АГЕНТА, АГЕНТ имеет право безакцептного списания сумм за оказанные Услуги и Дополнительные услуги.</w:t>
      </w:r>
    </w:p>
    <w:p>
      <w:pPr>
        <w:pStyle w:val="Normal"/>
        <w:ind w:firstLine="567"/>
        <w:jc w:val="both"/>
        <w:rPr>
          <w:sz w:val="22"/>
          <w:szCs w:val="22"/>
        </w:rPr>
      </w:pPr>
      <w:r>
        <w:rPr>
          <w:sz w:val="22"/>
          <w:szCs w:val="22"/>
        </w:rPr>
        <w:t>3.6. Способ доставки счетов и иных платежных документов указывается в Приложении №2.</w:t>
      </w:r>
    </w:p>
    <w:p>
      <w:pPr>
        <w:pStyle w:val="Normal"/>
        <w:ind w:firstLine="567"/>
        <w:jc w:val="both"/>
        <w:rPr>
          <w:color w:val="000000"/>
          <w:sz w:val="22"/>
          <w:szCs w:val="22"/>
        </w:rPr>
      </w:pPr>
      <w:r>
        <w:rPr>
          <w:color w:val="000000"/>
          <w:sz w:val="22"/>
          <w:szCs w:val="22"/>
        </w:rPr>
        <w:t>3.7. В случае изменения стоимости оказанных услуг, в том числе при изменении цены (тарифа) и/или изменении количества/объема оказанных услуг АГЕНТ направляет ПОЛЬЗОВАТЕЛЮ акт выполненных работ (оказанных услуг), в котором отражается изменение стоимости оказанных услуг (выполненных работ). В случае если ПОЛЬЗОВАТЕЛЬ в течение пяти дней с момента получения акта оказанных услуг (выполненных работ) не направит АГЕНТУ мотивированный отказ от подписания акта, то отсутствие возражений со стороны ПОЛЬЗОВАТЕЛЯ считается согласием ПОЛЬЗОВАТЕЛЯ на изменение стоимости оказанных услуг (выполненных работ).</w:t>
      </w:r>
    </w:p>
    <w:p>
      <w:pPr>
        <w:pStyle w:val="Normal"/>
        <w:rPr/>
      </w:pPr>
      <w:r>
        <w:rPr/>
        <w:t xml:space="preserve">3.8. </w:t>
      </w:r>
      <w:r>
        <w:rPr>
          <w:sz w:val="22"/>
          <w:szCs w:val="22"/>
        </w:rPr>
        <w:t>Объем оказываемых услуг связи составляет на 2026 год – 90889,92 рублей (девяносто тысячи восемьсот восемьдесят девять рублей 92 коп.), в том числе НДС 22%.</w:t>
      </w:r>
    </w:p>
    <w:p>
      <w:pPr>
        <w:pStyle w:val="Normal"/>
        <w:ind w:firstLine="567"/>
        <w:jc w:val="both"/>
        <w:rPr/>
      </w:pPr>
      <w:r>
        <w:rPr>
          <w:sz w:val="22"/>
          <w:szCs w:val="22"/>
          <w:highlight w:val="yellow"/>
        </w:rPr>
        <w:t xml:space="preserve"> </w:t>
      </w:r>
    </w:p>
    <w:p>
      <w:pPr>
        <w:pStyle w:val="Normal"/>
        <w:jc w:val="center"/>
        <w:rPr>
          <w:b/>
          <w:sz w:val="22"/>
          <w:szCs w:val="22"/>
        </w:rPr>
      </w:pPr>
      <w:r>
        <w:rPr>
          <w:b/>
          <w:sz w:val="22"/>
          <w:szCs w:val="22"/>
        </w:rPr>
        <w:t>4. Права и обязанности сторон</w:t>
      </w:r>
    </w:p>
    <w:p>
      <w:pPr>
        <w:pStyle w:val="Normal"/>
        <w:jc w:val="center"/>
        <w:rPr>
          <w:b/>
          <w:sz w:val="22"/>
          <w:szCs w:val="22"/>
        </w:rPr>
      </w:pPr>
      <w:r>
        <w:rPr>
          <w:b/>
          <w:sz w:val="22"/>
          <w:szCs w:val="22"/>
        </w:rPr>
      </w:r>
    </w:p>
    <w:p>
      <w:pPr>
        <w:pStyle w:val="Normal"/>
        <w:ind w:firstLine="567"/>
        <w:jc w:val="both"/>
        <w:rPr>
          <w:sz w:val="22"/>
          <w:szCs w:val="22"/>
        </w:rPr>
      </w:pPr>
      <w:r>
        <w:rPr>
          <w:sz w:val="22"/>
          <w:szCs w:val="22"/>
        </w:rPr>
        <w:t xml:space="preserve">4.1. </w:t>
      </w:r>
      <w:r>
        <w:rPr>
          <w:b/>
          <w:sz w:val="22"/>
          <w:szCs w:val="22"/>
        </w:rPr>
        <w:t>АГЕНТ обязуется:</w:t>
      </w:r>
    </w:p>
    <w:p>
      <w:pPr>
        <w:pStyle w:val="Normal"/>
        <w:ind w:firstLine="567"/>
        <w:jc w:val="both"/>
        <w:rPr>
          <w:sz w:val="22"/>
          <w:szCs w:val="22"/>
        </w:rPr>
      </w:pPr>
      <w:r>
        <w:rPr>
          <w:sz w:val="22"/>
          <w:szCs w:val="22"/>
        </w:rPr>
        <w:t>4.1.1. Оказывать ПОЛЬЗОВАТЕЛЮ Услуги в соответствии с Законодательством РФ, Правилами оказания услуг связи по передаче данных и Правилами оказания телематических услуг связи в объеме, предусмотренном настоящим Договором и Приложениями к нему.</w:t>
      </w:r>
    </w:p>
    <w:p>
      <w:pPr>
        <w:pStyle w:val="Normal"/>
        <w:ind w:firstLine="567"/>
        <w:jc w:val="both"/>
        <w:rPr>
          <w:sz w:val="22"/>
          <w:szCs w:val="22"/>
        </w:rPr>
      </w:pPr>
      <w:r>
        <w:rPr>
          <w:sz w:val="22"/>
          <w:szCs w:val="22"/>
        </w:rPr>
        <w:t>4.1.2. В течение не более 10 (десяти) рабочих дней со дня получения Единовременного платежа, произвести необходимые работы по организации доступа к Услугам в соответствии с Приложением №1 к настоящему Договору. По факту выполнения работ Стороны, в течение не более 2 (двух) рабочих дней, подписывают Акт приема–передачи выполненных работ. Если в течение установленного срока ПОЛЬЗОВАТЕЛЬ не подписывает Акт и не предоставляет в письменном виде обоснование причин отказа от его подписания, соответствующие работы считаются принятыми ПОЛЬЗОВАТЕЛЕМ, с даты подписания Акта АГЕНТОМ.</w:t>
      </w:r>
    </w:p>
    <w:p>
      <w:pPr>
        <w:pStyle w:val="Normal"/>
        <w:ind w:firstLine="567"/>
        <w:jc w:val="both"/>
        <w:rPr>
          <w:sz w:val="22"/>
          <w:szCs w:val="22"/>
        </w:rPr>
      </w:pPr>
      <w:r>
        <w:rPr>
          <w:sz w:val="22"/>
          <w:szCs w:val="22"/>
        </w:rPr>
        <w:t>4.1.3. Гарантировать качество предоставляемых Услуг в соответствии с законодательством Российской Федерации о связи, а также в соответствии с условиями осуществления деятельности в области связи, предусмотренными соответствующими лицензиями АГЕНТА.</w:t>
      </w:r>
    </w:p>
    <w:p>
      <w:pPr>
        <w:pStyle w:val="Normal"/>
        <w:ind w:firstLine="567"/>
        <w:jc w:val="both"/>
        <w:rPr>
          <w:sz w:val="22"/>
          <w:szCs w:val="22"/>
        </w:rPr>
      </w:pPr>
      <w:r>
        <w:rPr>
          <w:sz w:val="22"/>
          <w:szCs w:val="22"/>
        </w:rPr>
        <w:t xml:space="preserve">4.1.4. Предупреждать ПОЛЬЗОВАТЕЛЯ о времени и сроках проведения профилактических работ за 5 (пять) дней до их проведения путем размещения соответствующей информации на официальном Интернет-сайте АГЕНТА </w:t>
      </w:r>
      <w:r>
        <w:rPr>
          <w:sz w:val="22"/>
          <w:szCs w:val="22"/>
          <w:lang w:val="en-US"/>
        </w:rPr>
        <w:t>www</w:t>
      </w:r>
      <w:r>
        <w:rPr>
          <w:sz w:val="22"/>
          <w:szCs w:val="22"/>
        </w:rPr>
        <w:t>.</w:t>
      </w:r>
      <w:r>
        <w:rPr>
          <w:sz w:val="22"/>
          <w:szCs w:val="22"/>
          <w:lang w:val="en-US"/>
        </w:rPr>
        <w:t>bashtel</w:t>
      </w:r>
      <w:r>
        <w:rPr>
          <w:sz w:val="22"/>
          <w:szCs w:val="22"/>
        </w:rPr>
        <w:t>.</w:t>
      </w:r>
      <w:r>
        <w:rPr>
          <w:sz w:val="22"/>
          <w:szCs w:val="22"/>
          <w:lang w:val="en-US"/>
        </w:rPr>
        <w:t>ru</w:t>
      </w:r>
    </w:p>
    <w:p>
      <w:pPr>
        <w:pStyle w:val="Normal"/>
        <w:ind w:firstLine="567"/>
        <w:jc w:val="both"/>
        <w:rPr>
          <w:sz w:val="22"/>
          <w:szCs w:val="22"/>
        </w:rPr>
      </w:pPr>
      <w:r>
        <w:rPr>
          <w:sz w:val="22"/>
          <w:szCs w:val="22"/>
        </w:rPr>
        <w:t>4.1.5. Информировать ПОЛЬЗОВАТЕЛЯ о возникновении технических сложностей и продлении срока организации доступа к Услугам (п. 4.2.5. настоящего Договора).</w:t>
      </w:r>
    </w:p>
    <w:p>
      <w:pPr>
        <w:pStyle w:val="Normal"/>
        <w:ind w:firstLine="567"/>
        <w:jc w:val="both"/>
        <w:rPr>
          <w:sz w:val="22"/>
          <w:szCs w:val="22"/>
        </w:rPr>
      </w:pPr>
      <w:r>
        <w:rPr>
          <w:sz w:val="22"/>
          <w:szCs w:val="22"/>
        </w:rPr>
        <w:t xml:space="preserve">4.1.6. Уведомлять ПОЛЬЗОВАТЕЛЯ об изменении тарифов не менее чем за 10 дней до их введения, путем размещения соответствующей информации на официальном Интернет-сайте АГЕНТА </w:t>
      </w:r>
      <w:r>
        <w:rPr>
          <w:sz w:val="22"/>
          <w:szCs w:val="22"/>
          <w:lang w:val="en-US"/>
        </w:rPr>
        <w:t>www</w:t>
      </w:r>
      <w:r>
        <w:rPr>
          <w:sz w:val="22"/>
          <w:szCs w:val="22"/>
        </w:rPr>
        <w:t>.</w:t>
      </w:r>
      <w:r>
        <w:rPr>
          <w:sz w:val="22"/>
          <w:szCs w:val="22"/>
          <w:lang w:val="en-US"/>
        </w:rPr>
        <w:t>bashtel</w:t>
      </w:r>
      <w:r>
        <w:rPr>
          <w:sz w:val="22"/>
          <w:szCs w:val="22"/>
        </w:rPr>
        <w:t>.</w:t>
      </w:r>
      <w:r>
        <w:rPr>
          <w:sz w:val="22"/>
          <w:szCs w:val="22"/>
          <w:lang w:val="en-US"/>
        </w:rPr>
        <w:t>ru</w:t>
      </w:r>
    </w:p>
    <w:p>
      <w:pPr>
        <w:pStyle w:val="Normal"/>
        <w:ind w:firstLine="567"/>
        <w:jc w:val="both"/>
        <w:rPr>
          <w:sz w:val="22"/>
          <w:szCs w:val="22"/>
        </w:rPr>
      </w:pPr>
      <w:r>
        <w:rPr>
          <w:sz w:val="22"/>
          <w:szCs w:val="22"/>
        </w:rPr>
        <w:t xml:space="preserve">4.2. </w:t>
      </w:r>
      <w:r>
        <w:rPr>
          <w:b/>
          <w:sz w:val="22"/>
          <w:szCs w:val="22"/>
        </w:rPr>
        <w:t>АГЕНТ имеет право:</w:t>
      </w:r>
    </w:p>
    <w:p>
      <w:pPr>
        <w:pStyle w:val="Normal"/>
        <w:ind w:firstLine="567"/>
        <w:jc w:val="both"/>
        <w:rPr>
          <w:sz w:val="22"/>
          <w:szCs w:val="22"/>
        </w:rPr>
      </w:pPr>
      <w:r>
        <w:rPr>
          <w:sz w:val="22"/>
          <w:szCs w:val="22"/>
        </w:rPr>
        <w:t>4.2.1. Приостанавливать оказание Услуг на время проведения профилактических работ на оборудовании АГЕНТА, на срок не более 2 (двух) часов в месяц.</w:t>
      </w:r>
    </w:p>
    <w:p>
      <w:pPr>
        <w:pStyle w:val="Normal"/>
        <w:ind w:firstLine="567"/>
        <w:jc w:val="both"/>
        <w:rPr>
          <w:sz w:val="22"/>
          <w:szCs w:val="22"/>
        </w:rPr>
      </w:pPr>
      <w:r>
        <w:rPr>
          <w:sz w:val="22"/>
          <w:szCs w:val="22"/>
        </w:rPr>
        <w:t>4.2.2. Временно прекратить предоставление Услуг ПОЛЬЗОВАТЕЛЮ в следующих случаях:</w:t>
      </w:r>
    </w:p>
    <w:p>
      <w:pPr>
        <w:pStyle w:val="Normal"/>
        <w:numPr>
          <w:ilvl w:val="0"/>
          <w:numId w:val="1"/>
        </w:numPr>
        <w:ind w:firstLine="567" w:left="0"/>
        <w:jc w:val="both"/>
        <w:rPr>
          <w:sz w:val="22"/>
          <w:szCs w:val="22"/>
        </w:rPr>
      </w:pPr>
      <w:r>
        <w:rPr>
          <w:sz w:val="22"/>
          <w:szCs w:val="22"/>
        </w:rPr>
        <w:t>Неисполнение ПОЛЬЗОВАТЕЛЕМ обязательства по оплате Ежемесячного платежа по истечении 15 календарных дней с момента выставления счета АГЕНТОМ – в случае, если ПОЛЬЗОВАТЕЛЬ производит оплату Услуг, оказанных в течение расчетного периода, посредством отложенного платежа;</w:t>
      </w:r>
    </w:p>
    <w:p>
      <w:pPr>
        <w:pStyle w:val="Normal"/>
        <w:numPr>
          <w:ilvl w:val="0"/>
          <w:numId w:val="1"/>
        </w:numPr>
        <w:ind w:firstLine="567" w:left="0"/>
        <w:jc w:val="both"/>
        <w:rPr>
          <w:sz w:val="22"/>
          <w:szCs w:val="22"/>
        </w:rPr>
      </w:pPr>
      <w:r>
        <w:rPr>
          <w:sz w:val="22"/>
          <w:szCs w:val="22"/>
        </w:rPr>
        <w:t>Баланс Лицевого счета ПОЛЬЗОВАТЕЛЯ принимает отрицательное значение (при оплате Услуг посредством внесения авансового платежа);</w:t>
      </w:r>
    </w:p>
    <w:p>
      <w:pPr>
        <w:pStyle w:val="Normal"/>
        <w:numPr>
          <w:ilvl w:val="0"/>
          <w:numId w:val="1"/>
        </w:numPr>
        <w:ind w:firstLine="567" w:left="0"/>
        <w:jc w:val="both"/>
        <w:rPr>
          <w:sz w:val="22"/>
          <w:szCs w:val="22"/>
        </w:rPr>
      </w:pPr>
      <w:r>
        <w:rPr>
          <w:sz w:val="22"/>
          <w:szCs w:val="22"/>
        </w:rPr>
        <w:t>Нарушение ПОЛЬЗОВАТЕЛЕМ п. 4.4. настоящего Договора;</w:t>
      </w:r>
    </w:p>
    <w:p>
      <w:pPr>
        <w:pStyle w:val="Normal"/>
        <w:numPr>
          <w:ilvl w:val="0"/>
          <w:numId w:val="1"/>
        </w:numPr>
        <w:ind w:firstLine="567" w:left="0"/>
        <w:jc w:val="both"/>
        <w:rPr>
          <w:sz w:val="22"/>
          <w:szCs w:val="22"/>
        </w:rPr>
      </w:pPr>
      <w:r>
        <w:rPr>
          <w:sz w:val="22"/>
          <w:szCs w:val="22"/>
        </w:rPr>
        <w:t>Иного нарушения ПОЛЬЗОВАТЕЛЕМ условий настоящего Договора и Приложений к нему.</w:t>
      </w:r>
    </w:p>
    <w:p>
      <w:pPr>
        <w:pStyle w:val="Normal"/>
        <w:ind w:firstLine="567"/>
        <w:jc w:val="both"/>
        <w:rPr>
          <w:sz w:val="22"/>
          <w:szCs w:val="22"/>
        </w:rPr>
      </w:pPr>
      <w:r>
        <w:rPr>
          <w:sz w:val="22"/>
          <w:szCs w:val="22"/>
        </w:rPr>
        <w:t>4.2.3. Изменять тарифы на Услуги в одностороннем порядке.</w:t>
      </w:r>
    </w:p>
    <w:p>
      <w:pPr>
        <w:pStyle w:val="Normal"/>
        <w:ind w:firstLine="567"/>
        <w:jc w:val="both"/>
        <w:rPr>
          <w:sz w:val="22"/>
          <w:szCs w:val="22"/>
        </w:rPr>
      </w:pPr>
      <w:r>
        <w:rPr>
          <w:sz w:val="22"/>
          <w:szCs w:val="22"/>
        </w:rPr>
        <w:t xml:space="preserve">4.2.4. Расторгнуть настоящий Договор в одностороннем порядке в части предоставления Услуг, если в течение 6 (шести) месяцев с момента возникновения задолженности по оказанным Услугам ПОЛЬЗОВАТЕЛЬ не производит их оплату. Для возобновления пользования Услугами ПОЛЬЗОВАТЕЛЬ заключает с АГЕНТОМ новый Договор на общих основаниях. </w:t>
      </w:r>
    </w:p>
    <w:p>
      <w:pPr>
        <w:pStyle w:val="Normal"/>
        <w:ind w:firstLine="567"/>
        <w:jc w:val="both"/>
        <w:rPr>
          <w:sz w:val="22"/>
          <w:szCs w:val="22"/>
        </w:rPr>
      </w:pPr>
      <w:r>
        <w:rPr>
          <w:sz w:val="22"/>
          <w:szCs w:val="22"/>
        </w:rPr>
        <w:t xml:space="preserve">4.2.5. Продлить срок организации доступа к Услугам в случае возникновения технических сложностей. Срок подключения при этом продлевается на срок, установленный АГЕНТОМ, с обязательным письменным уведомлением ПОЛЬЗОВАТЕЛЯ. </w:t>
      </w:r>
    </w:p>
    <w:p>
      <w:pPr>
        <w:pStyle w:val="Normal"/>
        <w:ind w:firstLine="567"/>
        <w:jc w:val="both"/>
        <w:rPr>
          <w:sz w:val="22"/>
          <w:szCs w:val="22"/>
        </w:rPr>
      </w:pPr>
      <w:r>
        <w:rPr>
          <w:sz w:val="22"/>
          <w:szCs w:val="22"/>
        </w:rPr>
        <w:t xml:space="preserve">4.3. </w:t>
      </w:r>
      <w:r>
        <w:rPr>
          <w:b/>
          <w:sz w:val="22"/>
          <w:szCs w:val="22"/>
        </w:rPr>
        <w:t>ПОЛЬЗОВАТЕЛЬ обязуется:</w:t>
      </w:r>
    </w:p>
    <w:p>
      <w:pPr>
        <w:pStyle w:val="Normal"/>
        <w:ind w:firstLine="567"/>
        <w:jc w:val="both"/>
        <w:rPr>
          <w:sz w:val="22"/>
          <w:szCs w:val="22"/>
        </w:rPr>
      </w:pPr>
      <w:r>
        <w:rPr>
          <w:sz w:val="22"/>
          <w:szCs w:val="22"/>
        </w:rPr>
        <w:t>4.3.1. Выполнять условия настоящего Договора и Приложений к нему.</w:t>
      </w:r>
    </w:p>
    <w:p>
      <w:pPr>
        <w:pStyle w:val="Normal"/>
        <w:ind w:firstLine="567"/>
        <w:jc w:val="both"/>
        <w:rPr>
          <w:sz w:val="22"/>
          <w:szCs w:val="22"/>
        </w:rPr>
      </w:pPr>
      <w:r>
        <w:rPr>
          <w:sz w:val="22"/>
          <w:szCs w:val="22"/>
        </w:rPr>
        <w:t>4.3.2. Внести Единовременный платеж и оплачивать Ежемесячные платежи в порядке и на условиях настоящего Договора и Приложений к нему.</w:t>
      </w:r>
    </w:p>
    <w:p>
      <w:pPr>
        <w:pStyle w:val="Normal"/>
        <w:ind w:firstLine="567"/>
        <w:jc w:val="both"/>
        <w:rPr>
          <w:sz w:val="22"/>
          <w:szCs w:val="22"/>
        </w:rPr>
      </w:pPr>
      <w:r>
        <w:rPr>
          <w:sz w:val="22"/>
          <w:szCs w:val="22"/>
        </w:rPr>
        <w:t>4.3.3. Одновременно с подписанием настоящего договора представить заверенный уполномоченным представителем ПОЛЬЗОВАТЕЛЯ список лиц, использующих его пользовательское (оконечное) оборудование. Указанный список должен содержать фамилии, имена, отчества, места жительства, реквизиты основного документа, удостоверяющего личность этих лиц.</w:t>
      </w:r>
    </w:p>
    <w:p>
      <w:pPr>
        <w:pStyle w:val="Normal"/>
        <w:ind w:firstLine="567"/>
        <w:jc w:val="both"/>
        <w:rPr>
          <w:sz w:val="22"/>
          <w:szCs w:val="22"/>
        </w:rPr>
      </w:pPr>
      <w:r>
        <w:rPr>
          <w:sz w:val="22"/>
          <w:szCs w:val="22"/>
        </w:rPr>
        <w:t>4.3.4. Один раз в квартал представлять обновленный список лиц, использующих его пользовательское (оконечное) оборудование.</w:t>
      </w:r>
    </w:p>
    <w:p>
      <w:pPr>
        <w:pStyle w:val="Iniiaiieoaeno2"/>
        <w:ind w:firstLine="567"/>
        <w:rPr>
          <w:sz w:val="22"/>
          <w:szCs w:val="22"/>
        </w:rPr>
      </w:pPr>
      <w:r>
        <w:rPr>
          <w:sz w:val="22"/>
          <w:szCs w:val="22"/>
        </w:rPr>
        <w:t xml:space="preserve">4.4. </w:t>
      </w:r>
      <w:r>
        <w:rPr>
          <w:b/>
          <w:sz w:val="22"/>
          <w:szCs w:val="22"/>
        </w:rPr>
        <w:t>ПОЛЬЗОВАТЕЛЮ запрещается:</w:t>
      </w:r>
    </w:p>
    <w:p>
      <w:pPr>
        <w:pStyle w:val="Normal"/>
        <w:numPr>
          <w:ilvl w:val="0"/>
          <w:numId w:val="2"/>
        </w:numPr>
        <w:ind w:firstLine="567" w:left="0"/>
        <w:jc w:val="both"/>
        <w:rPr>
          <w:sz w:val="22"/>
          <w:szCs w:val="22"/>
        </w:rPr>
      </w:pPr>
      <w:r>
        <w:rPr>
          <w:sz w:val="22"/>
          <w:szCs w:val="22"/>
        </w:rPr>
        <w:t>Передавать в Сеть информацию, оскорбляющую честь и достоинство других ПОЛЬЗОВАТЕЛЕЙ и/или обслуживающего персонала Сети.</w:t>
      </w:r>
    </w:p>
    <w:p>
      <w:pPr>
        <w:pStyle w:val="BodyTextIndent2"/>
        <w:numPr>
          <w:ilvl w:val="0"/>
          <w:numId w:val="2"/>
        </w:numPr>
        <w:ind w:firstLine="567" w:left="0"/>
        <w:rPr>
          <w:sz w:val="22"/>
          <w:szCs w:val="22"/>
        </w:rPr>
      </w:pPr>
      <w:r>
        <w:rPr>
          <w:sz w:val="22"/>
          <w:szCs w:val="22"/>
        </w:rPr>
        <w:t>Использовать Услуги для несанкционированного доступа и порчи оборудования АГЕНТА и/или других пользователей Сети и других сетей, в которые возможен доступ через Сеть.</w:t>
      </w:r>
    </w:p>
    <w:p>
      <w:pPr>
        <w:pStyle w:val="Iniiaiieoaeno2"/>
        <w:numPr>
          <w:ilvl w:val="0"/>
          <w:numId w:val="2"/>
        </w:numPr>
        <w:ind w:firstLine="567" w:left="0"/>
        <w:rPr>
          <w:sz w:val="22"/>
          <w:szCs w:val="22"/>
        </w:rPr>
      </w:pPr>
      <w:r>
        <w:rPr>
          <w:sz w:val="22"/>
          <w:szCs w:val="22"/>
        </w:rPr>
        <w:t>Осуществлять действия, направленные на ухудшение качества доступа к Сети других пользователей и служб.</w:t>
      </w:r>
    </w:p>
    <w:p>
      <w:pPr>
        <w:pStyle w:val="Normal"/>
        <w:numPr>
          <w:ilvl w:val="0"/>
          <w:numId w:val="2"/>
        </w:numPr>
        <w:ind w:firstLine="567" w:left="0"/>
        <w:jc w:val="both"/>
        <w:rPr>
          <w:sz w:val="22"/>
          <w:szCs w:val="22"/>
        </w:rPr>
      </w:pPr>
      <w:r>
        <w:rPr>
          <w:sz w:val="22"/>
          <w:szCs w:val="22"/>
        </w:rPr>
        <w:t>Осуществлять действия или попытки уничтожения, или вмешательства в работу аппаратных и/или программных средств сетевого оборудования АГЕНТА или других ПОЛЬЗОВАТЕЛЕЙ путем умышленной рассылки компьютерных вирусов или любым иным способом.</w:t>
      </w:r>
    </w:p>
    <w:p>
      <w:pPr>
        <w:pStyle w:val="Normal"/>
        <w:numPr>
          <w:ilvl w:val="0"/>
          <w:numId w:val="2"/>
        </w:numPr>
        <w:ind w:firstLine="567" w:left="0"/>
        <w:jc w:val="both"/>
        <w:rPr>
          <w:sz w:val="22"/>
          <w:szCs w:val="22"/>
        </w:rPr>
      </w:pPr>
      <w:r>
        <w:rPr>
          <w:sz w:val="22"/>
          <w:szCs w:val="22"/>
        </w:rPr>
        <w:t>Осуществлять транзит интернет-трафика третьим лицам, если иное не оформлено дополнительным соглашением с АГЕНТОМ.</w:t>
      </w:r>
    </w:p>
    <w:p>
      <w:pPr>
        <w:pStyle w:val="Normal"/>
        <w:ind w:firstLine="567"/>
        <w:jc w:val="both"/>
        <w:rPr>
          <w:sz w:val="22"/>
          <w:szCs w:val="22"/>
        </w:rPr>
      </w:pPr>
      <w:r>
        <w:rPr>
          <w:sz w:val="22"/>
          <w:szCs w:val="22"/>
        </w:rPr>
        <w:t xml:space="preserve">4.5. </w:t>
      </w:r>
      <w:r>
        <w:rPr>
          <w:b/>
          <w:sz w:val="22"/>
          <w:szCs w:val="22"/>
        </w:rPr>
        <w:t>ПОЛЬЗОВАТЕЛЬ имеет право:</w:t>
      </w:r>
    </w:p>
    <w:p>
      <w:pPr>
        <w:pStyle w:val="Normal"/>
        <w:ind w:firstLine="567"/>
        <w:jc w:val="both"/>
        <w:rPr>
          <w:sz w:val="22"/>
          <w:szCs w:val="22"/>
        </w:rPr>
      </w:pPr>
      <w:r>
        <w:rPr>
          <w:sz w:val="22"/>
          <w:szCs w:val="22"/>
        </w:rPr>
        <w:t>4.5.1. Пользоваться Услугами в полном объеме в соответствии с настоящим Договором и Приложениями к нему.</w:t>
      </w:r>
    </w:p>
    <w:p>
      <w:pPr>
        <w:pStyle w:val="Annotationtext"/>
        <w:ind w:firstLine="567"/>
        <w:jc w:val="both"/>
        <w:rPr>
          <w:sz w:val="22"/>
          <w:szCs w:val="22"/>
        </w:rPr>
      </w:pPr>
      <w:r>
        <w:rPr>
          <w:sz w:val="22"/>
          <w:szCs w:val="22"/>
        </w:rPr>
        <w:t xml:space="preserve">4.5.2. </w:t>
      </w:r>
      <w:r>
        <w:rPr>
          <w:bCs/>
          <w:sz w:val="22"/>
          <w:szCs w:val="22"/>
        </w:rPr>
        <w:t xml:space="preserve">Изменять тарифный план. Частота изменения тарифного плана определяется порядком оплаты (отложенный или авансовый платеж) и действующим тарифным планом ПОЛЬЗОВАТЕЛЯ. В случае отложенного платежа ПОЛЬЗОВАТЕЛЬ может изменять тарифный план не чаще 1 раза в месяц. </w:t>
      </w:r>
      <w:r>
        <w:rPr>
          <w:sz w:val="22"/>
          <w:szCs w:val="22"/>
        </w:rPr>
        <w:t xml:space="preserve">Заявка на смену тарифного плана (в произвольной форме) представляется ОПЕРАТОРУ СВЯЗИ в письменном виде до 23-го числа месяца, предшествующего расчетному. Тарифный план изменяется с первого числа следующего расчетного месяца. </w:t>
      </w:r>
      <w:r>
        <w:rPr>
          <w:sz w:val="22"/>
          <w:szCs w:val="22"/>
          <w:lang w:val="en-US"/>
        </w:rPr>
        <w:t>C</w:t>
      </w:r>
      <w:r>
        <w:rPr>
          <w:sz w:val="22"/>
          <w:szCs w:val="22"/>
        </w:rPr>
        <w:t xml:space="preserve">мена тарифного плана оформляется Актом об изменении параметров Заказа. В случае внесения оплаты посредством авансовых платежей смена тарифного плана производится ПОЛЬЗОВАТЕЛЕМ самостоятельно через «Мой кабинет». </w:t>
      </w:r>
    </w:p>
    <w:p>
      <w:pPr>
        <w:pStyle w:val="Normal"/>
        <w:ind w:firstLine="567"/>
        <w:jc w:val="both"/>
        <w:rPr>
          <w:sz w:val="22"/>
          <w:szCs w:val="22"/>
        </w:rPr>
      </w:pPr>
      <w:r>
        <w:rPr>
          <w:sz w:val="22"/>
          <w:szCs w:val="22"/>
        </w:rPr>
        <w:t>4.5.3. Получать консультации службы технической поддержки. Объем консультаций ограничивается вопросами, связанными с предоставлением Услуг и вопросами, касающимися настройки стандартного программного обеспечения.</w:t>
      </w:r>
    </w:p>
    <w:p>
      <w:pPr>
        <w:pStyle w:val="Normal"/>
        <w:ind w:firstLine="567"/>
        <w:jc w:val="both"/>
        <w:rPr>
          <w:sz w:val="22"/>
          <w:szCs w:val="22"/>
        </w:rPr>
      </w:pPr>
      <w:r>
        <w:rPr>
          <w:sz w:val="22"/>
          <w:szCs w:val="22"/>
        </w:rPr>
        <w:t xml:space="preserve">4.5.4. Требовать перерасчета платы за Услуги в случае неоказания её по вине АГЕНТА, за исключением случаев, предусмотренных в п.п.4.2.1. и. 4.2.2. настоящего Договора. Перерасчет производиться по письменному заявлению ПОЛЬЗОВАТЕЛЯ. </w:t>
      </w:r>
    </w:p>
    <w:p>
      <w:pPr>
        <w:pStyle w:val="Normal"/>
        <w:ind w:firstLine="567"/>
        <w:jc w:val="both"/>
        <w:rPr>
          <w:sz w:val="22"/>
          <w:szCs w:val="22"/>
        </w:rPr>
      </w:pPr>
      <w:r>
        <w:rPr>
          <w:sz w:val="22"/>
          <w:szCs w:val="22"/>
        </w:rPr>
        <w:t>4.5.5. Временно приостановить пользование Услугами при оформлении письменного заявления в абонентской службе и оплаты соответствующей Услуги по действующему тарифу АГЕНТА.</w:t>
      </w:r>
    </w:p>
    <w:p>
      <w:pPr>
        <w:pStyle w:val="Normal"/>
        <w:ind w:firstLine="567"/>
        <w:jc w:val="both"/>
        <w:rPr>
          <w:sz w:val="22"/>
          <w:szCs w:val="22"/>
        </w:rPr>
      </w:pPr>
      <w:r>
        <w:rPr>
          <w:sz w:val="22"/>
          <w:szCs w:val="22"/>
        </w:rPr>
        <w:t>4.5.6. Отказаться от пользования Услугами, предоставив ОПЕРАТОРУ СВЯЗИ письменное заявление не позднее чем за 5 (пять) рабочих дней до желаемой даты отказа от пользования Услугами, при этом ПОЛЬЗОВАТЕЛЬ обязан погасить задолженность перед АГЕНТОМ за пользование Услугами.</w:t>
      </w:r>
    </w:p>
    <w:p>
      <w:pPr>
        <w:pStyle w:val="Normal"/>
        <w:ind w:firstLine="567"/>
        <w:jc w:val="both"/>
        <w:rPr>
          <w:sz w:val="22"/>
          <w:szCs w:val="22"/>
        </w:rPr>
      </w:pPr>
      <w:r>
        <w:rPr>
          <w:sz w:val="22"/>
          <w:szCs w:val="22"/>
        </w:rPr>
        <w:t>4.6. Внесение изменений в Договор, в том числе в части перечня оказываемых Услуг, Тарифных планов, смены способа доставки счета за Услуги по инициативе ПОЛЬЗОВАТЕЛЯ осуществляется путем заключения Дополнительного соглашения между Сторонами, а при наличии технической возможности АГЕНТА – с использованием дистанционных способов взаимодействия ПОЛЬЗОВАТЕЛЯ с АГЕНТОМ через Личный кабинет.</w:t>
      </w:r>
    </w:p>
    <w:p>
      <w:pPr>
        <w:pStyle w:val="Normal"/>
        <w:ind w:firstLine="567"/>
        <w:jc w:val="both"/>
        <w:rPr/>
      </w:pPr>
      <w:r>
        <w:rPr>
          <w:sz w:val="22"/>
          <w:szCs w:val="22"/>
        </w:rPr>
        <w:t>4.7. Все действия, осуществляемые под аутентификационными данными ПОЛЬЗОВАТЕЛЯ в Личном кабинете ПОЛЬЗОВАТЕЛЯ, признаются действиями ПОЛЬЗОВАТЕЛЯ.</w:t>
      </w:r>
    </w:p>
    <w:p>
      <w:pPr>
        <w:pStyle w:val="Normal"/>
        <w:ind w:firstLine="567"/>
        <w:jc w:val="both"/>
        <w:rPr>
          <w:sz w:val="22"/>
          <w:szCs w:val="22"/>
        </w:rPr>
      </w:pPr>
      <w:r>
        <w:rPr>
          <w:sz w:val="22"/>
          <w:szCs w:val="22"/>
        </w:rPr>
      </w:r>
    </w:p>
    <w:p>
      <w:pPr>
        <w:pStyle w:val="Iniiaiieoaeno3"/>
        <w:jc w:val="center"/>
        <w:rPr>
          <w:sz w:val="22"/>
          <w:szCs w:val="22"/>
        </w:rPr>
      </w:pPr>
      <w:r>
        <w:rPr>
          <w:sz w:val="22"/>
          <w:szCs w:val="22"/>
        </w:rPr>
        <w:t>5. Конфиденциальность</w:t>
      </w:r>
    </w:p>
    <w:p>
      <w:pPr>
        <w:pStyle w:val="Iniiaiieoaeno3"/>
        <w:jc w:val="center"/>
        <w:rPr>
          <w:sz w:val="22"/>
          <w:szCs w:val="22"/>
        </w:rPr>
      </w:pPr>
      <w:r>
        <w:rPr>
          <w:sz w:val="22"/>
          <w:szCs w:val="22"/>
        </w:rPr>
      </w:r>
    </w:p>
    <w:p>
      <w:pPr>
        <w:pStyle w:val="BodyText"/>
        <w:tabs>
          <w:tab w:val="clear" w:pos="720"/>
        </w:tabs>
        <w:spacing w:before="0" w:after="0"/>
        <w:ind w:firstLine="426"/>
        <w:rPr>
          <w:sz w:val="22"/>
          <w:szCs w:val="22"/>
        </w:rPr>
      </w:pPr>
      <w:r>
        <w:rPr>
          <w:sz w:val="22"/>
          <w:szCs w:val="22"/>
        </w:rPr>
        <w:t>5.1. В течение срока действия настоящего Договора и 5 (пяти) лет со дня его окончания Стороны обязуются не разглашать конфиденциальную информацию, указанную в Договоре и Приложениях к нему какому-либо физическому или юридическому лицу, кроме случаев, предусмотренных законодательством РФ и РБ, и не использовать конфиденциальную информацию во вред друг другу.</w:t>
      </w:r>
    </w:p>
    <w:p>
      <w:pPr>
        <w:pStyle w:val="Normal"/>
        <w:ind w:firstLine="426"/>
        <w:jc w:val="both"/>
        <w:rPr>
          <w:sz w:val="22"/>
          <w:szCs w:val="22"/>
        </w:rPr>
      </w:pPr>
      <w:r>
        <w:rPr>
          <w:sz w:val="22"/>
          <w:szCs w:val="22"/>
        </w:rPr>
        <w:t>5.2. Каждая из Сторон несет ответственность за неумышленное разглашение предоставленной ей конфиденциальной информации, если она не соблюдает столь же высокой степени осторожности, какую бы соблюдала в разумных пределах в отношении своей собственной конфиденциальной информации аналогичной важности и, после обнаружения неумышленного разглашения этой информации, она не пытается прекратить ее разглашение и исправить последствия.</w:t>
      </w:r>
    </w:p>
    <w:p>
      <w:pPr>
        <w:pStyle w:val="Normal"/>
        <w:ind w:firstLine="426"/>
        <w:jc w:val="both"/>
        <w:rPr>
          <w:sz w:val="22"/>
          <w:szCs w:val="22"/>
        </w:rPr>
      </w:pPr>
      <w:r>
        <w:rPr>
          <w:sz w:val="22"/>
          <w:szCs w:val="22"/>
        </w:rPr>
      </w:r>
    </w:p>
    <w:p>
      <w:pPr>
        <w:pStyle w:val="BodyText2"/>
        <w:spacing w:lineRule="auto" w:line="240" w:before="0" w:after="0"/>
        <w:jc w:val="center"/>
        <w:rPr>
          <w:b/>
          <w:sz w:val="22"/>
          <w:szCs w:val="22"/>
        </w:rPr>
      </w:pPr>
      <w:r>
        <w:rPr>
          <w:b/>
          <w:sz w:val="22"/>
          <w:szCs w:val="22"/>
        </w:rPr>
        <w:t>6. Гарантии, взаимные обязанности, ответственность сторон</w:t>
      </w:r>
    </w:p>
    <w:p>
      <w:pPr>
        <w:pStyle w:val="BodyText2"/>
        <w:spacing w:lineRule="auto" w:line="240" w:before="0" w:after="0"/>
        <w:jc w:val="center"/>
        <w:rPr>
          <w:b/>
          <w:sz w:val="22"/>
          <w:szCs w:val="22"/>
        </w:rPr>
      </w:pPr>
      <w:r>
        <w:rPr>
          <w:b/>
          <w:sz w:val="22"/>
          <w:szCs w:val="22"/>
        </w:rPr>
      </w:r>
    </w:p>
    <w:p>
      <w:pPr>
        <w:pStyle w:val="Normal"/>
        <w:ind w:firstLine="426"/>
        <w:jc w:val="both"/>
        <w:rPr>
          <w:sz w:val="22"/>
          <w:szCs w:val="22"/>
        </w:rPr>
      </w:pPr>
      <w:r>
        <w:rPr>
          <w:sz w:val="22"/>
          <w:szCs w:val="22"/>
        </w:rPr>
        <w:t>6.1. ПОЛЬЗОВАТЕЛЬ настоящим гарантирует незамедлительное уведомление АГЕНТА о таком изменении своего финансового положения, при котором становится вероятным неисполнение им денежных обязательств по настоящему Договору, а равно о возбуждении по отношению к нему дела о несостоятельности, либо о назначении временной администрации, либо о других аналогичных процедурах, применимых в соответствии с действующим законодательством РФ и РБ.</w:t>
      </w:r>
    </w:p>
    <w:p>
      <w:pPr>
        <w:pStyle w:val="Normal"/>
        <w:ind w:firstLine="426"/>
        <w:jc w:val="both"/>
        <w:rPr>
          <w:sz w:val="22"/>
          <w:szCs w:val="22"/>
        </w:rPr>
      </w:pPr>
      <w:r>
        <w:rPr>
          <w:sz w:val="22"/>
          <w:szCs w:val="22"/>
        </w:rPr>
        <w:t>6.2. АГЕНТ не несет ответственности за какой-либо ущерб, потери и прочие убытки, которые несет ПОЛЬЗОВАТЕЛЬ или третьи лица из-за их неправильных действий или непринятия мер, которые входят в обязанности ПОЛЬЗОВАТЕЛЯ, его сотрудников, агентов или других представителей. Возмещение такого ущерба является исключительной обязанностью ПОЛЬЗОВАТЕЛЯ.</w:t>
      </w:r>
    </w:p>
    <w:p>
      <w:pPr>
        <w:pStyle w:val="Normal"/>
        <w:ind w:firstLine="426"/>
        <w:jc w:val="both"/>
        <w:rPr>
          <w:sz w:val="22"/>
          <w:szCs w:val="22"/>
        </w:rPr>
      </w:pPr>
      <w:r>
        <w:rPr>
          <w:sz w:val="22"/>
          <w:szCs w:val="22"/>
        </w:rPr>
        <w:t>6.3. АГЕНТ не несет ответственности за содержание информации, передаваемой или получаемой ПОЛЬЗОВАТЕЛЕМ при помощи Услуги АГЕНТА. ПОЛЬЗОВАТЕЛЬ принимает на себя полную ответственность в случае предъявления к нему или/и к ОПЕРАТОРУ СВЯЗИ каких-либо требований, претензий, исков третьих лиц, включая органы государственной власти и управления Российской Федерации, ее субъектов и органов местного самоуправления, а также любых общественных организаций в связи с действительным или предполагаемым нарушением личных и имущественных прав (включая авторские) этих лиц, а также норм нравственности или публичного порядка в результате использования Услуги, включая, но, не ограничиваясь этим, передачу и/или прием ПОЛЬЗОВАТЕЛЕМ информации, содержание которой может вызывать указанные выше действия третьих лиц.</w:t>
      </w:r>
    </w:p>
    <w:p>
      <w:pPr>
        <w:pStyle w:val="BodyText"/>
        <w:spacing w:before="0" w:after="0"/>
        <w:ind w:firstLine="426"/>
        <w:rPr>
          <w:sz w:val="22"/>
          <w:szCs w:val="22"/>
        </w:rPr>
      </w:pPr>
      <w:r>
        <w:rPr>
          <w:sz w:val="22"/>
          <w:szCs w:val="22"/>
        </w:rPr>
        <w:t>6.4. АГЕНТ не несет ответственности в случае сбоев программного обеспечения и оборудования ПОЛЬЗОВАТЕЛЯ, если последнее не находится под прямым управлением АГЕНТА.</w:t>
      </w:r>
    </w:p>
    <w:p>
      <w:pPr>
        <w:pStyle w:val="BodyText2"/>
        <w:spacing w:lineRule="auto" w:line="240" w:before="0" w:after="0"/>
        <w:ind w:firstLine="426"/>
        <w:jc w:val="both"/>
        <w:rPr>
          <w:sz w:val="22"/>
          <w:szCs w:val="22"/>
        </w:rPr>
      </w:pPr>
      <w:r>
        <w:rPr>
          <w:sz w:val="22"/>
          <w:szCs w:val="22"/>
        </w:rPr>
        <w:t>6.5. ПОЛЬЗОВАТЕЛЬ самостоятельно несет ответственность за сообщение Персональных данных третьим лицам.</w:t>
      </w:r>
    </w:p>
    <w:p>
      <w:pPr>
        <w:pStyle w:val="BodyText2"/>
        <w:spacing w:lineRule="auto" w:line="240" w:before="0" w:after="0"/>
        <w:ind w:firstLine="426"/>
        <w:jc w:val="both"/>
        <w:rPr>
          <w:sz w:val="22"/>
          <w:szCs w:val="22"/>
        </w:rPr>
      </w:pPr>
      <w:r>
        <w:rPr>
          <w:sz w:val="22"/>
          <w:szCs w:val="22"/>
        </w:rPr>
        <w:t>6.6. Стороны обязуются использовать только сертифицированное в РФ оборудование для исполнения условий настоящего Договора.</w:t>
      </w:r>
    </w:p>
    <w:p>
      <w:pPr>
        <w:pStyle w:val="BodyText2"/>
        <w:spacing w:lineRule="auto" w:line="240" w:before="0" w:after="0"/>
        <w:ind w:firstLine="426"/>
        <w:jc w:val="both"/>
        <w:rPr>
          <w:sz w:val="22"/>
          <w:szCs w:val="22"/>
        </w:rPr>
      </w:pPr>
      <w:r>
        <w:rPr>
          <w:sz w:val="22"/>
          <w:szCs w:val="22"/>
        </w:rPr>
        <w:t>6.7. В случае предоставления Услуг в арендуемом (нанимаемом) помещении, ПОЛЬЗОВАТЕЛЬ (арендатор, наниматель) обязуется в установленный законодательством срок сообщить ОПЕРАТОРУ СВЯЗИ в письменной форме о досрочном расторжении договора аренды (найма).</w:t>
      </w:r>
    </w:p>
    <w:p>
      <w:pPr>
        <w:pStyle w:val="BodyText2"/>
        <w:spacing w:lineRule="auto" w:line="240" w:before="0" w:after="0"/>
        <w:ind w:firstLine="426"/>
        <w:jc w:val="both"/>
        <w:rPr>
          <w:sz w:val="22"/>
          <w:szCs w:val="22"/>
        </w:rPr>
      </w:pPr>
      <w:r>
        <w:rPr>
          <w:sz w:val="22"/>
          <w:szCs w:val="22"/>
        </w:rPr>
        <w:t>6.8. Стороны несут ответственность в соответствии с законодательством РФ, Правилами оказания услуг связи по передаче данных и Правилами оказания телематических услуг связи.</w:t>
      </w:r>
    </w:p>
    <w:p>
      <w:pPr>
        <w:pStyle w:val="BodyText2"/>
        <w:spacing w:lineRule="auto" w:line="240" w:before="0" w:after="0"/>
        <w:ind w:firstLine="426"/>
        <w:jc w:val="both"/>
        <w:rPr>
          <w:sz w:val="22"/>
          <w:szCs w:val="22"/>
        </w:rPr>
      </w:pPr>
      <w:r>
        <w:rPr>
          <w:sz w:val="22"/>
          <w:szCs w:val="22"/>
        </w:rPr>
      </w:r>
    </w:p>
    <w:p>
      <w:pPr>
        <w:pStyle w:val="BodyText2"/>
        <w:spacing w:lineRule="auto" w:line="240" w:before="0" w:after="0"/>
        <w:jc w:val="center"/>
        <w:rPr>
          <w:b/>
          <w:sz w:val="22"/>
          <w:szCs w:val="22"/>
        </w:rPr>
      </w:pPr>
      <w:r>
        <w:rPr>
          <w:b/>
          <w:sz w:val="22"/>
          <w:szCs w:val="22"/>
        </w:rPr>
        <w:t>7. Основания освобождения от ответственности (форс-мажор)</w:t>
      </w:r>
    </w:p>
    <w:p>
      <w:pPr>
        <w:pStyle w:val="BodyText2"/>
        <w:spacing w:lineRule="auto" w:line="240" w:before="0" w:after="0"/>
        <w:jc w:val="center"/>
        <w:rPr>
          <w:b/>
          <w:sz w:val="22"/>
          <w:szCs w:val="22"/>
        </w:rPr>
      </w:pPr>
      <w:r>
        <w:rPr>
          <w:b/>
          <w:sz w:val="22"/>
          <w:szCs w:val="22"/>
        </w:rPr>
      </w:r>
    </w:p>
    <w:p>
      <w:pPr>
        <w:pStyle w:val="Normal"/>
        <w:ind w:firstLine="426"/>
        <w:jc w:val="both"/>
        <w:rPr>
          <w:sz w:val="22"/>
          <w:szCs w:val="22"/>
        </w:rPr>
      </w:pPr>
      <w:r>
        <w:rPr>
          <w:sz w:val="22"/>
          <w:szCs w:val="22"/>
        </w:rPr>
        <w:t>7.1. Стороны не несут ответственности за задержки в исполнении или неисполнении своих обязанностей по настоящему Договору, если указанные задержки или неисполнение произошли вследствие обстоятельств непреодолимой силы; в число таких обстоятельств входят: война (включая гражданскую); мятежи, саботаж, забастовки, пожары, взрывы, наводнения или иные стихийные бедствия. Любое из перечисленных выше обстоятельств рассматривается как обстоятельство непреодолимой силы (форс-мажор). Немедленно после получения информации о наступлении обстоятельств, задерживающих исполнение или иным образом препятствующих исполнению настоящего Договора, Стороны письменно уведомляют об этом друг друга.</w:t>
      </w:r>
    </w:p>
    <w:p>
      <w:pPr>
        <w:pStyle w:val="Normal"/>
        <w:ind w:firstLine="426"/>
        <w:jc w:val="both"/>
        <w:rPr>
          <w:sz w:val="22"/>
          <w:szCs w:val="22"/>
        </w:rPr>
      </w:pPr>
      <w:r>
        <w:rPr>
          <w:sz w:val="22"/>
          <w:szCs w:val="22"/>
        </w:rPr>
        <w:t>7.2. Равным образом, обстоятельствами, освобождающими Стороны от ответственности за задержки в исполнении или неисполнении их обязанностей по настоящему Договору, является объявление эмбарго, иные действия или бездействие органов власти и управления России или других стран непосредственно влияющие на исполнение Сторонами их обязанностей.</w:t>
      </w:r>
    </w:p>
    <w:p>
      <w:pPr>
        <w:pStyle w:val="Normal"/>
        <w:ind w:firstLine="426"/>
        <w:jc w:val="both"/>
        <w:rPr>
          <w:sz w:val="22"/>
          <w:szCs w:val="22"/>
        </w:rPr>
      </w:pPr>
      <w:r>
        <w:rPr>
          <w:sz w:val="22"/>
          <w:szCs w:val="22"/>
        </w:rPr>
        <w:t>7.3. Требование любой Стороны о возмещении ущерба, вызванного обстоятельствами, указанными в п.п. 7.1 и 7.2, является ничтожным.</w:t>
      </w:r>
    </w:p>
    <w:p>
      <w:pPr>
        <w:pStyle w:val="Normal"/>
        <w:ind w:firstLine="426"/>
        <w:jc w:val="both"/>
        <w:rPr/>
      </w:pPr>
      <w:r>
        <w:rPr>
          <w:sz w:val="22"/>
          <w:szCs w:val="22"/>
        </w:rPr>
        <w:t>7.4. Если обстоятельства, указанные в п.п. 7.1 и 7.2, продолжают действовать по истечении 90 (девяноста) дней с момента их возникновения и это вызывает существенное нарушение прав и интересов любой Стороны, эта Сторона вправе уведомить в письменной форме другую Сторону о намерении прекратить Договор. Договор считается прекращенным по истечении 30 (тридцати) дней после направления указанного уведомления, если оно не будет своевременно отменено.</w:t>
      </w:r>
    </w:p>
    <w:p>
      <w:pPr>
        <w:pStyle w:val="Normal"/>
        <w:ind w:firstLine="426"/>
        <w:jc w:val="both"/>
        <w:rPr>
          <w:sz w:val="22"/>
          <w:szCs w:val="22"/>
        </w:rPr>
      </w:pPr>
      <w:r>
        <w:rPr>
          <w:sz w:val="22"/>
          <w:szCs w:val="22"/>
        </w:rPr>
      </w:r>
    </w:p>
    <w:p>
      <w:pPr>
        <w:pStyle w:val="Normal"/>
        <w:jc w:val="center"/>
        <w:rPr>
          <w:b/>
          <w:bCs/>
          <w:sz w:val="22"/>
          <w:szCs w:val="22"/>
        </w:rPr>
      </w:pPr>
      <w:r>
        <w:rPr>
          <w:b/>
          <w:bCs/>
          <w:sz w:val="22"/>
          <w:szCs w:val="22"/>
        </w:rPr>
        <w:t>8. Разрешение споров</w:t>
      </w:r>
    </w:p>
    <w:p>
      <w:pPr>
        <w:pStyle w:val="Normal"/>
        <w:jc w:val="center"/>
        <w:rPr>
          <w:b/>
          <w:bCs/>
          <w:sz w:val="22"/>
          <w:szCs w:val="22"/>
        </w:rPr>
      </w:pPr>
      <w:r>
        <w:rPr>
          <w:b/>
          <w:bCs/>
          <w:sz w:val="22"/>
          <w:szCs w:val="22"/>
        </w:rPr>
      </w:r>
    </w:p>
    <w:p>
      <w:pPr>
        <w:pStyle w:val="Normal"/>
        <w:ind w:firstLine="426"/>
        <w:jc w:val="both"/>
        <w:rPr>
          <w:sz w:val="22"/>
          <w:szCs w:val="22"/>
        </w:rPr>
      </w:pPr>
      <w:r>
        <w:rPr>
          <w:sz w:val="22"/>
          <w:szCs w:val="22"/>
        </w:rPr>
        <w:t>8.1. Настоящий Договор толкуется и исполняется, а обязательства Сторон регулируются в соответствии с действующим законодательством Российской Федерации и Республики Башкортостан.</w:t>
      </w:r>
    </w:p>
    <w:p>
      <w:pPr>
        <w:pStyle w:val="Normal"/>
        <w:ind w:firstLine="426"/>
        <w:jc w:val="both"/>
        <w:rPr>
          <w:sz w:val="22"/>
          <w:szCs w:val="22"/>
        </w:rPr>
      </w:pPr>
      <w:r>
        <w:rPr>
          <w:sz w:val="22"/>
          <w:szCs w:val="22"/>
        </w:rPr>
        <w:t>8.2. Стороны принимают все необходимые меры к тому, чтобы урегулировать любые спорные вопросы, разногласия или претензии по настоящему Договору путем переговоров.</w:t>
      </w:r>
    </w:p>
    <w:p>
      <w:pPr>
        <w:pStyle w:val="Normal"/>
        <w:ind w:firstLine="426"/>
        <w:jc w:val="both"/>
        <w:rPr>
          <w:sz w:val="22"/>
          <w:szCs w:val="22"/>
        </w:rPr>
      </w:pPr>
      <w:r>
        <w:rPr>
          <w:sz w:val="22"/>
          <w:szCs w:val="22"/>
        </w:rPr>
        <w:t>8.3. Все споры, разногласия и претензии, возникающие по настоящему Договору или в связи с Договором, нарушением, расторжением или недействительностью такового, подлежат разрешению в суде в порядке, предусмотренном действующим законодательством РФ и РБ.</w:t>
      </w:r>
    </w:p>
    <w:p>
      <w:pPr>
        <w:pStyle w:val="Normal"/>
        <w:ind w:firstLine="426"/>
        <w:jc w:val="both"/>
        <w:rPr>
          <w:sz w:val="22"/>
          <w:szCs w:val="22"/>
        </w:rPr>
      </w:pPr>
      <w:r>
        <w:rPr>
          <w:sz w:val="22"/>
          <w:szCs w:val="22"/>
        </w:rPr>
      </w:r>
    </w:p>
    <w:p>
      <w:pPr>
        <w:pStyle w:val="Iniiaiieoaeno3"/>
        <w:jc w:val="center"/>
        <w:rPr>
          <w:sz w:val="22"/>
          <w:szCs w:val="22"/>
        </w:rPr>
      </w:pPr>
      <w:r>
        <w:rPr>
          <w:sz w:val="22"/>
          <w:szCs w:val="22"/>
        </w:rPr>
        <w:t>9. Срок действия и расторжения договора</w:t>
      </w:r>
    </w:p>
    <w:p>
      <w:pPr>
        <w:pStyle w:val="Iniiaiieoaeno3"/>
        <w:jc w:val="center"/>
        <w:rPr>
          <w:sz w:val="22"/>
          <w:szCs w:val="22"/>
        </w:rPr>
      </w:pPr>
      <w:r>
        <w:rPr>
          <w:sz w:val="22"/>
          <w:szCs w:val="22"/>
        </w:rPr>
      </w:r>
    </w:p>
    <w:p>
      <w:pPr>
        <w:pStyle w:val="Normal"/>
        <w:ind w:firstLine="426"/>
        <w:jc w:val="both"/>
        <w:rPr>
          <w:sz w:val="22"/>
          <w:szCs w:val="22"/>
        </w:rPr>
      </w:pPr>
      <w:r>
        <w:rPr>
          <w:sz w:val="22"/>
          <w:szCs w:val="22"/>
        </w:rPr>
        <w:t>9.1. Договор вступает в силу с даты его подписания обеими Сторонами.</w:t>
      </w:r>
    </w:p>
    <w:p>
      <w:pPr>
        <w:pStyle w:val="Normal"/>
        <w:ind w:firstLine="426"/>
        <w:jc w:val="both"/>
        <w:rPr/>
      </w:pPr>
      <w:r>
        <w:rPr>
          <w:sz w:val="22"/>
          <w:szCs w:val="22"/>
        </w:rPr>
        <w:t>9.</w:t>
      </w:r>
      <w:r>
        <w:rPr>
          <w:sz w:val="22"/>
          <w:szCs w:val="22"/>
          <w:shd w:fill="auto" w:val="clear"/>
        </w:rPr>
        <w:t>2. Срок действия Договора: с 01.01.2026 по 31.12.2026г.</w:t>
      </w:r>
    </w:p>
    <w:p>
      <w:pPr>
        <w:pStyle w:val="Normal"/>
        <w:ind w:firstLine="426"/>
        <w:jc w:val="both"/>
        <w:rPr>
          <w:sz w:val="22"/>
          <w:szCs w:val="22"/>
        </w:rPr>
      </w:pPr>
      <w:r>
        <w:rPr>
          <w:sz w:val="22"/>
          <w:szCs w:val="22"/>
        </w:rPr>
        <w:t>9.3. Досрочное расторжение Договора допускается в случаях, предусмотренных действующим законодательством, по соглашению Сторон, либо в одностороннем порядке, с предварительным письменным уведомлением другой Стороны не менее чем за 30 (тридцать) календарных дней.</w:t>
      </w:r>
    </w:p>
    <w:p>
      <w:pPr>
        <w:pStyle w:val="Normal"/>
        <w:ind w:firstLine="426"/>
        <w:jc w:val="both"/>
        <w:rPr>
          <w:sz w:val="22"/>
          <w:szCs w:val="22"/>
        </w:rPr>
      </w:pPr>
      <w:r>
        <w:rPr>
          <w:sz w:val="22"/>
          <w:szCs w:val="22"/>
        </w:rPr>
        <w:t>9.4. Стороны обязаны произвести окончательные расчеты по Договору не позднее сроков, предусмотренных п. 3 настоящего Договора.</w:t>
      </w:r>
    </w:p>
    <w:p>
      <w:pPr>
        <w:pStyle w:val="Normal"/>
        <w:ind w:firstLine="426"/>
        <w:jc w:val="both"/>
        <w:rPr>
          <w:sz w:val="22"/>
          <w:szCs w:val="22"/>
        </w:rPr>
      </w:pPr>
      <w:r>
        <w:rPr>
          <w:sz w:val="22"/>
          <w:szCs w:val="22"/>
        </w:rPr>
      </w:r>
    </w:p>
    <w:p>
      <w:pPr>
        <w:pStyle w:val="Normal"/>
        <w:jc w:val="center"/>
        <w:rPr>
          <w:b/>
          <w:sz w:val="22"/>
          <w:szCs w:val="22"/>
        </w:rPr>
      </w:pPr>
      <w:r>
        <w:rPr>
          <w:b/>
          <w:sz w:val="22"/>
          <w:szCs w:val="22"/>
        </w:rPr>
        <w:t>10. Заключительные положения</w:t>
      </w:r>
    </w:p>
    <w:p>
      <w:pPr>
        <w:pStyle w:val="Normal"/>
        <w:jc w:val="center"/>
        <w:rPr>
          <w:b/>
          <w:sz w:val="22"/>
          <w:szCs w:val="22"/>
        </w:rPr>
      </w:pPr>
      <w:r>
        <w:rPr>
          <w:b/>
          <w:sz w:val="22"/>
          <w:szCs w:val="22"/>
        </w:rPr>
      </w:r>
    </w:p>
    <w:p>
      <w:pPr>
        <w:pStyle w:val="BodyText"/>
        <w:tabs>
          <w:tab w:val="clear" w:pos="720"/>
        </w:tabs>
        <w:spacing w:before="0" w:after="0"/>
        <w:ind w:firstLine="567"/>
        <w:rPr>
          <w:sz w:val="22"/>
          <w:szCs w:val="22"/>
        </w:rPr>
      </w:pPr>
      <w:r>
        <w:rPr>
          <w:sz w:val="22"/>
          <w:szCs w:val="22"/>
        </w:rPr>
        <w:t xml:space="preserve">10.1. Настоящий Договор составлен в двух экземплярах, имеющих одинаковую юридическую силу. Один экземпляр хранится у ПОЛЬЗОВАТЕЛЯ, другой у АГЕНТА.  </w:t>
      </w:r>
    </w:p>
    <w:p>
      <w:pPr>
        <w:pStyle w:val="BodyText"/>
        <w:tabs>
          <w:tab w:val="clear" w:pos="720"/>
        </w:tabs>
        <w:spacing w:before="0" w:after="0"/>
        <w:ind w:firstLine="567"/>
        <w:rPr>
          <w:sz w:val="22"/>
          <w:szCs w:val="22"/>
        </w:rPr>
      </w:pPr>
      <w:r>
        <w:rPr>
          <w:sz w:val="22"/>
          <w:szCs w:val="22"/>
        </w:rPr>
        <w:t>10.2. Неотъемлемыми частями Договора являются:</w:t>
      </w:r>
    </w:p>
    <w:p>
      <w:pPr>
        <w:pStyle w:val="BodyText"/>
        <w:spacing w:before="0" w:after="0"/>
        <w:ind w:firstLine="567"/>
        <w:rPr>
          <w:sz w:val="22"/>
          <w:szCs w:val="22"/>
        </w:rPr>
      </w:pPr>
      <w:r>
        <w:rPr>
          <w:sz w:val="22"/>
          <w:szCs w:val="22"/>
        </w:rPr>
        <w:t>Приложение №1 – Описание и порядок предоставление Услуг и Дополнительных услуг;</w:t>
      </w:r>
    </w:p>
    <w:p>
      <w:pPr>
        <w:pStyle w:val="BodyText"/>
        <w:spacing w:before="0" w:after="0"/>
        <w:ind w:firstLine="567"/>
        <w:rPr>
          <w:sz w:val="22"/>
          <w:szCs w:val="22"/>
        </w:rPr>
      </w:pPr>
      <w:r>
        <w:rPr>
          <w:sz w:val="22"/>
          <w:szCs w:val="22"/>
        </w:rPr>
        <w:t>Приложение №2 – Заказ на предоставление Услуг и Дополнительных услуг;</w:t>
      </w:r>
    </w:p>
    <w:p>
      <w:pPr>
        <w:pStyle w:val="BodyText"/>
        <w:spacing w:before="0" w:after="0"/>
        <w:ind w:firstLine="567"/>
        <w:rPr>
          <w:sz w:val="22"/>
          <w:szCs w:val="22"/>
        </w:rPr>
      </w:pPr>
      <w:r>
        <w:rPr>
          <w:sz w:val="22"/>
          <w:szCs w:val="22"/>
        </w:rPr>
        <w:t>Приложение №3 – Акт приема-передачи выполненных работ;</w:t>
      </w:r>
    </w:p>
    <w:p>
      <w:pPr>
        <w:pStyle w:val="Normal"/>
        <w:ind w:firstLine="567"/>
        <w:jc w:val="both"/>
        <w:rPr>
          <w:sz w:val="22"/>
          <w:szCs w:val="22"/>
        </w:rPr>
      </w:pPr>
      <w:r>
        <w:rPr>
          <w:sz w:val="22"/>
          <w:szCs w:val="22"/>
        </w:rPr>
        <w:t xml:space="preserve">10.3. Все изменения, приложения к настоящему Договору, оформленные письменно и подписанные уполномоченными представителями обеих Сторон, являются неотъемлемой частью Договора. </w:t>
      </w:r>
    </w:p>
    <w:p>
      <w:pPr>
        <w:pStyle w:val="Normal"/>
        <w:ind w:firstLine="567"/>
        <w:jc w:val="both"/>
        <w:rPr>
          <w:sz w:val="22"/>
          <w:szCs w:val="22"/>
        </w:rPr>
      </w:pPr>
      <w:r>
        <w:rPr>
          <w:sz w:val="22"/>
          <w:szCs w:val="22"/>
        </w:rPr>
        <w:t>10.4. Стороны не имеют права передавать свои права и обязанности по настоящему Договору третьим лицам.</w:t>
      </w:r>
    </w:p>
    <w:p>
      <w:pPr>
        <w:pStyle w:val="Normal"/>
        <w:ind w:firstLine="567"/>
        <w:jc w:val="both"/>
        <w:rPr>
          <w:sz w:val="20"/>
          <w:szCs w:val="20"/>
        </w:rPr>
      </w:pPr>
      <w:r>
        <w:rPr>
          <w:sz w:val="22"/>
          <w:szCs w:val="22"/>
        </w:rPr>
        <w:t>10.5. Стороны обязуются заранее сообщать об изменении своих юридических адресов, номеров телефонов, факсов, банковских реквизитов и иных данных, указанных в настоящем Договоре и приложениях к нему.</w:t>
      </w:r>
    </w:p>
    <w:p>
      <w:pPr>
        <w:pStyle w:val="Normal"/>
        <w:ind w:firstLine="567"/>
        <w:jc w:val="both"/>
        <w:rPr>
          <w:sz w:val="20"/>
          <w:szCs w:val="20"/>
        </w:rPr>
      </w:pPr>
      <w:r>
        <w:rPr>
          <w:sz w:val="20"/>
          <w:szCs w:val="20"/>
        </w:rPr>
      </w:r>
    </w:p>
    <w:tbl>
      <w:tblPr>
        <w:tblW w:w="10125"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919"/>
        <w:gridCol w:w="236"/>
        <w:gridCol w:w="4970"/>
      </w:tblGrid>
      <w:tr>
        <w:trPr>
          <w:trHeight w:val="416" w:hRule="atLeast"/>
        </w:trPr>
        <w:tc>
          <w:tcPr>
            <w:tcW w:w="4919" w:type="dxa"/>
            <w:tcBorders/>
            <w:shd w:color="auto" w:fill="auto" w:val="clear"/>
            <w:vAlign w:val="center"/>
          </w:tcPr>
          <w:p>
            <w:pPr>
              <w:pStyle w:val="Iauiue2"/>
              <w:jc w:val="center"/>
              <w:rPr>
                <w:b/>
              </w:rPr>
            </w:pPr>
            <w:r>
              <w:rPr>
                <w:b/>
              </w:rPr>
              <w:t>АГЕНТ</w:t>
            </w:r>
          </w:p>
        </w:tc>
        <w:tc>
          <w:tcPr>
            <w:tcW w:w="236" w:type="dxa"/>
            <w:tcBorders/>
            <w:shd w:color="auto" w:fill="auto" w:val="clear"/>
            <w:vAlign w:val="center"/>
          </w:tcPr>
          <w:p>
            <w:pPr>
              <w:pStyle w:val="Iauiue2"/>
              <w:jc w:val="center"/>
              <w:rPr>
                <w:b/>
              </w:rPr>
            </w:pPr>
            <w:r>
              <w:rPr>
                <w:b/>
              </w:rPr>
            </w:r>
          </w:p>
        </w:tc>
        <w:tc>
          <w:tcPr>
            <w:tcW w:w="4970" w:type="dxa"/>
            <w:tcBorders/>
            <w:shd w:color="auto" w:fill="auto" w:val="clear"/>
            <w:vAlign w:val="center"/>
          </w:tcPr>
          <w:p>
            <w:pPr>
              <w:pStyle w:val="Iauiue2"/>
              <w:jc w:val="center"/>
              <w:rPr>
                <w:b/>
              </w:rPr>
            </w:pPr>
            <w:r>
              <w:rPr>
                <w:b/>
              </w:rPr>
              <w:t xml:space="preserve">          </w:t>
            </w:r>
            <w:r>
              <w:rPr>
                <w:b/>
              </w:rPr>
              <w:t>ПОЛЬЗОВАТЕЛЬ</w:t>
            </w:r>
          </w:p>
        </w:tc>
      </w:tr>
      <w:tr>
        <w:trPr>
          <w:trHeight w:val="2160" w:hRule="atLeast"/>
        </w:trPr>
        <w:tc>
          <w:tcPr>
            <w:tcW w:w="4919" w:type="dxa"/>
            <w:tcBorders/>
            <w:shd w:color="auto" w:fill="auto" w:val="clear"/>
          </w:tcPr>
          <w:p>
            <w:pPr>
              <w:pStyle w:val="Normal"/>
              <w:jc w:val="both"/>
              <w:rPr>
                <w:sz w:val="22"/>
                <w:szCs w:val="22"/>
              </w:rPr>
            </w:pPr>
            <w:r>
              <w:rPr>
                <w:b/>
                <w:sz w:val="22"/>
                <w:szCs w:val="22"/>
              </w:rPr>
              <w:t>ПАО "Башинформсвязь"</w:t>
            </w:r>
          </w:p>
          <w:p>
            <w:pPr>
              <w:pStyle w:val="Normal"/>
              <w:rPr>
                <w:sz w:val="22"/>
                <w:szCs w:val="22"/>
              </w:rPr>
            </w:pPr>
            <w:r>
              <w:rPr>
                <w:sz w:val="22"/>
                <w:szCs w:val="22"/>
              </w:rPr>
              <w:t>ПАО «Башинформсвязь»</w:t>
            </w:r>
          </w:p>
          <w:p>
            <w:pPr>
              <w:pStyle w:val="Normal"/>
              <w:rPr>
                <w:sz w:val="22"/>
                <w:szCs w:val="22"/>
              </w:rPr>
            </w:pPr>
            <w:r>
              <w:rPr>
                <w:sz w:val="22"/>
                <w:szCs w:val="22"/>
              </w:rPr>
              <w:t>Юридический и почтовый адрес: 450077,</w:t>
            </w:r>
          </w:p>
          <w:p>
            <w:pPr>
              <w:pStyle w:val="Normal"/>
              <w:rPr>
                <w:sz w:val="22"/>
                <w:szCs w:val="22"/>
              </w:rPr>
            </w:pPr>
            <w:r>
              <w:rPr>
                <w:sz w:val="22"/>
                <w:szCs w:val="22"/>
              </w:rPr>
              <w:t>Республика Башкортостан, г. Уфа,</w:t>
            </w:r>
          </w:p>
          <w:p>
            <w:pPr>
              <w:pStyle w:val="Normal"/>
              <w:rPr>
                <w:sz w:val="22"/>
                <w:szCs w:val="22"/>
              </w:rPr>
            </w:pPr>
            <w:r>
              <w:rPr>
                <w:sz w:val="22"/>
                <w:szCs w:val="22"/>
              </w:rPr>
              <w:t>ул. Ленина, 30.</w:t>
            </w:r>
          </w:p>
          <w:p>
            <w:pPr>
              <w:pStyle w:val="Normal"/>
              <w:rPr>
                <w:sz w:val="22"/>
                <w:szCs w:val="22"/>
              </w:rPr>
            </w:pPr>
            <w:r>
              <w:rPr>
                <w:sz w:val="22"/>
                <w:szCs w:val="22"/>
              </w:rPr>
              <w:t>ИНН 0274018377 КПП</w:t>
            </w:r>
            <w:r>
              <w:rPr>
                <w:b/>
                <w:sz w:val="22"/>
                <w:szCs w:val="22"/>
              </w:rPr>
              <w:t xml:space="preserve"> 027401001</w:t>
            </w:r>
          </w:p>
          <w:p>
            <w:pPr>
              <w:pStyle w:val="Normal"/>
              <w:rPr>
                <w:sz w:val="22"/>
                <w:szCs w:val="22"/>
              </w:rPr>
            </w:pPr>
            <w:r>
              <w:rPr>
                <w:sz w:val="22"/>
                <w:szCs w:val="22"/>
              </w:rPr>
              <w:t>ОГРН 1020202561686</w:t>
            </w:r>
          </w:p>
          <w:p>
            <w:pPr>
              <w:pStyle w:val="Normal"/>
              <w:rPr>
                <w:sz w:val="22"/>
                <w:szCs w:val="22"/>
              </w:rPr>
            </w:pPr>
            <w:r>
              <w:rPr>
                <w:sz w:val="22"/>
                <w:szCs w:val="22"/>
              </w:rPr>
              <w:t>Наименование Банка: АО АБ «Россия»</w:t>
            </w:r>
          </w:p>
          <w:p>
            <w:pPr>
              <w:pStyle w:val="Normal"/>
              <w:rPr>
                <w:sz w:val="22"/>
                <w:szCs w:val="22"/>
              </w:rPr>
            </w:pPr>
            <w:r>
              <w:rPr>
                <w:sz w:val="22"/>
                <w:szCs w:val="22"/>
              </w:rPr>
              <w:t>г. Санкт- Петербург БИК 044030861</w:t>
            </w:r>
          </w:p>
          <w:p>
            <w:pPr>
              <w:pStyle w:val="Normal"/>
              <w:rPr>
                <w:sz w:val="22"/>
                <w:szCs w:val="22"/>
              </w:rPr>
            </w:pPr>
            <w:r>
              <w:rPr>
                <w:sz w:val="22"/>
                <w:szCs w:val="22"/>
              </w:rPr>
              <w:t>р/с 40702810000000015674</w:t>
            </w:r>
          </w:p>
          <w:p>
            <w:pPr>
              <w:pStyle w:val="Normal"/>
              <w:rPr>
                <w:sz w:val="22"/>
                <w:szCs w:val="22"/>
              </w:rPr>
            </w:pPr>
            <w:r>
              <w:rPr>
                <w:sz w:val="22"/>
                <w:szCs w:val="22"/>
              </w:rPr>
              <w:t>к/с 30101810800000000861 в Северо-Западном Главном Управлении Банка России</w:t>
            </w:r>
          </w:p>
          <w:p>
            <w:pPr>
              <w:pStyle w:val="Normal"/>
              <w:rPr>
                <w:sz w:val="22"/>
                <w:szCs w:val="22"/>
              </w:rPr>
            </w:pPr>
            <w:r>
              <w:rPr>
                <w:sz w:val="22"/>
                <w:szCs w:val="22"/>
              </w:rPr>
            </w:r>
          </w:p>
          <w:p>
            <w:pPr>
              <w:pStyle w:val="Normal"/>
              <w:rPr>
                <w:sz w:val="22"/>
                <w:szCs w:val="22"/>
              </w:rPr>
            </w:pPr>
            <w:r>
              <w:rPr>
                <w:sz w:val="22"/>
                <w:szCs w:val="22"/>
              </w:rPr>
              <w:t>Тел. (347) 221-57-11</w:t>
            </w:r>
          </w:p>
          <w:p>
            <w:pPr>
              <w:pStyle w:val="Normal"/>
              <w:rPr>
                <w:sz w:val="22"/>
                <w:szCs w:val="22"/>
              </w:rPr>
            </w:pPr>
            <w:r>
              <w:rPr>
                <w:sz w:val="22"/>
                <w:szCs w:val="22"/>
              </w:rPr>
              <w:t>Контактное лицо:  Д.В.Капишев</w:t>
            </w:r>
          </w:p>
          <w:p>
            <w:pPr>
              <w:pStyle w:val="Iauiue2"/>
              <w:jc w:val="both"/>
              <w:rPr>
                <w:sz w:val="22"/>
                <w:szCs w:val="22"/>
              </w:rPr>
            </w:pPr>
            <w:r>
              <w:rPr>
                <w:sz w:val="22"/>
                <w:szCs w:val="22"/>
              </w:rPr>
            </w:r>
          </w:p>
          <w:p>
            <w:pPr>
              <w:pStyle w:val="Normal"/>
              <w:rPr>
                <w:sz w:val="22"/>
                <w:szCs w:val="22"/>
              </w:rPr>
            </w:pPr>
            <w:r>
              <w:rPr>
                <w:sz w:val="22"/>
                <w:szCs w:val="22"/>
              </w:rPr>
            </w:r>
          </w:p>
          <w:p>
            <w:pPr>
              <w:pStyle w:val="Normal"/>
              <w:rPr>
                <w:sz w:val="22"/>
                <w:szCs w:val="22"/>
              </w:rPr>
            </w:pPr>
            <w:r>
              <w:rPr>
                <w:b/>
                <w:sz w:val="22"/>
                <w:szCs w:val="22"/>
              </w:rPr>
              <w:t>ПАО "Ростелеком"</w:t>
            </w:r>
          </w:p>
          <w:p>
            <w:pPr>
              <w:pStyle w:val="Normal"/>
              <w:rPr>
                <w:sz w:val="22"/>
                <w:szCs w:val="22"/>
              </w:rPr>
            </w:pPr>
            <w:r>
              <w:rPr>
                <w:sz w:val="22"/>
                <w:szCs w:val="22"/>
              </w:rPr>
              <w:t>Юридический адрес: 191002 г. Санкт-Петербург,</w:t>
            </w:r>
          </w:p>
          <w:p>
            <w:pPr>
              <w:pStyle w:val="Normal"/>
              <w:rPr>
                <w:sz w:val="22"/>
                <w:szCs w:val="22"/>
              </w:rPr>
            </w:pPr>
            <w:r>
              <w:rPr>
                <w:sz w:val="22"/>
                <w:szCs w:val="22"/>
              </w:rPr>
              <w:t>ул. Достоевского, 15</w:t>
            </w:r>
          </w:p>
          <w:p>
            <w:pPr>
              <w:pStyle w:val="Normal"/>
              <w:rPr>
                <w:sz w:val="22"/>
                <w:szCs w:val="22"/>
              </w:rPr>
            </w:pPr>
            <w:r>
              <w:rPr>
                <w:sz w:val="22"/>
                <w:szCs w:val="22"/>
              </w:rPr>
              <w:t>Субрасчетный счет: 4070 2810 8541 1010 0944</w:t>
            </w:r>
          </w:p>
          <w:p>
            <w:pPr>
              <w:pStyle w:val="Normal"/>
              <w:rPr>
                <w:sz w:val="22"/>
                <w:szCs w:val="22"/>
              </w:rPr>
            </w:pPr>
            <w:r>
              <w:rPr>
                <w:sz w:val="22"/>
                <w:szCs w:val="22"/>
              </w:rPr>
              <w:t>ИНН: 7707049388</w:t>
            </w:r>
          </w:p>
          <w:p>
            <w:pPr>
              <w:pStyle w:val="Normal"/>
              <w:rPr>
                <w:sz w:val="22"/>
                <w:szCs w:val="22"/>
              </w:rPr>
            </w:pPr>
            <w:r>
              <w:rPr>
                <w:sz w:val="22"/>
                <w:szCs w:val="22"/>
              </w:rPr>
              <w:t>КПП: 526043001</w:t>
            </w:r>
          </w:p>
          <w:p>
            <w:pPr>
              <w:pStyle w:val="Normal"/>
              <w:rPr>
                <w:sz w:val="22"/>
                <w:szCs w:val="22"/>
              </w:rPr>
            </w:pPr>
            <w:r>
              <w:rPr>
                <w:sz w:val="22"/>
                <w:szCs w:val="22"/>
              </w:rPr>
            </w:r>
          </w:p>
          <w:p>
            <w:pPr>
              <w:pStyle w:val="Iauiue2"/>
              <w:jc w:val="both"/>
              <w:rPr>
                <w:sz w:val="22"/>
                <w:szCs w:val="22"/>
              </w:rPr>
            </w:pPr>
            <w:r>
              <w:rPr>
                <w:b/>
                <w:sz w:val="22"/>
                <w:szCs w:val="22"/>
              </w:rPr>
              <w:t>Менеджер по работе с государственными заказчиками ПАО «Башинформсвязь»</w:t>
            </w:r>
          </w:p>
          <w:p>
            <w:pPr>
              <w:pStyle w:val="Iauiue2"/>
              <w:jc w:val="both"/>
              <w:rPr>
                <w:sz w:val="22"/>
                <w:szCs w:val="22"/>
              </w:rPr>
            </w:pPr>
            <w:r>
              <w:rPr>
                <w:sz w:val="22"/>
                <w:szCs w:val="22"/>
              </w:rPr>
            </w:r>
          </w:p>
          <w:p>
            <w:pPr>
              <w:pStyle w:val="Iauiue2"/>
              <w:jc w:val="both"/>
              <w:rPr>
                <w:b/>
                <w:sz w:val="22"/>
                <w:szCs w:val="22"/>
              </w:rPr>
            </w:pPr>
            <w:r>
              <w:rPr>
                <w:b/>
                <w:sz w:val="22"/>
                <w:szCs w:val="22"/>
              </w:rPr>
            </w:r>
          </w:p>
          <w:p>
            <w:pPr>
              <w:pStyle w:val="Iauiue2"/>
              <w:jc w:val="both"/>
              <w:rPr>
                <w:sz w:val="22"/>
                <w:szCs w:val="22"/>
              </w:rPr>
            </w:pPr>
            <w:r>
              <w:rPr>
                <w:b/>
                <w:sz w:val="22"/>
                <w:szCs w:val="22"/>
              </w:rPr>
              <w:t>___________________ /</w:t>
            </w:r>
            <w:r>
              <w:rPr>
                <w:sz w:val="22"/>
                <w:szCs w:val="22"/>
              </w:rPr>
              <w:t xml:space="preserve"> Д.В.Капишев /</w:t>
            </w:r>
          </w:p>
          <w:p>
            <w:pPr>
              <w:pStyle w:val="Iauiue2"/>
              <w:jc w:val="both"/>
              <w:rPr>
                <w:sz w:val="22"/>
                <w:szCs w:val="22"/>
              </w:rPr>
            </w:pPr>
            <w:r>
              <w:rPr>
                <w:sz w:val="22"/>
                <w:szCs w:val="22"/>
              </w:rPr>
              <w:t xml:space="preserve">            </w:t>
            </w:r>
            <w:r>
              <w:rPr>
                <w:sz w:val="22"/>
                <w:szCs w:val="22"/>
              </w:rPr>
              <w:t>подпись</w:t>
              <w:tab/>
              <w:t xml:space="preserve">              расшифровка</w:t>
            </w:r>
          </w:p>
          <w:p>
            <w:pPr>
              <w:pStyle w:val="Iauiue2"/>
              <w:jc w:val="both"/>
              <w:rPr>
                <w:sz w:val="22"/>
                <w:szCs w:val="22"/>
              </w:rPr>
            </w:pPr>
            <w:r>
              <w:rPr>
                <w:b/>
                <w:sz w:val="22"/>
                <w:szCs w:val="22"/>
              </w:rPr>
              <w:t xml:space="preserve"> </w:t>
            </w:r>
            <w:r>
              <w:rPr>
                <w:sz w:val="22"/>
                <w:szCs w:val="22"/>
              </w:rPr>
              <w:t xml:space="preserve">           </w:t>
            </w:r>
            <w:r>
              <w:rPr>
                <w:sz w:val="22"/>
                <w:szCs w:val="22"/>
              </w:rPr>
              <w:t>М.П.</w:t>
            </w:r>
          </w:p>
        </w:tc>
        <w:tc>
          <w:tcPr>
            <w:tcW w:w="236" w:type="dxa"/>
            <w:tcBorders/>
            <w:shd w:color="auto" w:fill="auto" w:val="clear"/>
          </w:tcPr>
          <w:p>
            <w:pPr>
              <w:pStyle w:val="Iauiue2"/>
              <w:jc w:val="both"/>
              <w:rPr>
                <w:b/>
                <w:sz w:val="22"/>
                <w:szCs w:val="22"/>
              </w:rPr>
            </w:pPr>
            <w:r>
              <w:rPr>
                <w:b/>
                <w:sz w:val="22"/>
                <w:szCs w:val="22"/>
              </w:rPr>
            </w:r>
          </w:p>
        </w:tc>
        <w:tc>
          <w:tcPr>
            <w:tcW w:w="4970" w:type="dxa"/>
            <w:tcBorders/>
            <w:shd w:color="auto" w:fill="auto" w:val="clear"/>
          </w:tcPr>
          <w:p>
            <w:pPr>
              <w:pStyle w:val="Normal"/>
              <w:rPr>
                <w:sz w:val="22"/>
                <w:szCs w:val="22"/>
              </w:rPr>
            </w:pPr>
            <w:r>
              <w:rPr>
                <w:b/>
                <w:color w:val="000000"/>
                <w:sz w:val="22"/>
                <w:szCs w:val="22"/>
                <w:lang w:bidi="ru-RU"/>
              </w:rPr>
              <w:t>Главное управление Федеральной службы судебных приставов п</w:t>
            </w:r>
            <w:r>
              <w:rPr>
                <w:b/>
                <w:sz w:val="22"/>
                <w:szCs w:val="22"/>
              </w:rPr>
              <w:t>о Республике Башкортостан</w:t>
            </w:r>
          </w:p>
          <w:p>
            <w:pPr>
              <w:pStyle w:val="Normal"/>
              <w:rPr>
                <w:b/>
                <w:sz w:val="22"/>
                <w:szCs w:val="22"/>
              </w:rPr>
            </w:pPr>
            <w:r>
              <w:rPr>
                <w:b/>
                <w:sz w:val="22"/>
                <w:szCs w:val="22"/>
              </w:rPr>
            </w:r>
          </w:p>
          <w:p>
            <w:pPr>
              <w:pStyle w:val="Normal"/>
              <w:jc w:val="both"/>
              <w:rPr>
                <w:sz w:val="22"/>
                <w:szCs w:val="22"/>
              </w:rPr>
            </w:pPr>
            <w:r>
              <w:rPr>
                <w:spacing w:val="-14"/>
                <w:sz w:val="22"/>
                <w:szCs w:val="22"/>
              </w:rPr>
              <w:t>450077, г. Уфа, ул. Цюрупы, 95</w:t>
            </w:r>
          </w:p>
          <w:p>
            <w:pPr>
              <w:pStyle w:val="Normal"/>
              <w:jc w:val="both"/>
              <w:rPr>
                <w:sz w:val="22"/>
                <w:szCs w:val="22"/>
              </w:rPr>
            </w:pPr>
            <w:r>
              <w:rPr>
                <w:spacing w:val="-14"/>
                <w:sz w:val="22"/>
                <w:szCs w:val="22"/>
              </w:rPr>
              <w:t>Тел. (347) 276-68-02 (отдел МТО)</w:t>
            </w:r>
          </w:p>
          <w:p>
            <w:pPr>
              <w:pStyle w:val="Normal"/>
              <w:jc w:val="both"/>
              <w:rPr>
                <w:sz w:val="22"/>
                <w:szCs w:val="22"/>
              </w:rPr>
            </w:pPr>
            <w:r>
              <w:rPr>
                <w:spacing w:val="-14"/>
                <w:sz w:val="22"/>
                <w:szCs w:val="22"/>
              </w:rPr>
              <w:t>(347)  276-93-30 (финансово-экономический отдел)</w:t>
            </w:r>
          </w:p>
          <w:p>
            <w:pPr>
              <w:pStyle w:val="Style22"/>
              <w:spacing w:lineRule="atLeast" w:line="200"/>
              <w:rPr>
                <w:sz w:val="22"/>
                <w:szCs w:val="22"/>
              </w:rPr>
            </w:pPr>
            <w:r>
              <w:rPr>
                <w:rFonts w:cs="Times New Roman;serif"/>
                <w:color w:val="000000"/>
                <w:sz w:val="22"/>
                <w:szCs w:val="22"/>
              </w:rPr>
              <w:t>ИНН 0274101120</w:t>
            </w:r>
          </w:p>
          <w:p>
            <w:pPr>
              <w:pStyle w:val="Style22"/>
              <w:spacing w:lineRule="atLeast" w:line="200"/>
              <w:rPr>
                <w:sz w:val="22"/>
                <w:szCs w:val="22"/>
              </w:rPr>
            </w:pPr>
            <w:r>
              <w:rPr>
                <w:rFonts w:cs="Times New Roman;serif"/>
                <w:color w:val="000000"/>
                <w:sz w:val="22"/>
                <w:szCs w:val="22"/>
              </w:rPr>
              <w:t>КПП 027801001</w:t>
            </w:r>
          </w:p>
          <w:p>
            <w:pPr>
              <w:pStyle w:val="Style22"/>
              <w:spacing w:lineRule="atLeast" w:line="200"/>
              <w:rPr>
                <w:sz w:val="22"/>
                <w:szCs w:val="22"/>
              </w:rPr>
            </w:pPr>
            <w:r>
              <w:rPr>
                <w:rFonts w:cs="Times New Roman;serif"/>
                <w:color w:val="000000"/>
                <w:sz w:val="22"/>
                <w:szCs w:val="22"/>
              </w:rPr>
              <w:t>л/сч №03011784970)</w:t>
            </w:r>
          </w:p>
          <w:p>
            <w:pPr>
              <w:pStyle w:val="Style22"/>
              <w:spacing w:lineRule="atLeast" w:line="200"/>
              <w:rPr>
                <w:sz w:val="22"/>
                <w:szCs w:val="22"/>
              </w:rPr>
            </w:pPr>
            <w:r>
              <w:rPr>
                <w:rFonts w:cs="Times New Roman;serif"/>
                <w:color w:val="000000"/>
                <w:sz w:val="22"/>
                <w:szCs w:val="22"/>
              </w:rPr>
              <w:t>БИК 015004950</w:t>
            </w:r>
          </w:p>
          <w:p>
            <w:pPr>
              <w:pStyle w:val="Style22"/>
              <w:spacing w:lineRule="atLeast" w:line="200"/>
              <w:rPr>
                <w:sz w:val="22"/>
                <w:szCs w:val="22"/>
              </w:rPr>
            </w:pPr>
            <w:r>
              <w:rPr>
                <w:color w:val="000000"/>
                <w:sz w:val="22"/>
                <w:szCs w:val="22"/>
              </w:rPr>
              <w:t>СИБИРСКОЕ ГУ БАНКА РОССИИ // УФК по Новосибирской области, г. Новосибирск</w:t>
            </w:r>
          </w:p>
          <w:p>
            <w:pPr>
              <w:pStyle w:val="Style22"/>
              <w:spacing w:lineRule="atLeast" w:line="200"/>
              <w:rPr>
                <w:sz w:val="22"/>
                <w:szCs w:val="22"/>
              </w:rPr>
            </w:pPr>
            <w:r>
              <w:rPr>
                <w:color w:val="000000"/>
                <w:sz w:val="22"/>
                <w:szCs w:val="22"/>
              </w:rPr>
              <w:t xml:space="preserve">счет </w:t>
            </w:r>
            <w:r>
              <w:rPr>
                <w:rFonts w:cs="Times New Roman;serif"/>
                <w:color w:val="000000"/>
                <w:sz w:val="22"/>
                <w:szCs w:val="22"/>
              </w:rPr>
              <w:t xml:space="preserve">№ </w:t>
            </w:r>
            <w:r>
              <w:rPr>
                <w:color w:val="000000"/>
                <w:sz w:val="22"/>
                <w:szCs w:val="22"/>
              </w:rPr>
              <w:t>03211643000000015109</w:t>
            </w:r>
          </w:p>
          <w:p>
            <w:pPr>
              <w:pStyle w:val="Style22"/>
              <w:spacing w:lineRule="atLeast" w:line="200"/>
              <w:rPr>
                <w:sz w:val="22"/>
                <w:szCs w:val="22"/>
              </w:rPr>
            </w:pPr>
            <w:r>
              <w:rPr>
                <w:color w:val="000000"/>
                <w:sz w:val="22"/>
                <w:szCs w:val="22"/>
              </w:rPr>
              <w:t>ЕКС №40102810445370000043</w:t>
            </w:r>
          </w:p>
          <w:p>
            <w:pPr>
              <w:pStyle w:val="Style22"/>
              <w:spacing w:lineRule="atLeast" w:line="200"/>
              <w:rPr>
                <w:sz w:val="22"/>
                <w:szCs w:val="22"/>
              </w:rPr>
            </w:pPr>
            <w:r>
              <w:rPr>
                <w:spacing w:val="-16"/>
                <w:sz w:val="22"/>
                <w:szCs w:val="22"/>
              </w:rPr>
              <w:t>ОКТМО 80701000</w:t>
            </w:r>
          </w:p>
          <w:p>
            <w:pPr>
              <w:pStyle w:val="BodyText"/>
              <w:rPr/>
            </w:pPr>
            <w:hyperlink r:id="rId2">
              <w:r>
                <w:rPr>
                  <w:rStyle w:val="Hyperlink"/>
                  <w:sz w:val="22"/>
                  <w:szCs w:val="22"/>
                </w:rPr>
                <w:t>omto@r02.fssp.gov.ru</w:t>
              </w:r>
            </w:hyperlink>
          </w:p>
          <w:p>
            <w:pPr>
              <w:pStyle w:val="BodyText"/>
              <w:rPr>
                <w:sz w:val="22"/>
                <w:szCs w:val="22"/>
              </w:rPr>
            </w:pPr>
            <w:r>
              <w:rPr>
                <w:sz w:val="22"/>
                <w:szCs w:val="22"/>
              </w:rPr>
              <w:t>кор счет 32202006200133643000</w:t>
            </w:r>
          </w:p>
          <w:p>
            <w:pPr>
              <w:pStyle w:val="BodyText"/>
              <w:rPr>
                <w:b/>
                <w:color w:val="000000"/>
                <w:sz w:val="22"/>
                <w:szCs w:val="22"/>
              </w:rPr>
            </w:pPr>
            <w:r>
              <w:rPr>
                <w:b/>
                <w:color w:val="000000"/>
                <w:sz w:val="22"/>
                <w:szCs w:val="22"/>
              </w:rPr>
            </w:r>
          </w:p>
          <w:p>
            <w:pPr>
              <w:pStyle w:val="Normal"/>
              <w:rPr>
                <w:b/>
                <w:color w:val="000000"/>
                <w:sz w:val="22"/>
                <w:szCs w:val="22"/>
              </w:rPr>
            </w:pPr>
            <w:r>
              <w:rPr>
                <w:b/>
                <w:color w:val="000000"/>
                <w:sz w:val="22"/>
                <w:szCs w:val="22"/>
              </w:rPr>
            </w:r>
          </w:p>
          <w:p>
            <w:pPr>
              <w:pStyle w:val="Normal"/>
              <w:rPr>
                <w:b/>
                <w:color w:val="000000"/>
                <w:sz w:val="22"/>
                <w:szCs w:val="22"/>
              </w:rPr>
            </w:pPr>
            <w:r>
              <w:rPr>
                <w:b/>
                <w:color w:val="000000"/>
                <w:sz w:val="22"/>
                <w:szCs w:val="22"/>
              </w:rPr>
            </w:r>
          </w:p>
          <w:p>
            <w:pPr>
              <w:pStyle w:val="Normal"/>
              <w:rPr>
                <w:b/>
                <w:color w:val="000000"/>
                <w:sz w:val="22"/>
                <w:szCs w:val="22"/>
              </w:rPr>
            </w:pPr>
            <w:r>
              <w:rPr>
                <w:b/>
                <w:color w:val="000000"/>
                <w:sz w:val="22"/>
                <w:szCs w:val="22"/>
              </w:rPr>
            </w:r>
          </w:p>
          <w:p>
            <w:pPr>
              <w:pStyle w:val="Iauiue2"/>
              <w:jc w:val="both"/>
              <w:rPr>
                <w:sz w:val="22"/>
                <w:szCs w:val="22"/>
              </w:rPr>
            </w:pPr>
            <w:r>
              <w:rPr>
                <w:b/>
                <w:sz w:val="22"/>
                <w:szCs w:val="22"/>
              </w:rPr>
              <w:t>Главное управление Федеральной службы судебных приставов по Республике Башкортостан</w:t>
            </w:r>
          </w:p>
          <w:p>
            <w:pPr>
              <w:pStyle w:val="Iauiue2"/>
              <w:jc w:val="both"/>
              <w:rPr>
                <w:sz w:val="22"/>
                <w:szCs w:val="22"/>
              </w:rPr>
            </w:pPr>
            <w:r>
              <w:rPr>
                <w:sz w:val="22"/>
                <w:szCs w:val="22"/>
              </w:rPr>
            </w:r>
          </w:p>
          <w:p>
            <w:pPr>
              <w:pStyle w:val="Iauiue2"/>
              <w:jc w:val="both"/>
              <w:rPr>
                <w:b/>
                <w:sz w:val="22"/>
                <w:szCs w:val="22"/>
              </w:rPr>
            </w:pPr>
            <w:r>
              <w:rPr>
                <w:b/>
                <w:sz w:val="22"/>
                <w:szCs w:val="22"/>
              </w:rPr>
            </w:r>
          </w:p>
          <w:p>
            <w:pPr>
              <w:pStyle w:val="Iauiue2"/>
              <w:jc w:val="both"/>
              <w:rPr>
                <w:sz w:val="22"/>
                <w:szCs w:val="22"/>
              </w:rPr>
            </w:pPr>
            <w:r>
              <w:rPr>
                <w:b/>
                <w:sz w:val="22"/>
                <w:szCs w:val="22"/>
              </w:rPr>
              <w:t>___________________ /</w:t>
            </w:r>
            <w:r>
              <w:rPr>
                <w:sz w:val="22"/>
                <w:szCs w:val="22"/>
              </w:rPr>
              <w:t xml:space="preserve"> С.Н. Кирюба /</w:t>
            </w:r>
          </w:p>
          <w:p>
            <w:pPr>
              <w:pStyle w:val="Iauiue2"/>
              <w:jc w:val="both"/>
              <w:rPr>
                <w:sz w:val="22"/>
                <w:szCs w:val="22"/>
              </w:rPr>
            </w:pPr>
            <w:r>
              <w:rPr>
                <w:sz w:val="22"/>
                <w:szCs w:val="22"/>
              </w:rPr>
              <w:t xml:space="preserve">            </w:t>
            </w:r>
            <w:r>
              <w:rPr>
                <w:sz w:val="22"/>
                <w:szCs w:val="22"/>
              </w:rPr>
              <w:t>подпись</w:t>
              <w:tab/>
              <w:t xml:space="preserve">              расшифровка</w:t>
            </w:r>
          </w:p>
          <w:p>
            <w:pPr>
              <w:pStyle w:val="Iauiue2"/>
              <w:rPr>
                <w:sz w:val="22"/>
                <w:szCs w:val="22"/>
              </w:rPr>
            </w:pPr>
            <w:r>
              <w:rPr>
                <w:b/>
                <w:sz w:val="22"/>
                <w:szCs w:val="22"/>
              </w:rPr>
              <w:t xml:space="preserve"> </w:t>
            </w:r>
            <w:r>
              <w:rPr>
                <w:sz w:val="22"/>
                <w:szCs w:val="22"/>
              </w:rPr>
              <w:t xml:space="preserve">           </w:t>
            </w:r>
            <w:r>
              <w:rPr>
                <w:sz w:val="22"/>
                <w:szCs w:val="22"/>
              </w:rPr>
              <w:t>М.П.</w:t>
            </w:r>
          </w:p>
        </w:tc>
      </w:tr>
    </w:tbl>
    <w:p>
      <w:pPr>
        <w:pStyle w:val="Normal"/>
        <w:rPr>
          <w:b/>
          <w:sz w:val="20"/>
          <w:szCs w:val="20"/>
        </w:rPr>
      </w:pPr>
      <w:r>
        <w:rPr>
          <w:b/>
          <w:sz w:val="20"/>
          <w:szCs w:val="20"/>
        </w:rPr>
      </w:r>
    </w:p>
    <w:p>
      <w:pPr>
        <w:pStyle w:val="Heading1"/>
        <w:rPr>
          <w:b/>
          <w:sz w:val="20"/>
          <w:szCs w:val="20"/>
        </w:rPr>
      </w:pPr>
      <w:r>
        <w:rPr>
          <w:b/>
          <w:sz w:val="20"/>
          <w:szCs w:val="20"/>
        </w:rPr>
      </w:r>
    </w:p>
    <w:p>
      <w:pPr>
        <w:pStyle w:val="Heading1"/>
        <w:rPr>
          <w:b/>
          <w:sz w:val="20"/>
          <w:szCs w:val="20"/>
        </w:rPr>
      </w:pPr>
      <w:r>
        <w:rPr>
          <w:b/>
          <w:sz w:val="20"/>
          <w:szCs w:val="20"/>
        </w:rPr>
      </w:r>
    </w:p>
    <w:p>
      <w:pPr>
        <w:pStyle w:val="Normal"/>
        <w:rPr>
          <w:b/>
          <w:sz w:val="20"/>
          <w:szCs w:val="20"/>
        </w:rPr>
      </w:pPr>
      <w:r>
        <w:rPr>
          <w:b/>
          <w:sz w:val="20"/>
          <w:szCs w:val="20"/>
        </w:rPr>
      </w:r>
      <w:r>
        <w:br w:type="page"/>
      </w:r>
    </w:p>
    <w:p>
      <w:pPr>
        <w:pStyle w:val="Heading1"/>
        <w:spacing w:before="0" w:after="0"/>
        <w:rPr>
          <w:b/>
          <w:sz w:val="20"/>
          <w:szCs w:val="20"/>
        </w:rPr>
      </w:pPr>
      <w:r>
        <w:rPr>
          <w:b/>
          <w:sz w:val="20"/>
          <w:szCs w:val="20"/>
        </w:rPr>
        <w:t>Приложение № 1</w:t>
      </w:r>
    </w:p>
    <w:p>
      <w:pPr>
        <w:pStyle w:val="Normal"/>
        <w:jc w:val="right"/>
        <w:rPr>
          <w:sz w:val="20"/>
          <w:szCs w:val="20"/>
        </w:rPr>
      </w:pPr>
      <w:r>
        <w:rPr>
          <w:sz w:val="20"/>
          <w:szCs w:val="20"/>
        </w:rPr>
        <w:t xml:space="preserve">к Договору </w:t>
      </w:r>
    </w:p>
    <w:p>
      <w:pPr>
        <w:pStyle w:val="Normal"/>
        <w:jc w:val="right"/>
        <w:rPr/>
      </w:pPr>
      <w:r>
        <w:rPr>
          <w:color w:val="000000"/>
          <w:sz w:val="20"/>
          <w:szCs w:val="20"/>
        </w:rPr>
        <w:t xml:space="preserve">№ </w:t>
      </w:r>
      <w:bookmarkStart w:id="4" w:name="docnum2"/>
      <w:bookmarkEnd w:id="4"/>
      <w:r>
        <w:rPr>
          <w:color w:val="000000"/>
          <w:sz w:val="20"/>
          <w:szCs w:val="20"/>
        </w:rPr>
        <w:t>____________________ от __/__/ 202__г.</w:t>
      </w:r>
    </w:p>
    <w:p>
      <w:pPr>
        <w:pStyle w:val="Normal"/>
        <w:jc w:val="center"/>
        <w:rPr>
          <w:b/>
        </w:rPr>
      </w:pPr>
      <w:r>
        <w:rPr>
          <w:b/>
        </w:rPr>
      </w:r>
    </w:p>
    <w:p>
      <w:pPr>
        <w:pStyle w:val="Normal"/>
        <w:jc w:val="center"/>
        <w:rPr>
          <w:b/>
          <w:szCs w:val="20"/>
        </w:rPr>
      </w:pPr>
      <w:r>
        <w:rPr>
          <w:b/>
        </w:rPr>
        <w:t>Услуга «Виртуальная АТС</w:t>
      </w:r>
      <w:r>
        <w:rPr>
          <w:b/>
          <w:szCs w:val="20"/>
        </w:rPr>
        <w:t>»</w:t>
      </w:r>
    </w:p>
    <w:p>
      <w:pPr>
        <w:pStyle w:val="Normal"/>
        <w:jc w:val="center"/>
        <w:rPr>
          <w:b/>
          <w:sz w:val="22"/>
          <w:szCs w:val="22"/>
        </w:rPr>
      </w:pPr>
      <w:r>
        <w:rPr>
          <w:b/>
          <w:sz w:val="22"/>
          <w:szCs w:val="22"/>
        </w:rPr>
      </w:r>
    </w:p>
    <w:p>
      <w:pPr>
        <w:pStyle w:val="Normal"/>
        <w:ind w:firstLine="567"/>
        <w:jc w:val="both"/>
        <w:rPr>
          <w:bCs/>
          <w:sz w:val="22"/>
          <w:szCs w:val="22"/>
        </w:rPr>
      </w:pPr>
      <w:r>
        <w:rPr>
          <w:sz w:val="22"/>
          <w:szCs w:val="22"/>
        </w:rPr>
        <w:t xml:space="preserve">1. </w:t>
      </w:r>
      <w:r>
        <w:rPr>
          <w:bCs/>
          <w:sz w:val="22"/>
          <w:szCs w:val="22"/>
        </w:rPr>
        <w:t>Описание Услуги</w:t>
      </w:r>
    </w:p>
    <w:p>
      <w:pPr>
        <w:pStyle w:val="Normal"/>
        <w:ind w:firstLine="567"/>
        <w:jc w:val="both"/>
        <w:rPr>
          <w:bCs/>
          <w:sz w:val="22"/>
          <w:szCs w:val="22"/>
        </w:rPr>
      </w:pPr>
      <w:r>
        <w:rPr>
          <w:bCs/>
          <w:sz w:val="22"/>
          <w:szCs w:val="22"/>
        </w:rPr>
        <w:t xml:space="preserve">1.1. АГЕНТ предоставляет ПОЛЬЗОВАТЕЛЮ услугу «Виртуальная АТС», (далее «Услуга»). </w:t>
      </w:r>
    </w:p>
    <w:p>
      <w:pPr>
        <w:pStyle w:val="Normal"/>
        <w:spacing w:lineRule="auto" w:line="264"/>
        <w:ind w:firstLine="567"/>
        <w:jc w:val="both"/>
        <w:rPr>
          <w:bCs/>
          <w:sz w:val="22"/>
          <w:szCs w:val="22"/>
        </w:rPr>
      </w:pPr>
      <w:r>
        <w:rPr>
          <w:bCs/>
          <w:sz w:val="22"/>
          <w:szCs w:val="22"/>
        </w:rPr>
        <w:t>1.2. Для предоставления Услуги необходимо наличие у ПОЛЬЗОВАТЕЛЯ доступа к сети передачи данных АГЕНТА по выделенной линии.</w:t>
      </w:r>
    </w:p>
    <w:p>
      <w:pPr>
        <w:pStyle w:val="Normal"/>
        <w:spacing w:lineRule="auto" w:line="264"/>
        <w:ind w:firstLine="567"/>
        <w:jc w:val="both"/>
        <w:rPr>
          <w:bCs/>
          <w:sz w:val="22"/>
          <w:szCs w:val="22"/>
        </w:rPr>
      </w:pPr>
      <w:r>
        <w:rPr>
          <w:bCs/>
          <w:sz w:val="22"/>
          <w:szCs w:val="22"/>
        </w:rPr>
        <w:t xml:space="preserve">1.3. Реализация Услуги осуществляется путем маршрутизации голосовых вызовов, входящих на абонентский номер ПОЛЬЗОВАТЕЛЯ, </w:t>
      </w:r>
      <w:r>
        <w:rPr>
          <w:sz w:val="22"/>
          <w:szCs w:val="22"/>
        </w:rPr>
        <w:t>по сети передачи данных АГЕНТА до оконечного оборудования ПОЛЬЗОВАТЕЛЯ</w:t>
      </w:r>
      <w:r>
        <w:rPr>
          <w:bCs/>
          <w:sz w:val="22"/>
          <w:szCs w:val="22"/>
        </w:rPr>
        <w:t>. АТС, где расположено необходимое для оказания Услуг оборудование АГЕНТА, из номерной емкости которой ПОЛЬЗОВАТЕЛЮ выделен абонентский номер, и оконечное оборудование ПОЛЬЗОВАТЕЛЯ территориально могут быть размещены как в одном населенном пункте, так и в разных населенных пунктах в пределах РБ. По инициативе ПОЛЬЗОВАТЕЛЯ, ему предоставляются Дополнительные услуги – исходящие телефонные соединения (Приложение №2). Местным телефонным соединением считается соединение с абонентом, номер которого выделен из номерной емкости одного узла связи с номером ПОЛЬЗОВАТЕЛЯ.</w:t>
      </w:r>
    </w:p>
    <w:p>
      <w:pPr>
        <w:pStyle w:val="Normal"/>
        <w:spacing w:lineRule="auto" w:line="264"/>
        <w:ind w:firstLine="567"/>
        <w:jc w:val="both"/>
        <w:rPr>
          <w:bCs/>
          <w:sz w:val="22"/>
          <w:szCs w:val="22"/>
        </w:rPr>
      </w:pPr>
      <w:r>
        <w:rPr>
          <w:bCs/>
          <w:sz w:val="22"/>
          <w:szCs w:val="22"/>
        </w:rPr>
        <w:t>1.4. В случае необходимости ПОЛЬЗОВАТЕЛЬ приобретает дополнительное оборудование для предоставления доступа к Услуге.</w:t>
      </w:r>
    </w:p>
    <w:p>
      <w:pPr>
        <w:pStyle w:val="Normal"/>
        <w:spacing w:lineRule="auto" w:line="264"/>
        <w:ind w:firstLine="567"/>
        <w:jc w:val="both"/>
        <w:rPr>
          <w:bCs/>
          <w:sz w:val="22"/>
          <w:szCs w:val="22"/>
        </w:rPr>
      </w:pPr>
      <w:r>
        <w:rPr>
          <w:bCs/>
          <w:sz w:val="22"/>
          <w:szCs w:val="22"/>
        </w:rPr>
        <w:t xml:space="preserve">1.5. Услуга предоставляется 24 часа в сутки, 7 дней в неделю. </w:t>
      </w:r>
    </w:p>
    <w:p>
      <w:pPr>
        <w:pStyle w:val="Normal"/>
        <w:spacing w:lineRule="auto" w:line="264"/>
        <w:ind w:firstLine="567"/>
        <w:jc w:val="both"/>
        <w:rPr>
          <w:bCs/>
          <w:sz w:val="22"/>
          <w:szCs w:val="22"/>
        </w:rPr>
      </w:pPr>
      <w:r>
        <w:rPr>
          <w:bCs/>
          <w:sz w:val="22"/>
          <w:szCs w:val="22"/>
        </w:rPr>
        <w:t xml:space="preserve">1.6. Услуга предоставляются по адресу, указанному ПОЛЬЗОВАТЕЛЕМ в Заявлении на проверку технической возможности подключения к Услуге. </w:t>
      </w:r>
    </w:p>
    <w:p>
      <w:pPr>
        <w:pStyle w:val="Normal"/>
        <w:spacing w:lineRule="auto" w:line="264"/>
        <w:ind w:firstLine="567"/>
        <w:jc w:val="both"/>
        <w:rPr>
          <w:bCs/>
          <w:sz w:val="22"/>
          <w:szCs w:val="22"/>
        </w:rPr>
      </w:pPr>
      <w:r>
        <w:rPr>
          <w:bCs/>
          <w:sz w:val="22"/>
          <w:szCs w:val="22"/>
        </w:rPr>
        <w:t>2. Порядок предоставления Услуги.</w:t>
      </w:r>
    </w:p>
    <w:p>
      <w:pPr>
        <w:pStyle w:val="Normal"/>
        <w:spacing w:lineRule="auto" w:line="264"/>
        <w:ind w:firstLine="567"/>
        <w:jc w:val="both"/>
        <w:rPr>
          <w:bCs/>
          <w:sz w:val="22"/>
          <w:szCs w:val="22"/>
        </w:rPr>
      </w:pPr>
      <w:r>
        <w:rPr>
          <w:bCs/>
          <w:sz w:val="22"/>
          <w:szCs w:val="22"/>
        </w:rPr>
        <w:t>2.1. АГЕНТ, в течение не более 5 рабочих дней после заключения Договора и получения Единовременного платежа, производит необходимые работы по подключению Услуги и по факту выполнения работ Стороны, в течение не более 2 рабочих дней, подписывают Акт приема-передачи выполненных работ согласно п. 4.1.2. настоящего Договора (Приложение № 3).</w:t>
      </w:r>
    </w:p>
    <w:p>
      <w:pPr>
        <w:pStyle w:val="Normal"/>
        <w:spacing w:lineRule="auto" w:line="264"/>
        <w:ind w:firstLine="567"/>
        <w:jc w:val="both"/>
        <w:rPr>
          <w:bCs/>
          <w:sz w:val="22"/>
          <w:szCs w:val="22"/>
        </w:rPr>
      </w:pPr>
      <w:r>
        <w:rPr>
          <w:bCs/>
          <w:sz w:val="22"/>
          <w:szCs w:val="22"/>
        </w:rPr>
        <w:t>2.2. Работы по подключению Услуги включают в себя:</w:t>
      </w:r>
    </w:p>
    <w:p>
      <w:pPr>
        <w:pStyle w:val="Normal"/>
        <w:numPr>
          <w:ilvl w:val="0"/>
          <w:numId w:val="5"/>
        </w:numPr>
        <w:spacing w:lineRule="auto" w:line="264"/>
        <w:ind w:firstLine="567" w:left="0"/>
        <w:jc w:val="both"/>
        <w:rPr>
          <w:bCs/>
          <w:sz w:val="22"/>
          <w:szCs w:val="22"/>
        </w:rPr>
      </w:pPr>
      <w:r>
        <w:rPr>
          <w:bCs/>
          <w:sz w:val="22"/>
          <w:szCs w:val="22"/>
        </w:rPr>
        <w:t xml:space="preserve">Выделение абонентского номера из номерной емкости местной телефонной сети и голосового канала сети передачи данных. </w:t>
      </w:r>
    </w:p>
    <w:p>
      <w:pPr>
        <w:pStyle w:val="Normal"/>
        <w:numPr>
          <w:ilvl w:val="0"/>
          <w:numId w:val="5"/>
        </w:numPr>
        <w:spacing w:lineRule="auto" w:line="264"/>
        <w:ind w:firstLine="567" w:left="0"/>
        <w:jc w:val="both"/>
        <w:rPr>
          <w:bCs/>
          <w:sz w:val="22"/>
          <w:szCs w:val="22"/>
        </w:rPr>
      </w:pPr>
      <w:r>
        <w:rPr>
          <w:bCs/>
          <w:sz w:val="22"/>
          <w:szCs w:val="22"/>
        </w:rPr>
        <w:t>Работы по настройке телекоммуникационного и сетевого оборудования на стороне АГЕНТА.</w:t>
      </w:r>
    </w:p>
    <w:p>
      <w:pPr>
        <w:pStyle w:val="Normal"/>
        <w:numPr>
          <w:ilvl w:val="0"/>
          <w:numId w:val="5"/>
        </w:numPr>
        <w:spacing w:lineRule="auto" w:line="264"/>
        <w:ind w:firstLine="567" w:left="0"/>
        <w:jc w:val="both"/>
        <w:rPr>
          <w:sz w:val="22"/>
          <w:szCs w:val="22"/>
        </w:rPr>
      </w:pPr>
      <w:r>
        <w:rPr>
          <w:sz w:val="22"/>
          <w:szCs w:val="22"/>
        </w:rPr>
        <w:t>Консультация технического специалиста по установке и настройке дополнительного оборудования на стороне ПОЛЬЗОВАТЕЛЯ (если оно необходимо для реализации Услуги).</w:t>
      </w:r>
    </w:p>
    <w:p>
      <w:pPr>
        <w:pStyle w:val="Normal"/>
        <w:spacing w:lineRule="auto" w:line="264"/>
        <w:ind w:firstLine="567"/>
        <w:jc w:val="both"/>
        <w:rPr>
          <w:sz w:val="22"/>
          <w:szCs w:val="22"/>
        </w:rPr>
      </w:pPr>
      <w:r>
        <w:rPr>
          <w:sz w:val="22"/>
          <w:szCs w:val="22"/>
        </w:rPr>
        <w:t xml:space="preserve">2.3. После выполнения работ по подключению ПОЛЬЗОВАТЕЛЬ получает доступ к Услуге, необходимые для предоставления Услуги данные указываются в подписанном Заказе.   </w:t>
      </w:r>
    </w:p>
    <w:p>
      <w:pPr>
        <w:pStyle w:val="Normal"/>
        <w:overflowPunct w:val="false"/>
        <w:spacing w:lineRule="auto" w:line="264"/>
        <w:ind w:firstLine="567" w:right="10"/>
        <w:jc w:val="both"/>
        <w:textAlignment w:val="baseline"/>
        <w:rPr>
          <w:bCs/>
          <w:sz w:val="22"/>
          <w:szCs w:val="22"/>
        </w:rPr>
      </w:pPr>
      <w:r>
        <w:rPr>
          <w:bCs/>
          <w:sz w:val="22"/>
          <w:szCs w:val="22"/>
        </w:rPr>
        <w:t>3.  Обеспечение Услуги</w:t>
      </w:r>
    </w:p>
    <w:p>
      <w:pPr>
        <w:pStyle w:val="Normal"/>
        <w:spacing w:lineRule="auto" w:line="264"/>
        <w:ind w:firstLine="567"/>
        <w:jc w:val="both"/>
        <w:rPr>
          <w:sz w:val="22"/>
          <w:szCs w:val="22"/>
        </w:rPr>
      </w:pPr>
      <w:r>
        <w:rPr>
          <w:bCs/>
          <w:sz w:val="22"/>
          <w:szCs w:val="22"/>
        </w:rPr>
        <w:t xml:space="preserve">3.1. </w:t>
      </w:r>
      <w:r>
        <w:rPr>
          <w:sz w:val="22"/>
          <w:szCs w:val="22"/>
        </w:rPr>
        <w:t>Для информационного и технического обеспечения Услуги АГЕНТ использует службу технической поддержки. По всем вопросам, связанным с предоставлением Услуги, ПОЛЬЗОВАТЕЛЬ может получить консультацию по телефону 8-800-200-6786.</w:t>
      </w:r>
    </w:p>
    <w:p>
      <w:pPr>
        <w:pStyle w:val="Normal"/>
        <w:shd w:val="clear" w:color="auto" w:fill="FFFFFF"/>
        <w:tabs>
          <w:tab w:val="clear" w:pos="708"/>
          <w:tab w:val="left" w:pos="552" w:leader="none"/>
        </w:tabs>
        <w:spacing w:lineRule="auto" w:line="264"/>
        <w:ind w:firstLine="567"/>
        <w:jc w:val="both"/>
        <w:rPr>
          <w:color w:val="000000"/>
          <w:spacing w:val="12"/>
          <w:sz w:val="22"/>
          <w:szCs w:val="22"/>
        </w:rPr>
      </w:pPr>
      <w:r>
        <w:rPr>
          <w:sz w:val="22"/>
          <w:szCs w:val="22"/>
        </w:rPr>
        <w:t>4. Технические показатели Услуги устанавливаются АГЕНТОМ в соответствии с нормативными документами отрасли «Связь</w:t>
      </w:r>
      <w:r>
        <w:rPr>
          <w:color w:val="000000"/>
          <w:spacing w:val="12"/>
          <w:sz w:val="22"/>
          <w:szCs w:val="22"/>
        </w:rPr>
        <w:t>».</w:t>
      </w:r>
    </w:p>
    <w:p>
      <w:pPr>
        <w:pStyle w:val="Normal"/>
        <w:rPr/>
      </w:pPr>
      <w:r>
        <w:rPr/>
      </w:r>
    </w:p>
    <w:p>
      <w:pPr>
        <w:pStyle w:val="Normal"/>
        <w:rPr/>
      </w:pPr>
      <w:r>
        <w:rPr/>
      </w:r>
    </w:p>
    <w:tbl>
      <w:tblPr>
        <w:tblStyle w:val="afd"/>
        <w:tblW w:w="10182" w:type="dxa"/>
        <w:jc w:val="left"/>
        <w:tblInd w:w="0" w:type="dxa"/>
        <w:tblLayout w:type="fixed"/>
        <w:tblCellMar>
          <w:top w:w="0" w:type="dxa"/>
          <w:left w:w="133" w:type="dxa"/>
          <w:bottom w:w="0" w:type="dxa"/>
          <w:right w:w="108" w:type="dxa"/>
        </w:tblCellMar>
        <w:tblLook w:val="04a0" w:noHBand="0" w:noVBand="1" w:firstColumn="1" w:lastRow="0" w:lastColumn="0" w:firstRow="1"/>
      </w:tblPr>
      <w:tblGrid>
        <w:gridCol w:w="5094"/>
        <w:gridCol w:w="5087"/>
      </w:tblGrid>
      <w:tr>
        <w:trPr/>
        <w:tc>
          <w:tcPr>
            <w:tcW w:w="5094" w:type="dxa"/>
            <w:tcBorders>
              <w:top w:val="nil"/>
              <w:left w:val="nil"/>
              <w:bottom w:val="nil"/>
              <w:right w:val="nil"/>
            </w:tcBorders>
            <w:shd w:color="auto" w:fill="auto" w:val="clear"/>
          </w:tcPr>
          <w:p>
            <w:pPr>
              <w:pStyle w:val="Normal"/>
              <w:widowControl/>
              <w:suppressAutoHyphens w:val="true"/>
              <w:spacing w:before="0" w:after="0"/>
              <w:jc w:val="left"/>
              <w:rPr>
                <w:bCs/>
                <w:sz w:val="22"/>
                <w:szCs w:val="22"/>
              </w:rPr>
            </w:pPr>
            <w:r>
              <w:rPr>
                <w:rFonts w:eastAsia="Times New Roman" w:cs="Times New Roman"/>
                <w:bCs/>
                <w:kern w:val="0"/>
                <w:sz w:val="22"/>
                <w:szCs w:val="22"/>
                <w:lang w:val="ru-RU" w:eastAsia="ru-RU" w:bidi="ar-SA"/>
              </w:rPr>
              <w:t>АГЕНТ</w:t>
            </w:r>
          </w:p>
          <w:p>
            <w:pPr>
              <w:pStyle w:val="Normal"/>
              <w:widowControl/>
              <w:suppressAutoHyphens w:val="true"/>
              <w:spacing w:before="0" w:after="0"/>
              <w:jc w:val="left"/>
              <w:rPr>
                <w:bCs/>
                <w:sz w:val="22"/>
                <w:szCs w:val="22"/>
              </w:rPr>
            </w:pPr>
            <w:r>
              <w:rPr>
                <w:bCs/>
                <w:sz w:val="22"/>
                <w:szCs w:val="22"/>
              </w:rPr>
            </w:r>
          </w:p>
          <w:p>
            <w:pPr>
              <w:pStyle w:val="Normal"/>
              <w:widowControl/>
              <w:suppressAutoHyphens w:val="true"/>
              <w:spacing w:before="0" w:after="0"/>
              <w:jc w:val="left"/>
              <w:rPr>
                <w:bCs/>
                <w:sz w:val="22"/>
                <w:szCs w:val="22"/>
              </w:rPr>
            </w:pPr>
            <w:r>
              <w:rPr>
                <w:rFonts w:eastAsia="Times New Roman" w:cs="Times New Roman"/>
                <w:bCs/>
                <w:kern w:val="0"/>
                <w:sz w:val="22"/>
                <w:szCs w:val="22"/>
                <w:lang w:val="ru-RU" w:eastAsia="ru-RU" w:bidi="ar-SA"/>
              </w:rPr>
              <w:t>Менеджер по работе с государственными заказчиками ПАО «Башинформсвязь»</w:t>
            </w:r>
          </w:p>
          <w:p>
            <w:pPr>
              <w:pStyle w:val="Normal"/>
              <w:widowControl/>
              <w:suppressAutoHyphens w:val="true"/>
              <w:spacing w:before="0" w:after="0"/>
              <w:jc w:val="left"/>
              <w:rPr>
                <w:bCs/>
                <w:sz w:val="22"/>
                <w:szCs w:val="22"/>
              </w:rPr>
            </w:pPr>
            <w:r>
              <w:rPr>
                <w:bCs/>
                <w:sz w:val="22"/>
                <w:szCs w:val="22"/>
              </w:rPr>
            </w:r>
          </w:p>
          <w:p>
            <w:pPr>
              <w:pStyle w:val="Normal"/>
              <w:widowControl/>
              <w:suppressAutoHyphens w:val="true"/>
              <w:spacing w:before="0" w:after="0"/>
              <w:jc w:val="left"/>
              <w:rPr>
                <w:bCs/>
                <w:sz w:val="22"/>
                <w:szCs w:val="22"/>
              </w:rPr>
            </w:pPr>
            <w:r>
              <w:rPr>
                <w:bCs/>
                <w:sz w:val="22"/>
                <w:szCs w:val="22"/>
              </w:rPr>
            </w:r>
          </w:p>
          <w:p>
            <w:pPr>
              <w:pStyle w:val="Normal"/>
              <w:widowControl/>
              <w:suppressAutoHyphens w:val="true"/>
              <w:spacing w:before="0" w:after="0"/>
              <w:jc w:val="left"/>
              <w:rPr>
                <w:bCs/>
                <w:sz w:val="22"/>
                <w:szCs w:val="22"/>
              </w:rPr>
            </w:pPr>
            <w:r>
              <w:rPr>
                <w:bCs/>
                <w:sz w:val="22"/>
                <w:szCs w:val="22"/>
              </w:rPr>
            </w:r>
          </w:p>
          <w:p>
            <w:pPr>
              <w:pStyle w:val="Normal"/>
              <w:widowControl/>
              <w:suppressAutoHyphens w:val="true"/>
              <w:spacing w:before="0" w:after="0"/>
              <w:jc w:val="left"/>
              <w:rPr>
                <w:sz w:val="22"/>
                <w:szCs w:val="22"/>
              </w:rPr>
            </w:pPr>
            <w:r>
              <w:rPr>
                <w:rFonts w:eastAsia="Times New Roman" w:cs="Times New Roman"/>
                <w:kern w:val="0"/>
                <w:sz w:val="22"/>
                <w:szCs w:val="22"/>
                <w:lang w:val="ru-RU" w:eastAsia="ru-RU" w:bidi="ar-SA"/>
              </w:rPr>
              <w:t xml:space="preserve">___________________/ </w:t>
            </w:r>
            <w:r>
              <w:rPr>
                <w:rFonts w:eastAsia="Times New Roman" w:cs="Times New Roman"/>
                <w:kern w:val="0"/>
                <w:sz w:val="20"/>
                <w:szCs w:val="20"/>
                <w:lang w:val="ru-RU" w:eastAsia="ru-RU" w:bidi="ar-SA"/>
              </w:rPr>
              <w:t>Д.В.Капишев</w:t>
            </w:r>
            <w:r>
              <w:rPr>
                <w:rFonts w:eastAsia="Times New Roman" w:cs="Times New Roman"/>
                <w:kern w:val="0"/>
                <w:sz w:val="22"/>
                <w:szCs w:val="22"/>
                <w:lang w:val="ru-RU" w:eastAsia="ru-RU" w:bidi="ar-SA"/>
              </w:rPr>
              <w:t xml:space="preserve"> /</w:t>
            </w:r>
          </w:p>
          <w:p>
            <w:pPr>
              <w:pStyle w:val="Normal"/>
              <w:widowControl/>
              <w:suppressAutoHyphens w:val="true"/>
              <w:spacing w:before="0" w:after="0"/>
              <w:jc w:val="left"/>
              <w:rPr>
                <w:sz w:val="22"/>
                <w:szCs w:val="22"/>
              </w:rPr>
            </w:pPr>
            <w:r>
              <w:rPr>
                <w:rFonts w:eastAsia="Times New Roman" w:cs="Times New Roman"/>
                <w:kern w:val="0"/>
                <w:sz w:val="22"/>
                <w:szCs w:val="22"/>
                <w:lang w:val="ru-RU" w:eastAsia="ru-RU" w:bidi="ar-SA"/>
              </w:rPr>
              <w:t xml:space="preserve">        </w:t>
            </w:r>
            <w:r>
              <w:rPr>
                <w:rFonts w:eastAsia="Times New Roman" w:cs="Times New Roman"/>
                <w:kern w:val="0"/>
                <w:sz w:val="22"/>
                <w:szCs w:val="22"/>
                <w:lang w:val="ru-RU" w:eastAsia="ru-RU" w:bidi="ar-SA"/>
              </w:rPr>
              <w:t>М.П.</w:t>
            </w:r>
          </w:p>
          <w:p>
            <w:pPr>
              <w:pStyle w:val="Normal"/>
              <w:widowControl/>
              <w:suppressAutoHyphens w:val="true"/>
              <w:spacing w:before="0" w:after="0"/>
              <w:jc w:val="center"/>
              <w:rPr>
                <w:b/>
              </w:rPr>
            </w:pPr>
            <w:r>
              <w:rPr>
                <w:b/>
              </w:rPr>
            </w:r>
          </w:p>
        </w:tc>
        <w:tc>
          <w:tcPr>
            <w:tcW w:w="5087" w:type="dxa"/>
            <w:tcBorders>
              <w:top w:val="nil"/>
              <w:left w:val="nil"/>
              <w:bottom w:val="nil"/>
              <w:right w:val="nil"/>
            </w:tcBorders>
            <w:shd w:color="auto" w:fill="auto" w:val="clear"/>
          </w:tcPr>
          <w:p>
            <w:pPr>
              <w:pStyle w:val="Normal"/>
              <w:widowControl/>
              <w:suppressAutoHyphens w:val="true"/>
              <w:spacing w:before="0" w:after="0"/>
              <w:jc w:val="left"/>
              <w:rPr>
                <w:bCs/>
                <w:sz w:val="22"/>
                <w:szCs w:val="22"/>
              </w:rPr>
            </w:pPr>
            <w:r>
              <w:rPr>
                <w:rFonts w:eastAsia="Times New Roman" w:cs="Times New Roman"/>
                <w:bCs/>
                <w:kern w:val="0"/>
                <w:sz w:val="22"/>
                <w:szCs w:val="22"/>
                <w:lang w:val="ru-RU" w:eastAsia="ru-RU" w:bidi="ar-SA"/>
              </w:rPr>
              <w:t>ПОЛЬЗОВАТЕЛЬ</w:t>
            </w:r>
          </w:p>
          <w:p>
            <w:pPr>
              <w:pStyle w:val="Normal"/>
              <w:widowControl/>
              <w:suppressAutoHyphens w:val="true"/>
              <w:spacing w:before="0" w:after="0"/>
              <w:jc w:val="left"/>
              <w:rPr>
                <w:bCs/>
                <w:sz w:val="22"/>
                <w:szCs w:val="22"/>
              </w:rPr>
            </w:pPr>
            <w:r>
              <w:rPr>
                <w:bCs/>
                <w:sz w:val="22"/>
                <w:szCs w:val="22"/>
              </w:rPr>
            </w:r>
          </w:p>
          <w:p>
            <w:pPr>
              <w:pStyle w:val="Normal"/>
              <w:widowControl/>
              <w:suppressAutoHyphens w:val="true"/>
              <w:spacing w:before="0" w:after="0"/>
              <w:jc w:val="left"/>
              <w:rPr>
                <w:rFonts w:ascii="Times New Roman" w:hAnsi="Times New Roman" w:eastAsia="Times New Roman" w:cs="Times New Roman"/>
                <w:kern w:val="0"/>
                <w:lang w:val="ru-RU" w:eastAsia="ru-RU" w:bidi="ar-SA"/>
              </w:rPr>
            </w:pPr>
            <w:r>
              <w:rPr>
                <w:rFonts w:eastAsia="Times New Roman" w:cs="Times New Roman"/>
                <w:bCs/>
                <w:kern w:val="0"/>
                <w:sz w:val="22"/>
                <w:szCs w:val="22"/>
                <w:lang w:val="ru-RU" w:eastAsia="ru-RU" w:bidi="ar-SA"/>
              </w:rPr>
              <w:t>Главное управление Федеральной службы судебных приставов по Республике Башкортостан</w:t>
            </w:r>
          </w:p>
          <w:p>
            <w:pPr>
              <w:pStyle w:val="Normal"/>
              <w:widowControl/>
              <w:suppressAutoHyphens w:val="true"/>
              <w:spacing w:before="0" w:after="0"/>
              <w:jc w:val="left"/>
              <w:rPr>
                <w:sz w:val="22"/>
                <w:szCs w:val="22"/>
              </w:rPr>
            </w:pPr>
            <w:r>
              <w:rPr>
                <w:sz w:val="22"/>
                <w:szCs w:val="22"/>
              </w:rPr>
            </w:r>
          </w:p>
          <w:p>
            <w:pPr>
              <w:pStyle w:val="Normal"/>
              <w:widowControl/>
              <w:suppressAutoHyphens w:val="true"/>
              <w:spacing w:before="0" w:after="0"/>
              <w:jc w:val="left"/>
              <w:rPr>
                <w:sz w:val="22"/>
                <w:szCs w:val="22"/>
              </w:rPr>
            </w:pPr>
            <w:r>
              <w:rPr>
                <w:sz w:val="22"/>
                <w:szCs w:val="22"/>
              </w:rPr>
            </w:r>
          </w:p>
          <w:p>
            <w:pPr>
              <w:pStyle w:val="Normal"/>
              <w:widowControl/>
              <w:suppressAutoHyphens w:val="true"/>
              <w:spacing w:before="0" w:after="0"/>
              <w:jc w:val="left"/>
              <w:rPr>
                <w:sz w:val="22"/>
                <w:szCs w:val="22"/>
              </w:rPr>
            </w:pPr>
            <w:r>
              <w:rPr>
                <w:sz w:val="22"/>
                <w:szCs w:val="22"/>
              </w:rPr>
            </w:r>
          </w:p>
          <w:p>
            <w:pPr>
              <w:pStyle w:val="Normal"/>
              <w:widowControl/>
              <w:suppressAutoHyphens w:val="true"/>
              <w:spacing w:before="0" w:after="0"/>
              <w:jc w:val="left"/>
              <w:rPr>
                <w:sz w:val="22"/>
                <w:szCs w:val="22"/>
              </w:rPr>
            </w:pPr>
            <w:r>
              <w:rPr>
                <w:rFonts w:eastAsia="Times New Roman" w:cs="Times New Roman"/>
                <w:kern w:val="0"/>
                <w:sz w:val="22"/>
                <w:szCs w:val="22"/>
                <w:lang w:val="ru-RU" w:eastAsia="ru-RU" w:bidi="ar-SA"/>
              </w:rPr>
              <w:t>_______________/ С.Н. Кирюба</w:t>
            </w:r>
            <w:r>
              <w:rPr>
                <w:rFonts w:eastAsia="Times New Roman" w:cs="Times New Roman"/>
                <w:kern w:val="0"/>
                <w:lang w:val="ru-RU" w:eastAsia="ru-RU" w:bidi="ar-SA"/>
              </w:rPr>
              <w:t xml:space="preserve"> </w:t>
            </w:r>
            <w:r>
              <w:rPr>
                <w:rFonts w:eastAsia="Times New Roman" w:cs="Times New Roman"/>
                <w:kern w:val="0"/>
                <w:sz w:val="22"/>
                <w:szCs w:val="22"/>
                <w:lang w:val="ru-RU" w:eastAsia="ru-RU" w:bidi="ar-SA"/>
              </w:rPr>
              <w:t>/</w:t>
            </w:r>
          </w:p>
          <w:p>
            <w:pPr>
              <w:pStyle w:val="Normal"/>
              <w:widowControl/>
              <w:suppressAutoHyphens w:val="true"/>
              <w:spacing w:before="0" w:after="0"/>
              <w:jc w:val="left"/>
              <w:rPr>
                <w:b/>
              </w:rPr>
            </w:pPr>
            <w:r>
              <w:rPr>
                <w:rFonts w:eastAsia="Times New Roman" w:cs="Times New Roman"/>
                <w:kern w:val="0"/>
                <w:sz w:val="22"/>
                <w:szCs w:val="22"/>
                <w:lang w:val="ru-RU" w:eastAsia="ru-RU" w:bidi="ar-SA"/>
              </w:rPr>
              <w:t xml:space="preserve">        </w:t>
            </w:r>
            <w:r>
              <w:rPr>
                <w:rFonts w:eastAsia="Times New Roman" w:cs="Times New Roman"/>
                <w:kern w:val="0"/>
                <w:sz w:val="22"/>
                <w:szCs w:val="22"/>
                <w:lang w:val="ru-RU" w:eastAsia="ru-RU" w:bidi="ar-SA"/>
              </w:rPr>
              <w:t>М.П.</w:t>
            </w:r>
          </w:p>
        </w:tc>
      </w:tr>
    </w:tbl>
    <w:p>
      <w:pPr>
        <w:pStyle w:val="Normal"/>
        <w:jc w:val="center"/>
        <w:rPr>
          <w:b/>
        </w:rPr>
      </w:pPr>
      <w:r>
        <w:rPr>
          <w:b/>
        </w:rPr>
      </w:r>
    </w:p>
    <w:p>
      <w:pPr>
        <w:pStyle w:val="Heading1"/>
        <w:rPr>
          <w:b/>
          <w:sz w:val="20"/>
          <w:szCs w:val="20"/>
        </w:rPr>
      </w:pPr>
      <w:r>
        <w:rPr>
          <w:b/>
          <w:sz w:val="20"/>
          <w:szCs w:val="20"/>
        </w:rPr>
        <w:t>Приложение № 2</w:t>
      </w:r>
    </w:p>
    <w:p>
      <w:pPr>
        <w:pStyle w:val="Normal"/>
        <w:jc w:val="right"/>
        <w:rPr>
          <w:sz w:val="20"/>
          <w:szCs w:val="20"/>
        </w:rPr>
      </w:pPr>
      <w:r>
        <w:rPr>
          <w:sz w:val="20"/>
          <w:szCs w:val="20"/>
        </w:rPr>
        <w:t xml:space="preserve">к Договору </w:t>
      </w:r>
    </w:p>
    <w:p>
      <w:pPr>
        <w:pStyle w:val="Normal"/>
        <w:jc w:val="right"/>
        <w:rPr/>
      </w:pPr>
      <w:r>
        <w:rPr>
          <w:color w:val="000000"/>
          <w:sz w:val="20"/>
          <w:szCs w:val="20"/>
        </w:rPr>
        <w:t xml:space="preserve">№ </w:t>
      </w:r>
      <w:r>
        <w:rPr>
          <w:color w:val="000000"/>
          <w:sz w:val="20"/>
          <w:szCs w:val="20"/>
        </w:rPr>
        <w:t>____________________ от __/__/ 202__ г.</w:t>
      </w:r>
    </w:p>
    <w:p>
      <w:pPr>
        <w:pStyle w:val="Normal"/>
        <w:jc w:val="center"/>
        <w:rPr>
          <w:b/>
        </w:rPr>
      </w:pPr>
      <w:r>
        <w:rPr>
          <w:b/>
        </w:rPr>
      </w:r>
    </w:p>
    <w:p>
      <w:pPr>
        <w:pStyle w:val="Normal"/>
        <w:widowControl w:val="false"/>
        <w:ind w:firstLine="567"/>
        <w:jc w:val="center"/>
        <w:rPr>
          <w:color w:val="000000"/>
          <w:sz w:val="22"/>
          <w:szCs w:val="22"/>
        </w:rPr>
      </w:pPr>
      <w:r>
        <w:rPr>
          <w:b/>
          <w:color w:val="000000"/>
          <w:sz w:val="22"/>
          <w:szCs w:val="22"/>
        </w:rPr>
        <w:t xml:space="preserve">ЗАКАЗ </w:t>
      </w:r>
      <w:r>
        <w:rPr>
          <w:color w:val="000000"/>
          <w:sz w:val="22"/>
          <w:szCs w:val="22"/>
        </w:rPr>
        <w:t>№____</w:t>
      </w:r>
    </w:p>
    <w:p>
      <w:pPr>
        <w:pStyle w:val="Normal"/>
        <w:widowControl w:val="false"/>
        <w:ind w:firstLine="567"/>
        <w:jc w:val="center"/>
        <w:rPr>
          <w:color w:val="000000"/>
          <w:sz w:val="22"/>
          <w:szCs w:val="22"/>
        </w:rPr>
      </w:pPr>
      <w:r>
        <w:rPr>
          <w:color w:val="000000"/>
          <w:sz w:val="22"/>
          <w:szCs w:val="22"/>
        </w:rPr>
      </w:r>
    </w:p>
    <w:p>
      <w:pPr>
        <w:pStyle w:val="Normal"/>
        <w:widowControl w:val="false"/>
        <w:jc w:val="both"/>
        <w:rPr/>
      </w:pPr>
      <w:r>
        <w:rPr>
          <w:color w:val="000000"/>
          <w:sz w:val="22"/>
          <w:szCs w:val="22"/>
        </w:rPr>
        <w:t>на предоставление услуги "</w:t>
      </w:r>
      <w:r>
        <w:rPr>
          <w:sz w:val="22"/>
          <w:szCs w:val="22"/>
        </w:rPr>
        <w:t>Виртуальная АТС</w:t>
      </w:r>
      <w:r>
        <w:rPr>
          <w:color w:val="000000"/>
          <w:sz w:val="22"/>
          <w:szCs w:val="22"/>
        </w:rPr>
        <w:t>" для нужд Главного у</w:t>
      </w:r>
      <w:r>
        <w:rPr>
          <w:bCs/>
          <w:sz w:val="22"/>
          <w:szCs w:val="22"/>
        </w:rPr>
        <w:t>правления Федеральной службы судебных приставов по Республике Башкортостан</w:t>
      </w:r>
    </w:p>
    <w:p>
      <w:pPr>
        <w:pStyle w:val="Normal"/>
        <w:jc w:val="both"/>
        <w:rPr/>
      </w:pPr>
      <w:r>
        <w:rPr>
          <w:b/>
          <w:sz w:val="22"/>
          <w:szCs w:val="22"/>
        </w:rPr>
        <w:t>г. Уфа</w:t>
        <w:tab/>
        <w:tab/>
        <w:tab/>
        <w:tab/>
        <w:tab/>
        <w:t xml:space="preserve"> </w:t>
        <w:tab/>
        <w:tab/>
        <w:tab/>
        <w:tab/>
        <w:t xml:space="preserve">                     </w:t>
      </w:r>
    </w:p>
    <w:p>
      <w:pPr>
        <w:pStyle w:val="Normal"/>
        <w:rPr>
          <w:b/>
          <w:bCs/>
          <w:sz w:val="20"/>
          <w:szCs w:val="20"/>
        </w:rPr>
      </w:pPr>
      <w:r>
        <w:rPr>
          <w:b/>
          <w:bCs/>
          <w:sz w:val="20"/>
          <w:szCs w:val="20"/>
        </w:rPr>
        <w:t>1. Сведения об Абоненте и выделенных номерах для доступа к услуге «Виртуальная АТС»</w:t>
      </w:r>
    </w:p>
    <w:tbl>
      <w:tblPr>
        <w:tblW w:w="1034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1982"/>
        <w:gridCol w:w="3120"/>
        <w:gridCol w:w="123"/>
        <w:gridCol w:w="236"/>
        <w:gridCol w:w="2618"/>
        <w:gridCol w:w="2268"/>
      </w:tblGrid>
      <w:tr>
        <w:trPr>
          <w:trHeight w:val="270" w:hRule="exact"/>
        </w:trPr>
        <w:tc>
          <w:tcPr>
            <w:tcW w:w="5225" w:type="dxa"/>
            <w:gridSpan w:val="3"/>
            <w:tcBorders>
              <w:bottom w:val="single" w:sz="8" w:space="0" w:color="000000"/>
            </w:tcBorders>
            <w:shd w:color="auto" w:fill="auto" w:val="clear"/>
            <w:vAlign w:val="center"/>
          </w:tcPr>
          <w:p>
            <w:pPr>
              <w:pStyle w:val="Normal"/>
              <w:rPr>
                <w:b/>
                <w:bCs/>
                <w:sz w:val="20"/>
                <w:szCs w:val="20"/>
              </w:rPr>
            </w:pPr>
            <w:r>
              <w:rPr>
                <w:b/>
                <w:bCs/>
                <w:sz w:val="20"/>
                <w:szCs w:val="20"/>
              </w:rPr>
            </w:r>
          </w:p>
        </w:tc>
        <w:tc>
          <w:tcPr>
            <w:tcW w:w="236" w:type="dxa"/>
            <w:tcBorders>
              <w:bottom w:val="single" w:sz="8" w:space="0" w:color="000000"/>
            </w:tcBorders>
            <w:shd w:color="auto" w:fill="auto" w:val="clear"/>
            <w:vAlign w:val="bottom"/>
          </w:tcPr>
          <w:p>
            <w:pPr>
              <w:pStyle w:val="Normal"/>
              <w:ind w:firstLine="201"/>
              <w:rPr>
                <w:b/>
                <w:bCs/>
                <w:sz w:val="20"/>
                <w:szCs w:val="20"/>
              </w:rPr>
            </w:pPr>
            <w:r>
              <w:rPr>
                <w:b/>
                <w:bCs/>
                <w:sz w:val="20"/>
                <w:szCs w:val="20"/>
              </w:rPr>
            </w:r>
          </w:p>
        </w:tc>
        <w:tc>
          <w:tcPr>
            <w:tcW w:w="2618" w:type="dxa"/>
            <w:tcBorders>
              <w:bottom w:val="single" w:sz="8" w:space="0" w:color="000000"/>
            </w:tcBorders>
            <w:shd w:color="auto" w:fill="auto" w:val="clear"/>
            <w:vAlign w:val="bottom"/>
          </w:tcPr>
          <w:p>
            <w:pPr>
              <w:pStyle w:val="Normal"/>
              <w:rPr>
                <w:sz w:val="20"/>
                <w:szCs w:val="20"/>
              </w:rPr>
            </w:pPr>
            <w:r>
              <w:rPr>
                <w:sz w:val="20"/>
                <w:szCs w:val="20"/>
              </w:rPr>
            </w:r>
          </w:p>
        </w:tc>
        <w:tc>
          <w:tcPr>
            <w:tcW w:w="2268" w:type="dxa"/>
            <w:tcBorders>
              <w:bottom w:val="single" w:sz="8" w:space="0" w:color="000000"/>
            </w:tcBorders>
            <w:shd w:color="auto" w:fill="auto" w:val="clear"/>
            <w:vAlign w:val="bottom"/>
          </w:tcPr>
          <w:p>
            <w:pPr>
              <w:pStyle w:val="Normal"/>
              <w:rPr>
                <w:sz w:val="20"/>
                <w:szCs w:val="20"/>
              </w:rPr>
            </w:pPr>
            <w:r>
              <w:rPr>
                <w:sz w:val="20"/>
                <w:szCs w:val="20"/>
              </w:rPr>
            </w:r>
          </w:p>
        </w:tc>
      </w:tr>
      <w:tr>
        <w:trPr>
          <w:trHeight w:val="525" w:hRule="atLeast"/>
        </w:trPr>
        <w:tc>
          <w:tcPr>
            <w:tcW w:w="1982"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b/>
                <w:sz w:val="20"/>
                <w:szCs w:val="20"/>
              </w:rPr>
            </w:pPr>
            <w:r>
              <w:rPr>
                <w:b/>
                <w:sz w:val="20"/>
                <w:szCs w:val="20"/>
              </w:rPr>
              <w:t>Организация</w:t>
            </w:r>
          </w:p>
        </w:tc>
        <w:tc>
          <w:tcPr>
            <w:tcW w:w="3120"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sz w:val="20"/>
                <w:szCs w:val="20"/>
              </w:rPr>
            </w:pPr>
            <w:r>
              <w:rPr>
                <w:bCs/>
                <w:sz w:val="22"/>
                <w:szCs w:val="22"/>
              </w:rPr>
              <w:br/>
              <w:t>Главное управление Федеральной службы судебных приставов по Республике Башкортостан</w:t>
            </w:r>
          </w:p>
        </w:tc>
        <w:tc>
          <w:tcPr>
            <w:tcW w:w="2977" w:type="dxa"/>
            <w:gridSpan w:val="3"/>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b/>
                <w:sz w:val="20"/>
                <w:szCs w:val="20"/>
              </w:rPr>
            </w:pPr>
            <w:r>
              <w:rPr>
                <w:b/>
                <w:sz w:val="20"/>
                <w:szCs w:val="20"/>
              </w:rPr>
              <w:t>Абонентский номер в коде АВС</w:t>
            </w:r>
          </w:p>
        </w:tc>
        <w:tc>
          <w:tcPr>
            <w:tcW w:w="2268"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sz w:val="20"/>
                <w:szCs w:val="20"/>
                <w:lang w:val="en-US"/>
              </w:rPr>
            </w:pPr>
            <w:r>
              <w:rPr>
                <w:sz w:val="20"/>
                <w:szCs w:val="20"/>
                <w:lang w:val="en-US"/>
              </w:rPr>
              <w:t>______________</w:t>
            </w:r>
          </w:p>
        </w:tc>
      </w:tr>
      <w:tr>
        <w:trPr>
          <w:trHeight w:val="525" w:hRule="atLeast"/>
        </w:trPr>
        <w:tc>
          <w:tcPr>
            <w:tcW w:w="1982"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b/>
                <w:sz w:val="20"/>
                <w:szCs w:val="20"/>
              </w:rPr>
            </w:pPr>
            <w:r>
              <w:rPr>
                <w:b/>
                <w:sz w:val="20"/>
                <w:szCs w:val="20"/>
              </w:rPr>
              <w:t>Контактное лицо (ФИО)</w:t>
            </w:r>
          </w:p>
        </w:tc>
        <w:tc>
          <w:tcPr>
            <w:tcW w:w="3120"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76"/>
              <w:rPr>
                <w:rFonts w:eastAsia="Calibri"/>
                <w:sz w:val="20"/>
                <w:szCs w:val="20"/>
                <w:lang w:eastAsia="en-US"/>
              </w:rPr>
            </w:pPr>
            <w:r>
              <w:rPr>
                <w:rFonts w:eastAsia="Calibri"/>
                <w:sz w:val="20"/>
                <w:szCs w:val="20"/>
                <w:lang w:eastAsia="en-US"/>
              </w:rPr>
              <w:t>Насыров Равиль</w:t>
            </w:r>
          </w:p>
        </w:tc>
        <w:tc>
          <w:tcPr>
            <w:tcW w:w="2977" w:type="dxa"/>
            <w:gridSpan w:val="3"/>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b/>
                <w:sz w:val="20"/>
                <w:szCs w:val="20"/>
              </w:rPr>
            </w:pPr>
            <w:r>
              <w:rPr>
                <w:b/>
                <w:sz w:val="20"/>
                <w:szCs w:val="20"/>
              </w:rPr>
              <w:t>Категория номера в коде АВС</w:t>
            </w:r>
          </w:p>
        </w:tc>
        <w:tc>
          <w:tcPr>
            <w:tcW w:w="2268"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sz w:val="20"/>
                <w:szCs w:val="20"/>
              </w:rPr>
            </w:pPr>
            <w:r>
              <w:rPr>
                <w:sz w:val="20"/>
                <w:szCs w:val="20"/>
              </w:rPr>
              <w:t>без категории</w:t>
            </w:r>
          </w:p>
        </w:tc>
      </w:tr>
      <w:tr>
        <w:trPr>
          <w:trHeight w:val="525" w:hRule="atLeast"/>
        </w:trPr>
        <w:tc>
          <w:tcPr>
            <w:tcW w:w="1982"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b/>
                <w:sz w:val="20"/>
                <w:szCs w:val="20"/>
              </w:rPr>
            </w:pPr>
            <w:r>
              <w:rPr>
                <w:b/>
                <w:sz w:val="20"/>
                <w:szCs w:val="20"/>
              </w:rPr>
              <w:t>Контактный телефон</w:t>
            </w:r>
          </w:p>
        </w:tc>
        <w:tc>
          <w:tcPr>
            <w:tcW w:w="3120"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sz w:val="20"/>
                <w:szCs w:val="20"/>
              </w:rPr>
            </w:pPr>
            <w:r>
              <w:rPr>
                <w:sz w:val="20"/>
                <w:szCs w:val="20"/>
              </w:rPr>
              <w:t>+79174623777</w:t>
            </w:r>
          </w:p>
        </w:tc>
        <w:tc>
          <w:tcPr>
            <w:tcW w:w="2977" w:type="dxa"/>
            <w:gridSpan w:val="3"/>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b/>
                <w:sz w:val="20"/>
                <w:szCs w:val="20"/>
              </w:rPr>
            </w:pPr>
            <w:r>
              <w:rPr>
                <w:b/>
                <w:sz w:val="20"/>
                <w:szCs w:val="20"/>
              </w:rPr>
              <w:t>Абонентский номер в коде 8-800</w:t>
            </w:r>
          </w:p>
        </w:tc>
        <w:tc>
          <w:tcPr>
            <w:tcW w:w="2268"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sz w:val="20"/>
                <w:szCs w:val="20"/>
              </w:rPr>
            </w:pPr>
            <w:r>
              <w:rPr>
                <w:sz w:val="20"/>
                <w:szCs w:val="20"/>
              </w:rPr>
              <w:t>-</w:t>
            </w:r>
          </w:p>
        </w:tc>
      </w:tr>
      <w:tr>
        <w:trPr>
          <w:trHeight w:val="525" w:hRule="atLeast"/>
        </w:trPr>
        <w:tc>
          <w:tcPr>
            <w:tcW w:w="1982"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b/>
                <w:sz w:val="20"/>
                <w:szCs w:val="20"/>
              </w:rPr>
            </w:pPr>
            <w:r>
              <w:rPr>
                <w:b/>
                <w:sz w:val="20"/>
                <w:szCs w:val="20"/>
              </w:rPr>
              <w:t>Контактный e-mail</w:t>
            </w:r>
          </w:p>
        </w:tc>
        <w:tc>
          <w:tcPr>
            <w:tcW w:w="3120"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pPr>
            <w:hyperlink r:id="rId3">
              <w:r>
                <w:rPr>
                  <w:rStyle w:val="Hyperlink"/>
                  <w:rFonts w:ascii="Arial" w:hAnsi="Arial"/>
                  <w:sz w:val="20"/>
                  <w:szCs w:val="20"/>
                  <w:lang w:val="en-US"/>
                </w:rPr>
                <w:t>it</w:t>
              </w:r>
              <w:r>
                <w:rPr>
                  <w:rStyle w:val="Hyperlink"/>
                  <w:rFonts w:ascii="Arial" w:hAnsi="Arial"/>
                  <w:sz w:val="20"/>
                  <w:szCs w:val="20"/>
                </w:rPr>
                <w:t>@</w:t>
              </w:r>
              <w:r>
                <w:rPr>
                  <w:rStyle w:val="Hyperlink"/>
                  <w:rFonts w:ascii="Arial" w:hAnsi="Arial"/>
                  <w:sz w:val="20"/>
                  <w:szCs w:val="20"/>
                  <w:lang w:val="en-US"/>
                </w:rPr>
                <w:t>r</w:t>
              </w:r>
              <w:r>
                <w:rPr>
                  <w:rStyle w:val="Hyperlink"/>
                  <w:rFonts w:ascii="Arial" w:hAnsi="Arial"/>
                  <w:sz w:val="20"/>
                  <w:szCs w:val="20"/>
                </w:rPr>
                <w:t>02.</w:t>
              </w:r>
              <w:r>
                <w:rPr>
                  <w:rStyle w:val="Hyperlink"/>
                  <w:rFonts w:ascii="Arial" w:hAnsi="Arial"/>
                  <w:sz w:val="20"/>
                  <w:szCs w:val="20"/>
                  <w:lang w:val="en-US"/>
                </w:rPr>
                <w:t>fssp</w:t>
              </w:r>
              <w:r>
                <w:rPr>
                  <w:rStyle w:val="Hyperlink"/>
                  <w:rFonts w:ascii="Arial" w:hAnsi="Arial"/>
                  <w:sz w:val="20"/>
                  <w:szCs w:val="20"/>
                </w:rPr>
                <w:t>.</w:t>
              </w:r>
              <w:r>
                <w:rPr>
                  <w:rStyle w:val="Hyperlink"/>
                  <w:rFonts w:ascii="Arial" w:hAnsi="Arial"/>
                  <w:sz w:val="20"/>
                  <w:szCs w:val="20"/>
                  <w:lang w:val="en-US"/>
                </w:rPr>
                <w:t>gov</w:t>
              </w:r>
              <w:r>
                <w:rPr>
                  <w:rStyle w:val="Hyperlink"/>
                  <w:rFonts w:ascii="Arial" w:hAnsi="Arial"/>
                  <w:sz w:val="20"/>
                  <w:szCs w:val="20"/>
                </w:rPr>
                <w:t>.</w:t>
              </w:r>
              <w:r>
                <w:rPr>
                  <w:rStyle w:val="Hyperlink"/>
                  <w:rFonts w:ascii="Arial" w:hAnsi="Arial"/>
                  <w:sz w:val="20"/>
                  <w:szCs w:val="20"/>
                  <w:lang w:val="en-US"/>
                </w:rPr>
                <w:t>ru</w:t>
              </w:r>
            </w:hyperlink>
          </w:p>
        </w:tc>
        <w:tc>
          <w:tcPr>
            <w:tcW w:w="2977" w:type="dxa"/>
            <w:gridSpan w:val="3"/>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b/>
                <w:sz w:val="20"/>
                <w:szCs w:val="20"/>
              </w:rPr>
            </w:pPr>
            <w:r>
              <w:rPr>
                <w:b/>
                <w:sz w:val="20"/>
                <w:szCs w:val="20"/>
              </w:rPr>
              <w:t>Категория номера в коде 8-800</w:t>
            </w:r>
          </w:p>
        </w:tc>
        <w:tc>
          <w:tcPr>
            <w:tcW w:w="2268"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sz w:val="20"/>
                <w:szCs w:val="20"/>
              </w:rPr>
            </w:pPr>
            <w:r>
              <w:rPr>
                <w:sz w:val="20"/>
                <w:szCs w:val="20"/>
              </w:rPr>
              <w:t>-</w:t>
            </w:r>
          </w:p>
        </w:tc>
      </w:tr>
      <w:tr>
        <w:trPr>
          <w:trHeight w:val="255" w:hRule="atLeast"/>
        </w:trPr>
        <w:tc>
          <w:tcPr>
            <w:tcW w:w="1982"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b/>
                <w:sz w:val="20"/>
                <w:szCs w:val="20"/>
              </w:rPr>
            </w:pPr>
            <w:r>
              <w:rPr>
                <w:b/>
                <w:sz w:val="20"/>
                <w:szCs w:val="20"/>
              </w:rPr>
              <w:t>Лицевой счет</w:t>
            </w:r>
          </w:p>
        </w:tc>
        <w:tc>
          <w:tcPr>
            <w:tcW w:w="3120"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before="40" w:after="40"/>
              <w:rPr>
                <w:sz w:val="20"/>
                <w:szCs w:val="20"/>
                <w:lang w:val="en-US"/>
              </w:rPr>
            </w:pPr>
            <w:r>
              <w:rPr>
                <w:sz w:val="20"/>
                <w:szCs w:val="20"/>
                <w:lang w:val="en-US"/>
              </w:rPr>
              <w:t>___________________</w:t>
            </w:r>
          </w:p>
        </w:tc>
        <w:tc>
          <w:tcPr>
            <w:tcW w:w="2977" w:type="dxa"/>
            <w:gridSpan w:val="3"/>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b/>
                <w:sz w:val="20"/>
                <w:szCs w:val="20"/>
              </w:rPr>
            </w:pPr>
            <w:r>
              <w:rPr>
                <w:b/>
                <w:sz w:val="20"/>
                <w:szCs w:val="20"/>
              </w:rPr>
              <w:t>Интерфейс на оборудовании ПОЛЬЗОВАТЕЛЯ:</w:t>
            </w:r>
          </w:p>
        </w:tc>
        <w:tc>
          <w:tcPr>
            <w:tcW w:w="2268"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sz w:val="20"/>
                <w:szCs w:val="20"/>
              </w:rPr>
            </w:pPr>
            <w:r>
              <w:rPr>
                <w:sz w:val="20"/>
                <w:szCs w:val="20"/>
              </w:rPr>
              <w:t>Ethernet</w:t>
            </w:r>
          </w:p>
        </w:tc>
      </w:tr>
      <w:tr>
        <w:trPr>
          <w:trHeight w:val="270" w:hRule="atLeast"/>
        </w:trPr>
        <w:tc>
          <w:tcPr>
            <w:tcW w:w="1982" w:type="dxa"/>
            <w:vMerge w:val="continue"/>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b/>
                <w:sz w:val="20"/>
                <w:szCs w:val="20"/>
              </w:rPr>
            </w:pPr>
            <w:r>
              <w:rPr>
                <w:b/>
                <w:sz w:val="20"/>
                <w:szCs w:val="20"/>
              </w:rPr>
            </w:r>
          </w:p>
        </w:tc>
        <w:tc>
          <w:tcPr>
            <w:tcW w:w="3120" w:type="dxa"/>
            <w:vMerge w:val="continue"/>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rFonts w:ascii="Arial" w:hAnsi="Arial"/>
                <w:sz w:val="20"/>
                <w:szCs w:val="20"/>
              </w:rPr>
            </w:pPr>
            <w:r>
              <w:rPr>
                <w:rFonts w:ascii="Arial" w:hAnsi="Arial"/>
                <w:sz w:val="20"/>
                <w:szCs w:val="20"/>
              </w:rPr>
            </w:r>
          </w:p>
        </w:tc>
        <w:tc>
          <w:tcPr>
            <w:tcW w:w="2977" w:type="dxa"/>
            <w:gridSpan w:val="3"/>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sz w:val="20"/>
                <w:szCs w:val="20"/>
              </w:rPr>
            </w:pPr>
            <w:r>
              <w:rPr>
                <w:sz w:val="20"/>
                <w:szCs w:val="20"/>
                <w:lang w:val="en-US"/>
              </w:rPr>
              <w:t>SIP</w:t>
            </w:r>
            <w:r>
              <w:rPr>
                <w:sz w:val="20"/>
                <w:szCs w:val="20"/>
              </w:rPr>
              <w:t xml:space="preserve"> - протокол:</w:t>
            </w:r>
          </w:p>
        </w:tc>
        <w:tc>
          <w:tcPr>
            <w:tcW w:w="2268"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sz w:val="20"/>
                <w:szCs w:val="20"/>
                <w:lang w:val="en-US"/>
              </w:rPr>
            </w:pPr>
            <w:r>
              <w:rPr>
                <w:sz w:val="20"/>
                <w:szCs w:val="20"/>
                <w:lang w:val="en-US"/>
              </w:rPr>
              <w:t>_________________</w:t>
            </w:r>
          </w:p>
        </w:tc>
      </w:tr>
      <w:tr>
        <w:trPr>
          <w:trHeight w:val="403" w:hRule="atLeast"/>
        </w:trPr>
        <w:tc>
          <w:tcPr>
            <w:tcW w:w="1982"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b/>
                <w:sz w:val="20"/>
                <w:szCs w:val="20"/>
              </w:rPr>
            </w:pPr>
            <w:r>
              <w:rPr>
                <w:b/>
                <w:sz w:val="20"/>
                <w:szCs w:val="20"/>
              </w:rPr>
              <w:t>Адрес оказания Услуги</w:t>
            </w:r>
          </w:p>
        </w:tc>
        <w:tc>
          <w:tcPr>
            <w:tcW w:w="8365" w:type="dxa"/>
            <w:gridSpan w:val="5"/>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sz w:val="20"/>
                <w:szCs w:val="20"/>
              </w:rPr>
            </w:pPr>
            <w:r>
              <w:rPr>
                <w:bCs/>
                <w:sz w:val="20"/>
                <w:szCs w:val="20"/>
              </w:rPr>
              <w:t>РБ, г. Уфа, ул. Цюрупы, 95</w:t>
            </w:r>
          </w:p>
        </w:tc>
      </w:tr>
    </w:tbl>
    <w:p>
      <w:pPr>
        <w:pStyle w:val="Normal"/>
        <w:rPr>
          <w:b/>
          <w:bCs/>
          <w:sz w:val="20"/>
          <w:szCs w:val="20"/>
        </w:rPr>
      </w:pPr>
      <w:r>
        <w:rPr>
          <w:b/>
          <w:bCs/>
          <w:sz w:val="20"/>
          <w:szCs w:val="20"/>
        </w:rPr>
      </w:r>
    </w:p>
    <w:p>
      <w:pPr>
        <w:pStyle w:val="Normal"/>
        <w:rPr/>
      </w:pPr>
      <w:r>
        <w:rPr>
          <w:b/>
          <w:bCs/>
          <w:sz w:val="20"/>
          <w:szCs w:val="20"/>
        </w:rPr>
        <w:t>2. Тарифы на услугу «Виртуальная АТС»:</w:t>
      </w:r>
    </w:p>
    <w:p>
      <w:pPr>
        <w:pStyle w:val="Normal"/>
        <w:rPr/>
      </w:pPr>
      <w:r>
        <w:rPr>
          <w:b/>
          <w:bCs/>
          <w:sz w:val="20"/>
          <w:szCs w:val="20"/>
        </w:rPr>
        <w:t>Система оплаты Услуги:</w:t>
      </w:r>
      <w:r>
        <w:rPr>
          <w:bCs/>
          <w:sz w:val="20"/>
          <w:szCs w:val="20"/>
        </w:rPr>
        <w:t xml:space="preserve"> авансовая/с отсрочкой платежа</w:t>
      </w:r>
    </w:p>
    <w:p>
      <w:pPr>
        <w:pStyle w:val="Normal"/>
        <w:widowControl w:val="false"/>
        <w:ind w:firstLine="567"/>
        <w:rPr>
          <w:b/>
          <w:bCs/>
          <w:color w:val="000000"/>
          <w:sz w:val="22"/>
          <w:szCs w:val="22"/>
        </w:rPr>
      </w:pPr>
      <w:r>
        <w:rPr>
          <w:b/>
          <w:bCs/>
          <w:color w:val="000000"/>
          <w:sz w:val="22"/>
          <w:szCs w:val="22"/>
        </w:rPr>
      </w:r>
    </w:p>
    <w:tbl>
      <w:tblPr>
        <w:tblW w:w="10242" w:type="dxa"/>
        <w:jc w:val="left"/>
        <w:tblInd w:w="108" w:type="dxa"/>
        <w:tblLayout w:type="fixed"/>
        <w:tblCellMar>
          <w:top w:w="0" w:type="dxa"/>
          <w:left w:w="98" w:type="dxa"/>
          <w:bottom w:w="0" w:type="dxa"/>
          <w:right w:w="108" w:type="dxa"/>
        </w:tblCellMar>
        <w:tblLook w:val="04a0" w:noHBand="0" w:noVBand="1" w:firstColumn="1" w:lastRow="0" w:lastColumn="0" w:firstRow="1"/>
      </w:tblPr>
      <w:tblGrid>
        <w:gridCol w:w="444"/>
        <w:gridCol w:w="6864"/>
        <w:gridCol w:w="1143"/>
        <w:gridCol w:w="758"/>
        <w:gridCol w:w="1033"/>
      </w:tblGrid>
      <w:tr>
        <w:trPr>
          <w:trHeight w:val="255" w:hRule="atLeast"/>
        </w:trPr>
        <w:tc>
          <w:tcPr>
            <w:tcW w:w="444"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pPr>
            <w:r>
              <w:rPr>
                <w:b/>
                <w:bCs/>
                <w:sz w:val="20"/>
                <w:szCs w:val="20"/>
              </w:rPr>
              <w:t>№</w:t>
            </w:r>
          </w:p>
        </w:tc>
        <w:tc>
          <w:tcPr>
            <w:tcW w:w="6864"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pPr>
            <w:r>
              <w:rPr>
                <w:b/>
                <w:bCs/>
                <w:sz w:val="20"/>
                <w:szCs w:val="20"/>
              </w:rPr>
              <w:t>Платежи</w:t>
            </w:r>
          </w:p>
        </w:tc>
        <w:tc>
          <w:tcPr>
            <w:tcW w:w="1143"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pPr>
            <w:r>
              <w:rPr>
                <w:b/>
                <w:bCs/>
                <w:sz w:val="20"/>
                <w:szCs w:val="20"/>
              </w:rPr>
              <w:t>Тариф</w:t>
            </w:r>
          </w:p>
        </w:tc>
        <w:tc>
          <w:tcPr>
            <w:tcW w:w="758"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pPr>
            <w:r>
              <w:rPr>
                <w:b/>
                <w:bCs/>
                <w:sz w:val="20"/>
                <w:szCs w:val="20"/>
              </w:rPr>
              <w:t>Кол-во услуг, шт.</w:t>
            </w:r>
          </w:p>
        </w:tc>
        <w:tc>
          <w:tcPr>
            <w:tcW w:w="1033"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pPr>
            <w:r>
              <w:rPr>
                <w:b/>
                <w:bCs/>
                <w:sz w:val="20"/>
                <w:szCs w:val="20"/>
              </w:rPr>
              <w:t>Всего</w:t>
            </w:r>
          </w:p>
        </w:tc>
      </w:tr>
      <w:tr>
        <w:trPr>
          <w:trHeight w:val="270" w:hRule="atLeast"/>
        </w:trPr>
        <w:tc>
          <w:tcPr>
            <w:tcW w:w="444" w:type="dxa"/>
            <w:vMerge w:val="continue"/>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b/>
                <w:bCs/>
                <w:sz w:val="20"/>
                <w:szCs w:val="20"/>
              </w:rPr>
            </w:pPr>
            <w:r>
              <w:rPr>
                <w:b/>
                <w:bCs/>
                <w:sz w:val="20"/>
                <w:szCs w:val="20"/>
              </w:rPr>
            </w:r>
          </w:p>
        </w:tc>
        <w:tc>
          <w:tcPr>
            <w:tcW w:w="6864" w:type="dxa"/>
            <w:vMerge w:val="continue"/>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b/>
                <w:bCs/>
                <w:sz w:val="20"/>
                <w:szCs w:val="20"/>
              </w:rPr>
            </w:pPr>
            <w:r>
              <w:rPr>
                <w:b/>
                <w:bCs/>
                <w:sz w:val="20"/>
                <w:szCs w:val="20"/>
              </w:rPr>
            </w:r>
          </w:p>
        </w:tc>
        <w:tc>
          <w:tcPr>
            <w:tcW w:w="1143"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pPr>
            <w:r>
              <w:rPr>
                <w:b/>
                <w:bCs/>
                <w:sz w:val="20"/>
                <w:szCs w:val="20"/>
              </w:rPr>
              <w:t>(с НДС), руб.</w:t>
            </w:r>
          </w:p>
        </w:tc>
        <w:tc>
          <w:tcPr>
            <w:tcW w:w="758" w:type="dxa"/>
            <w:vMerge w:val="continue"/>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b/>
                <w:bCs/>
                <w:sz w:val="20"/>
                <w:szCs w:val="20"/>
              </w:rPr>
            </w:pPr>
            <w:r>
              <w:rPr>
                <w:b/>
                <w:bCs/>
                <w:sz w:val="20"/>
                <w:szCs w:val="20"/>
              </w:rPr>
            </w:r>
          </w:p>
        </w:tc>
        <w:tc>
          <w:tcPr>
            <w:tcW w:w="1033"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pPr>
            <w:r>
              <w:rPr>
                <w:b/>
                <w:bCs/>
                <w:sz w:val="20"/>
                <w:szCs w:val="20"/>
              </w:rPr>
              <w:t>(с НДС), руб.</w:t>
            </w:r>
          </w:p>
        </w:tc>
      </w:tr>
      <w:tr>
        <w:trPr>
          <w:trHeight w:val="309" w:hRule="atLeast"/>
        </w:trPr>
        <w:tc>
          <w:tcPr>
            <w:tcW w:w="10242" w:type="dxa"/>
            <w:gridSpan w:val="5"/>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rPr/>
            </w:pPr>
            <w:r>
              <w:rPr>
                <w:b/>
                <w:bCs/>
                <w:sz w:val="20"/>
                <w:szCs w:val="20"/>
              </w:rPr>
              <w:t>Ежемесячные</w:t>
            </w:r>
          </w:p>
        </w:tc>
      </w:tr>
      <w:tr>
        <w:trPr>
          <w:trHeight w:val="570" w:hRule="atLeast"/>
        </w:trPr>
        <w:tc>
          <w:tcPr>
            <w:tcW w:w="444"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pPr>
            <w:r>
              <w:rPr>
                <w:sz w:val="20"/>
                <w:szCs w:val="20"/>
              </w:rPr>
              <w:t>1</w:t>
            </w:r>
          </w:p>
        </w:tc>
        <w:tc>
          <w:tcPr>
            <w:tcW w:w="6864"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both"/>
              <w:rPr/>
            </w:pPr>
            <w:r>
              <w:rPr>
                <w:sz w:val="20"/>
                <w:szCs w:val="20"/>
              </w:rPr>
              <w:t>Ежемесячная абонентская плата за включенное количество пользователей (30 пользователей) руб./мес</w:t>
            </w:r>
          </w:p>
        </w:tc>
        <w:tc>
          <w:tcPr>
            <w:tcW w:w="1143"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sz w:val="20"/>
                <w:szCs w:val="20"/>
              </w:rPr>
            </w:pPr>
            <w:r>
              <w:rPr>
                <w:sz w:val="20"/>
                <w:szCs w:val="20"/>
              </w:rPr>
              <w:t>101,66</w:t>
            </w:r>
          </w:p>
        </w:tc>
        <w:tc>
          <w:tcPr>
            <w:tcW w:w="758"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sz w:val="20"/>
                <w:szCs w:val="20"/>
              </w:rPr>
            </w:pPr>
            <w:r>
              <w:rPr>
                <w:sz w:val="20"/>
                <w:szCs w:val="20"/>
              </w:rPr>
              <w:t>1</w:t>
            </w:r>
          </w:p>
        </w:tc>
        <w:tc>
          <w:tcPr>
            <w:tcW w:w="1033"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sz w:val="20"/>
                <w:szCs w:val="20"/>
              </w:rPr>
            </w:pPr>
            <w:r>
              <w:rPr>
                <w:sz w:val="20"/>
                <w:szCs w:val="20"/>
              </w:rPr>
              <w:t>101,66</w:t>
            </w:r>
          </w:p>
        </w:tc>
      </w:tr>
      <w:tr>
        <w:trPr>
          <w:trHeight w:val="570" w:hRule="atLeast"/>
        </w:trPr>
        <w:tc>
          <w:tcPr>
            <w:tcW w:w="444"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sz w:val="20"/>
                <w:szCs w:val="20"/>
              </w:rPr>
            </w:pPr>
            <w:r>
              <w:rPr>
                <w:sz w:val="20"/>
                <w:szCs w:val="20"/>
              </w:rPr>
              <w:t>2</w:t>
            </w:r>
          </w:p>
        </w:tc>
        <w:tc>
          <w:tcPr>
            <w:tcW w:w="6864"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both"/>
              <w:rPr>
                <w:sz w:val="20"/>
                <w:szCs w:val="20"/>
              </w:rPr>
            </w:pPr>
            <w:r>
              <w:rPr>
                <w:sz w:val="20"/>
                <w:szCs w:val="20"/>
              </w:rPr>
              <w:t>Ежемесячная абонентская плата за включенное количество пользователей (1 пользователь) руб./мес</w:t>
            </w:r>
          </w:p>
        </w:tc>
        <w:tc>
          <w:tcPr>
            <w:tcW w:w="1143"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sz w:val="20"/>
                <w:szCs w:val="20"/>
              </w:rPr>
            </w:pPr>
            <w:r>
              <w:rPr>
                <w:sz w:val="20"/>
                <w:szCs w:val="20"/>
              </w:rPr>
              <w:t>254,16</w:t>
            </w:r>
          </w:p>
        </w:tc>
        <w:tc>
          <w:tcPr>
            <w:tcW w:w="758"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bCs/>
                <w:sz w:val="20"/>
                <w:szCs w:val="20"/>
              </w:rPr>
            </w:pPr>
            <w:r>
              <w:rPr>
                <w:bCs/>
                <w:sz w:val="20"/>
                <w:szCs w:val="20"/>
              </w:rPr>
              <w:t>1</w:t>
            </w:r>
          </w:p>
        </w:tc>
        <w:tc>
          <w:tcPr>
            <w:tcW w:w="1033"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sz w:val="20"/>
                <w:szCs w:val="20"/>
              </w:rPr>
            </w:pPr>
            <w:r>
              <w:rPr>
                <w:sz w:val="20"/>
                <w:szCs w:val="20"/>
              </w:rPr>
              <w:t>254,16</w:t>
            </w:r>
          </w:p>
        </w:tc>
      </w:tr>
      <w:tr>
        <w:trPr>
          <w:trHeight w:val="570" w:hRule="atLeast"/>
        </w:trPr>
        <w:tc>
          <w:tcPr>
            <w:tcW w:w="444"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pPr>
            <w:r>
              <w:rPr>
                <w:sz w:val="20"/>
                <w:szCs w:val="20"/>
              </w:rPr>
              <w:t>3</w:t>
            </w:r>
          </w:p>
        </w:tc>
        <w:tc>
          <w:tcPr>
            <w:tcW w:w="6864"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both"/>
              <w:rPr/>
            </w:pPr>
            <w:r>
              <w:rPr>
                <w:sz w:val="20"/>
                <w:szCs w:val="20"/>
              </w:rPr>
              <w:t>Стоимость пакета 5000 минут на услугу «Виртуальная АТС»</w:t>
            </w:r>
          </w:p>
        </w:tc>
        <w:tc>
          <w:tcPr>
            <w:tcW w:w="1143"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pPr>
            <w:r>
              <w:rPr>
                <w:sz w:val="20"/>
                <w:szCs w:val="20"/>
              </w:rPr>
              <w:t>7218,34</w:t>
            </w:r>
          </w:p>
        </w:tc>
        <w:tc>
          <w:tcPr>
            <w:tcW w:w="758"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pPr>
            <w:r>
              <w:rPr>
                <w:bCs/>
                <w:sz w:val="20"/>
                <w:szCs w:val="20"/>
              </w:rPr>
              <w:t>1</w:t>
            </w:r>
          </w:p>
        </w:tc>
        <w:tc>
          <w:tcPr>
            <w:tcW w:w="1033"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pPr>
            <w:r>
              <w:rPr>
                <w:sz w:val="20"/>
                <w:szCs w:val="20"/>
              </w:rPr>
              <w:t>7218,34</w:t>
            </w:r>
          </w:p>
        </w:tc>
      </w:tr>
      <w:tr>
        <w:trPr>
          <w:trHeight w:val="570" w:hRule="atLeast"/>
        </w:trPr>
        <w:tc>
          <w:tcPr>
            <w:tcW w:w="7308" w:type="dxa"/>
            <w:gridSpan w:val="2"/>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right"/>
              <w:rPr/>
            </w:pPr>
            <w:r>
              <w:rPr>
                <w:b/>
                <w:bCs/>
                <w:sz w:val="20"/>
                <w:szCs w:val="20"/>
              </w:rPr>
              <w:t>Итого (ежемесячные платежи):</w:t>
            </w:r>
          </w:p>
        </w:tc>
        <w:tc>
          <w:tcPr>
            <w:tcW w:w="2934" w:type="dxa"/>
            <w:gridSpan w:val="3"/>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pPr>
            <w:bookmarkStart w:id="5" w:name="_Hlk946093471"/>
            <w:bookmarkEnd w:id="5"/>
            <w:r>
              <w:rPr>
                <w:sz w:val="20"/>
                <w:szCs w:val="20"/>
              </w:rPr>
              <w:t>7574,16</w:t>
            </w:r>
          </w:p>
        </w:tc>
      </w:tr>
    </w:tbl>
    <w:p>
      <w:pPr>
        <w:pStyle w:val="Normal"/>
        <w:widowControl w:val="false"/>
        <w:ind w:firstLine="567"/>
        <w:rPr>
          <w:b/>
          <w:bCs/>
          <w:color w:val="000000"/>
          <w:sz w:val="22"/>
          <w:szCs w:val="22"/>
        </w:rPr>
      </w:pPr>
      <w:r>
        <w:rPr>
          <w:b/>
          <w:bCs/>
          <w:color w:val="000000"/>
          <w:sz w:val="22"/>
          <w:szCs w:val="22"/>
        </w:rPr>
      </w:r>
    </w:p>
    <w:p>
      <w:pPr>
        <w:pStyle w:val="Normal"/>
        <w:widowControl w:val="false"/>
        <w:ind w:firstLine="567"/>
        <w:rPr>
          <w:b/>
          <w:bCs/>
          <w:color w:val="000000"/>
          <w:sz w:val="22"/>
          <w:szCs w:val="22"/>
        </w:rPr>
      </w:pPr>
      <w:r>
        <w:rPr>
          <w:b/>
          <w:bCs/>
          <w:color w:val="000000"/>
          <w:sz w:val="22"/>
          <w:szCs w:val="22"/>
        </w:rPr>
      </w:r>
    </w:p>
    <w:tbl>
      <w:tblPr>
        <w:tblW w:w="8647"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5069"/>
        <w:gridCol w:w="3577"/>
      </w:tblGrid>
      <w:tr>
        <w:trPr>
          <w:trHeight w:val="2355" w:hRule="atLeast"/>
        </w:trPr>
        <w:tc>
          <w:tcPr>
            <w:tcW w:w="5069" w:type="dxa"/>
            <w:tcBorders/>
            <w:shd w:color="auto" w:fill="auto" w:val="clear"/>
          </w:tcPr>
          <w:p>
            <w:pPr>
              <w:pStyle w:val="Normal"/>
              <w:rPr>
                <w:sz w:val="22"/>
                <w:szCs w:val="22"/>
              </w:rPr>
            </w:pPr>
            <w:r>
              <w:rPr>
                <w:sz w:val="22"/>
                <w:szCs w:val="22"/>
              </w:rPr>
            </w:r>
          </w:p>
          <w:p>
            <w:pPr>
              <w:pStyle w:val="Normal"/>
              <w:rPr>
                <w:bCs/>
                <w:sz w:val="22"/>
                <w:szCs w:val="22"/>
              </w:rPr>
            </w:pPr>
            <w:r>
              <w:rPr>
                <w:bCs/>
                <w:sz w:val="22"/>
                <w:szCs w:val="22"/>
              </w:rPr>
              <w:t>АГЕНТ</w:t>
            </w:r>
          </w:p>
          <w:p>
            <w:pPr>
              <w:pStyle w:val="Normal"/>
              <w:rPr>
                <w:bCs/>
                <w:sz w:val="22"/>
                <w:szCs w:val="22"/>
              </w:rPr>
            </w:pPr>
            <w:r>
              <w:rPr>
                <w:bCs/>
                <w:sz w:val="22"/>
                <w:szCs w:val="22"/>
              </w:rPr>
            </w:r>
          </w:p>
          <w:p>
            <w:pPr>
              <w:pStyle w:val="Normal"/>
              <w:rPr>
                <w:bCs/>
                <w:sz w:val="22"/>
                <w:szCs w:val="22"/>
              </w:rPr>
            </w:pPr>
            <w:r>
              <w:rPr>
                <w:bCs/>
                <w:sz w:val="22"/>
                <w:szCs w:val="22"/>
              </w:rPr>
              <w:t>Менеджер по работе с государственными заказчиками ПАО «Башинформсвязь»</w:t>
            </w:r>
          </w:p>
          <w:p>
            <w:pPr>
              <w:pStyle w:val="Normal"/>
              <w:rPr>
                <w:bCs/>
                <w:sz w:val="22"/>
                <w:szCs w:val="22"/>
              </w:rPr>
            </w:pPr>
            <w:r>
              <w:rPr>
                <w:bCs/>
                <w:sz w:val="22"/>
                <w:szCs w:val="22"/>
              </w:rPr>
            </w:r>
          </w:p>
          <w:p>
            <w:pPr>
              <w:pStyle w:val="Normal"/>
              <w:rPr>
                <w:bCs/>
                <w:sz w:val="22"/>
                <w:szCs w:val="22"/>
              </w:rPr>
            </w:pPr>
            <w:r>
              <w:rPr>
                <w:bCs/>
                <w:sz w:val="22"/>
                <w:szCs w:val="22"/>
              </w:rPr>
            </w:r>
          </w:p>
          <w:p>
            <w:pPr>
              <w:pStyle w:val="Normal"/>
              <w:rPr>
                <w:bCs/>
                <w:sz w:val="22"/>
                <w:szCs w:val="22"/>
              </w:rPr>
            </w:pPr>
            <w:r>
              <w:rPr>
                <w:bCs/>
                <w:sz w:val="22"/>
                <w:szCs w:val="22"/>
              </w:rPr>
            </w:r>
          </w:p>
          <w:p>
            <w:pPr>
              <w:pStyle w:val="Normal"/>
              <w:rPr>
                <w:bCs/>
                <w:sz w:val="22"/>
                <w:szCs w:val="22"/>
              </w:rPr>
            </w:pPr>
            <w:r>
              <w:rPr>
                <w:bCs/>
                <w:sz w:val="22"/>
                <w:szCs w:val="22"/>
              </w:rPr>
            </w:r>
          </w:p>
          <w:p>
            <w:pPr>
              <w:pStyle w:val="Normal"/>
              <w:rPr>
                <w:bCs/>
                <w:sz w:val="22"/>
                <w:szCs w:val="22"/>
              </w:rPr>
            </w:pPr>
            <w:r>
              <w:rPr>
                <w:bCs/>
                <w:sz w:val="22"/>
                <w:szCs w:val="22"/>
              </w:rPr>
            </w:r>
          </w:p>
          <w:p>
            <w:pPr>
              <w:pStyle w:val="Normal"/>
              <w:rPr>
                <w:sz w:val="22"/>
                <w:szCs w:val="22"/>
              </w:rPr>
            </w:pPr>
            <w:r>
              <w:rPr>
                <w:sz w:val="22"/>
                <w:szCs w:val="22"/>
              </w:rPr>
              <w:t xml:space="preserve">___________________/ </w:t>
            </w:r>
            <w:r>
              <w:rPr>
                <w:sz w:val="20"/>
                <w:szCs w:val="20"/>
              </w:rPr>
              <w:t>Д.В.Капишев</w:t>
            </w:r>
            <w:r>
              <w:rPr>
                <w:sz w:val="22"/>
                <w:szCs w:val="22"/>
              </w:rPr>
              <w:t xml:space="preserve"> /</w:t>
            </w:r>
          </w:p>
          <w:p>
            <w:pPr>
              <w:pStyle w:val="Normal"/>
              <w:rPr>
                <w:sz w:val="22"/>
                <w:szCs w:val="22"/>
              </w:rPr>
            </w:pPr>
            <w:r>
              <w:rPr>
                <w:sz w:val="22"/>
                <w:szCs w:val="22"/>
              </w:rPr>
              <w:t xml:space="preserve">        </w:t>
            </w:r>
            <w:r>
              <w:rPr>
                <w:sz w:val="22"/>
                <w:szCs w:val="22"/>
              </w:rPr>
              <w:t>М.П.</w:t>
            </w:r>
          </w:p>
          <w:p>
            <w:pPr>
              <w:pStyle w:val="Normal"/>
              <w:rPr>
                <w:sz w:val="22"/>
                <w:szCs w:val="22"/>
              </w:rPr>
            </w:pPr>
            <w:r>
              <w:rPr>
                <w:sz w:val="22"/>
                <w:szCs w:val="22"/>
              </w:rPr>
            </w:r>
          </w:p>
        </w:tc>
        <w:tc>
          <w:tcPr>
            <w:tcW w:w="3577" w:type="dxa"/>
            <w:tcBorders/>
            <w:shd w:color="auto" w:fill="auto" w:val="clear"/>
          </w:tcPr>
          <w:p>
            <w:pPr>
              <w:pStyle w:val="Normal"/>
              <w:rPr>
                <w:sz w:val="22"/>
                <w:szCs w:val="22"/>
              </w:rPr>
            </w:pPr>
            <w:r>
              <w:rPr>
                <w:sz w:val="22"/>
                <w:szCs w:val="22"/>
              </w:rPr>
            </w:r>
          </w:p>
          <w:p>
            <w:pPr>
              <w:pStyle w:val="Normal"/>
              <w:rPr>
                <w:bCs/>
                <w:sz w:val="22"/>
                <w:szCs w:val="22"/>
              </w:rPr>
            </w:pPr>
            <w:r>
              <w:rPr>
                <w:bCs/>
                <w:sz w:val="22"/>
                <w:szCs w:val="22"/>
              </w:rPr>
              <w:t>ПОЛЬЗОВАТЕЛЬ</w:t>
            </w:r>
          </w:p>
          <w:p>
            <w:pPr>
              <w:pStyle w:val="Normal"/>
              <w:rPr>
                <w:bCs/>
                <w:sz w:val="22"/>
                <w:szCs w:val="22"/>
              </w:rPr>
            </w:pPr>
            <w:r>
              <w:rPr>
                <w:bCs/>
                <w:sz w:val="22"/>
                <w:szCs w:val="22"/>
              </w:rPr>
            </w:r>
          </w:p>
          <w:p>
            <w:pPr>
              <w:pStyle w:val="Normal"/>
              <w:rPr/>
            </w:pPr>
            <w:r>
              <w:rPr>
                <w:bCs/>
                <w:sz w:val="22"/>
                <w:szCs w:val="22"/>
              </w:rPr>
              <w:t>Главное управление Федеральной службы судебных приставов по Республике Башкортостан</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t>_________/ С.Н. Кирюба</w:t>
            </w:r>
            <w:r>
              <w:rPr/>
              <w:t xml:space="preserve"> </w:t>
            </w:r>
            <w:r>
              <w:rPr>
                <w:sz w:val="22"/>
                <w:szCs w:val="22"/>
              </w:rPr>
              <w:t>/</w:t>
            </w:r>
          </w:p>
          <w:p>
            <w:pPr>
              <w:pStyle w:val="Normal"/>
              <w:rPr>
                <w:sz w:val="22"/>
                <w:szCs w:val="22"/>
              </w:rPr>
            </w:pPr>
            <w:r>
              <w:rPr>
                <w:sz w:val="22"/>
                <w:szCs w:val="22"/>
              </w:rPr>
              <w:t>М.П.</w:t>
            </w:r>
          </w:p>
        </w:tc>
      </w:tr>
    </w:tbl>
    <w:p>
      <w:pPr>
        <w:pStyle w:val="Normal"/>
        <w:jc w:val="center"/>
        <w:rPr>
          <w:b/>
        </w:rPr>
      </w:pPr>
      <w:r>
        <w:rPr>
          <w:b/>
        </w:rPr>
      </w:r>
    </w:p>
    <w:p>
      <w:pPr>
        <w:pStyle w:val="Heading1"/>
        <w:rPr/>
      </w:pPr>
      <w:r>
        <w:rPr>
          <w:b/>
          <w:sz w:val="20"/>
          <w:szCs w:val="20"/>
        </w:rPr>
        <w:t>Приложение № 3</w:t>
      </w:r>
    </w:p>
    <w:p>
      <w:pPr>
        <w:pStyle w:val="Normal"/>
        <w:ind w:left="426"/>
        <w:jc w:val="right"/>
        <w:rPr>
          <w:sz w:val="20"/>
          <w:szCs w:val="20"/>
        </w:rPr>
      </w:pPr>
      <w:r>
        <w:rPr>
          <w:sz w:val="20"/>
          <w:szCs w:val="20"/>
        </w:rPr>
        <w:t xml:space="preserve">к Договору </w:t>
      </w:r>
    </w:p>
    <w:p>
      <w:pPr>
        <w:pStyle w:val="Normal"/>
        <w:ind w:left="426"/>
        <w:jc w:val="right"/>
        <w:rPr/>
      </w:pPr>
      <w:r>
        <w:rPr>
          <w:color w:val="000000"/>
          <w:sz w:val="20"/>
          <w:szCs w:val="20"/>
        </w:rPr>
        <w:t xml:space="preserve">№ </w:t>
      </w:r>
      <w:r>
        <w:rPr>
          <w:color w:val="000000"/>
          <w:sz w:val="20"/>
          <w:szCs w:val="20"/>
        </w:rPr>
        <w:t>____________________ от __/__/ 202__ г.</w:t>
      </w:r>
    </w:p>
    <w:p>
      <w:pPr>
        <w:pStyle w:val="Normal"/>
        <w:ind w:left="426"/>
        <w:jc w:val="center"/>
        <w:rPr>
          <w:b/>
        </w:rPr>
      </w:pPr>
      <w:r>
        <w:rPr>
          <w:b/>
        </w:rPr>
      </w:r>
    </w:p>
    <w:p>
      <w:pPr>
        <w:pStyle w:val="Normal"/>
        <w:jc w:val="center"/>
        <w:rPr>
          <w:b/>
        </w:rPr>
      </w:pPr>
      <w:r>
        <w:rPr>
          <w:b/>
        </w:rPr>
        <w:t>АКТ</w:t>
      </w:r>
    </w:p>
    <w:p>
      <w:pPr>
        <w:pStyle w:val="Normal"/>
        <w:jc w:val="center"/>
        <w:rPr>
          <w:b/>
        </w:rPr>
      </w:pPr>
      <w:r>
        <w:rPr>
          <w:b/>
        </w:rPr>
        <w:t>приема-передачи выполненных работ</w:t>
      </w:r>
    </w:p>
    <w:p>
      <w:pPr>
        <w:pStyle w:val="Normal"/>
        <w:jc w:val="center"/>
        <w:rPr/>
      </w:pPr>
      <w:r>
        <w:rPr>
          <w:b/>
        </w:rPr>
        <w:t xml:space="preserve">к Договору </w:t>
      </w:r>
      <w:r>
        <w:rPr>
          <w:b/>
          <w:color w:val="000000"/>
        </w:rPr>
        <w:t>№</w:t>
      </w:r>
      <w:bookmarkStart w:id="6" w:name="docnum5"/>
      <w:bookmarkEnd w:id="6"/>
      <w:r>
        <w:rPr>
          <w:b/>
          <w:color w:val="000000"/>
        </w:rPr>
        <w:t xml:space="preserve"> _________________ от</w:t>
      </w:r>
      <w:bookmarkStart w:id="7" w:name="docdate5"/>
      <w:bookmarkEnd w:id="7"/>
      <w:r>
        <w:rPr>
          <w:b/>
          <w:color w:val="000000"/>
        </w:rPr>
        <w:t xml:space="preserve"> ___._______________________202__г.</w:t>
      </w:r>
    </w:p>
    <w:p>
      <w:pPr>
        <w:pStyle w:val="Normal"/>
        <w:jc w:val="center"/>
        <w:rPr>
          <w:b/>
          <w:sz w:val="22"/>
          <w:szCs w:val="22"/>
          <w:u w:val="single"/>
        </w:rPr>
      </w:pPr>
      <w:r>
        <w:rPr>
          <w:b/>
          <w:sz w:val="22"/>
          <w:szCs w:val="22"/>
          <w:u w:val="single"/>
        </w:rPr>
      </w:r>
    </w:p>
    <w:p>
      <w:pPr>
        <w:pStyle w:val="Normal"/>
        <w:jc w:val="both"/>
        <w:rPr/>
      </w:pPr>
      <w:r>
        <w:rPr>
          <w:b/>
          <w:sz w:val="22"/>
          <w:szCs w:val="22"/>
        </w:rPr>
        <w:t xml:space="preserve">г. </w:t>
      </w:r>
      <w:bookmarkStart w:id="8" w:name="docdate8"/>
      <w:bookmarkEnd w:id="8"/>
      <w:r>
        <w:rPr>
          <w:b/>
          <w:sz w:val="22"/>
          <w:szCs w:val="22"/>
        </w:rPr>
        <w:t>Уфа</w:t>
        <w:tab/>
        <w:tab/>
        <w:tab/>
        <w:tab/>
        <w:tab/>
        <w:tab/>
        <w:tab/>
        <w:tab/>
        <w:tab/>
        <w:t xml:space="preserve">          ___________________ 202__г.</w:t>
      </w:r>
    </w:p>
    <w:p>
      <w:pPr>
        <w:pStyle w:val="Normal"/>
        <w:rPr>
          <w:sz w:val="22"/>
          <w:szCs w:val="22"/>
        </w:rPr>
      </w:pPr>
      <w:r>
        <w:rPr>
          <w:sz w:val="22"/>
          <w:szCs w:val="22"/>
        </w:rPr>
      </w:r>
    </w:p>
    <w:p>
      <w:pPr>
        <w:pStyle w:val="Normal"/>
        <w:rPr>
          <w:sz w:val="22"/>
          <w:szCs w:val="22"/>
        </w:rPr>
      </w:pPr>
      <w:r>
        <w:rPr>
          <w:sz w:val="22"/>
          <w:szCs w:val="22"/>
        </w:rPr>
      </w:r>
    </w:p>
    <w:p>
      <w:pPr>
        <w:pStyle w:val="Normal"/>
        <w:ind w:firstLine="723"/>
        <w:jc w:val="both"/>
        <w:rPr>
          <w:sz w:val="22"/>
          <w:szCs w:val="22"/>
        </w:rPr>
      </w:pPr>
      <w:r>
        <w:rPr>
          <w:sz w:val="22"/>
          <w:szCs w:val="22"/>
        </w:rPr>
        <w:t>Настоящий Акт составлен представителями:</w:t>
      </w:r>
    </w:p>
    <w:p>
      <w:pPr>
        <w:pStyle w:val="Normal"/>
        <w:jc w:val="both"/>
        <w:rPr>
          <w:sz w:val="22"/>
          <w:szCs w:val="22"/>
        </w:rPr>
      </w:pPr>
      <w:r>
        <w:rPr>
          <w:sz w:val="22"/>
          <w:szCs w:val="22"/>
        </w:rPr>
        <w:t>АГЕНТА в лице менеджера по работе с государственными заказчиками Хисматуллина В.Р.,</w:t>
      </w:r>
      <w:bookmarkStart w:id="9" w:name="bispodp_namer2"/>
      <w:bookmarkEnd w:id="9"/>
      <w:r>
        <w:rPr>
          <w:sz w:val="22"/>
          <w:szCs w:val="22"/>
        </w:rPr>
        <w:t xml:space="preserve"> и Пользователя в лице </w:t>
      </w:r>
      <w:bookmarkStart w:id="10" w:name="podpisantr2"/>
      <w:bookmarkEnd w:id="10"/>
      <w:r>
        <w:rPr>
          <w:sz w:val="22"/>
          <w:szCs w:val="22"/>
        </w:rPr>
        <w:t>заместителя главного судебного пристава Республики Башкортостан Кирюбы С.Н.</w:t>
      </w:r>
    </w:p>
    <w:p>
      <w:pPr>
        <w:pStyle w:val="Normal"/>
        <w:jc w:val="both"/>
        <w:rPr>
          <w:sz w:val="22"/>
          <w:szCs w:val="22"/>
        </w:rPr>
      </w:pPr>
      <w:r>
        <w:rPr>
          <w:sz w:val="22"/>
          <w:szCs w:val="22"/>
        </w:rPr>
      </w:r>
    </w:p>
    <w:p>
      <w:pPr>
        <w:pStyle w:val="Normal"/>
        <w:jc w:val="both"/>
        <w:rPr>
          <w:sz w:val="22"/>
          <w:szCs w:val="22"/>
        </w:rPr>
      </w:pPr>
      <w:r>
        <w:rPr>
          <w:sz w:val="22"/>
          <w:szCs w:val="22"/>
        </w:rPr>
        <w:t>о том, что АГЕНТОМ организована Услуга: «Виртуальная АТС».</w:t>
      </w:r>
    </w:p>
    <w:p>
      <w:pPr>
        <w:pStyle w:val="Normal"/>
        <w:jc w:val="both"/>
        <w:rPr>
          <w:sz w:val="22"/>
          <w:szCs w:val="22"/>
        </w:rPr>
      </w:pPr>
      <w:r>
        <w:rPr>
          <w:sz w:val="22"/>
          <w:szCs w:val="22"/>
        </w:rPr>
      </w:r>
    </w:p>
    <w:p>
      <w:pPr>
        <w:pStyle w:val="Normal"/>
        <w:overflowPunct w:val="false"/>
        <w:jc w:val="both"/>
        <w:textAlignment w:val="baseline"/>
        <w:rPr/>
      </w:pPr>
      <w:r>
        <w:rPr>
          <w:sz w:val="22"/>
          <w:szCs w:val="22"/>
        </w:rPr>
        <w:t>Начало предоставления Услуги 01.01.2026 г.</w:t>
      </w:r>
    </w:p>
    <w:p>
      <w:pPr>
        <w:pStyle w:val="Normal"/>
        <w:jc w:val="both"/>
        <w:rPr>
          <w:sz w:val="22"/>
          <w:szCs w:val="22"/>
        </w:rPr>
      </w:pPr>
      <w:r>
        <w:rPr>
          <w:sz w:val="22"/>
          <w:szCs w:val="22"/>
        </w:rPr>
      </w:r>
    </w:p>
    <w:tbl>
      <w:tblPr>
        <w:tblpPr w:vertAnchor="text" w:horzAnchor="text" w:leftFromText="180" w:rightFromText="180" w:tblpX="108" w:tblpY="1"/>
        <w:tblW w:w="10314" w:type="dxa"/>
        <w:jc w:val="left"/>
        <w:tblInd w:w="78" w:type="dxa"/>
        <w:tblLayout w:type="fixed"/>
        <w:tblCellMar>
          <w:top w:w="0" w:type="dxa"/>
          <w:left w:w="78" w:type="dxa"/>
          <w:bottom w:w="0" w:type="dxa"/>
          <w:right w:w="108" w:type="dxa"/>
        </w:tblCellMar>
        <w:tblLook w:val="01e0" w:noHBand="0" w:noVBand="0" w:firstColumn="1" w:lastRow="1" w:lastColumn="1" w:firstRow="1"/>
      </w:tblPr>
      <w:tblGrid>
        <w:gridCol w:w="4678"/>
        <w:gridCol w:w="5635"/>
      </w:tblGrid>
      <w:tr>
        <w:trPr>
          <w:trHeight w:val="1293" w:hRule="atLeast"/>
        </w:trPr>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Footer"/>
              <w:tabs>
                <w:tab w:val="clear" w:pos="4153"/>
                <w:tab w:val="clear" w:pos="8306"/>
              </w:tabs>
              <w:spacing w:before="240" w:after="0"/>
              <w:jc w:val="center"/>
              <w:rPr>
                <w:sz w:val="22"/>
                <w:szCs w:val="22"/>
              </w:rPr>
            </w:pPr>
            <w:r>
              <w:rPr>
                <w:sz w:val="22"/>
                <w:szCs w:val="22"/>
              </w:rPr>
              <w:t>Выделенный(-ые) для предоставления Услуги абонентский(-ие) номер(а)</w:t>
            </w:r>
          </w:p>
        </w:tc>
        <w:tc>
          <w:tcPr>
            <w:tcW w:w="56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Footer"/>
              <w:tabs>
                <w:tab w:val="clear" w:pos="4153"/>
                <w:tab w:val="clear" w:pos="8306"/>
              </w:tabs>
              <w:spacing w:before="240" w:after="0"/>
              <w:jc w:val="center"/>
              <w:rPr>
                <w:sz w:val="22"/>
                <w:szCs w:val="22"/>
              </w:rPr>
            </w:pPr>
            <w:r>
              <w:rPr>
                <w:sz w:val="22"/>
                <w:szCs w:val="22"/>
              </w:rPr>
              <w:t>Адрес Пользователя (место размещения оконечного оборудования)</w:t>
            </w:r>
          </w:p>
        </w:tc>
      </w:tr>
      <w:tr>
        <w:trPr>
          <w:trHeight w:val="443" w:hRule="atLeast"/>
        </w:trPr>
        <w:tc>
          <w:tcPr>
            <w:tcW w:w="4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rFonts w:eastAsia="Calibri"/>
                <w:sz w:val="22"/>
                <w:szCs w:val="22"/>
                <w:lang w:eastAsia="en-US"/>
              </w:rPr>
            </w:pPr>
            <w:bookmarkStart w:id="11" w:name="phones1"/>
            <w:bookmarkEnd w:id="11"/>
            <w:r>
              <w:rPr>
                <w:rFonts w:eastAsia="Calibri"/>
                <w:sz w:val="22"/>
                <w:szCs w:val="22"/>
                <w:lang w:eastAsia="en-US"/>
              </w:rPr>
              <w:t>____________________</w:t>
            </w:r>
          </w:p>
        </w:tc>
        <w:tc>
          <w:tcPr>
            <w:tcW w:w="563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Spacing"/>
              <w:jc w:val="center"/>
              <w:rPr/>
            </w:pPr>
            <w:bookmarkStart w:id="12" w:name="phncount"/>
            <w:bookmarkStart w:id="13" w:name="addresses2"/>
            <w:bookmarkStart w:id="14" w:name="addrss"/>
            <w:bookmarkEnd w:id="12"/>
            <w:bookmarkEnd w:id="13"/>
            <w:bookmarkEnd w:id="14"/>
            <w:r>
              <w:rPr>
                <w:bCs/>
                <w:sz w:val="20"/>
                <w:szCs w:val="20"/>
              </w:rPr>
              <w:t>РБ, г. Уфа, ул. Цюрупы, 95</w:t>
            </w:r>
          </w:p>
        </w:tc>
      </w:tr>
    </w:tbl>
    <w:p>
      <w:pPr>
        <w:pStyle w:val="BodyTextIndent"/>
        <w:spacing w:before="240" w:after="0"/>
        <w:ind w:firstLine="708" w:right="337"/>
        <w:rPr>
          <w:sz w:val="22"/>
          <w:szCs w:val="22"/>
        </w:rPr>
      </w:pPr>
      <w:r/>
      <w:r>
        <w:rPr>
          <w:sz w:val="22"/>
          <w:szCs w:val="22"/>
        </w:rPr>
        <w:t>Подписанием настоящего Акта Пользователь подтверждает, что подключение Услуги полностью соответствует условиям Договора и Приложениям к нему, претензий к качеству работ не имеет.</w:t>
      </w:r>
    </w:p>
    <w:p>
      <w:pPr>
        <w:pStyle w:val="Normal"/>
        <w:ind w:firstLine="723"/>
        <w:jc w:val="both"/>
        <w:rPr>
          <w:sz w:val="22"/>
          <w:szCs w:val="22"/>
        </w:rPr>
      </w:pPr>
      <w:r>
        <w:rPr>
          <w:sz w:val="22"/>
          <w:szCs w:val="22"/>
        </w:rPr>
      </w:r>
    </w:p>
    <w:tbl>
      <w:tblPr>
        <w:tblW w:w="8647"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5069"/>
        <w:gridCol w:w="3577"/>
      </w:tblGrid>
      <w:tr>
        <w:trPr>
          <w:trHeight w:val="2355" w:hRule="atLeast"/>
        </w:trPr>
        <w:tc>
          <w:tcPr>
            <w:tcW w:w="5069" w:type="dxa"/>
            <w:tcBorders/>
            <w:shd w:color="auto" w:fill="auto" w:val="clear"/>
          </w:tcPr>
          <w:p>
            <w:pPr>
              <w:pStyle w:val="Normal"/>
              <w:rPr>
                <w:sz w:val="22"/>
                <w:szCs w:val="22"/>
              </w:rPr>
            </w:pPr>
            <w:r>
              <w:rPr>
                <w:sz w:val="22"/>
                <w:szCs w:val="22"/>
              </w:rPr>
            </w:r>
          </w:p>
          <w:p>
            <w:pPr>
              <w:pStyle w:val="Normal"/>
              <w:rPr>
                <w:bCs/>
                <w:sz w:val="22"/>
                <w:szCs w:val="22"/>
              </w:rPr>
            </w:pPr>
            <w:r>
              <w:rPr>
                <w:bCs/>
                <w:sz w:val="22"/>
                <w:szCs w:val="22"/>
              </w:rPr>
              <w:t>АГЕНТ</w:t>
            </w:r>
          </w:p>
          <w:p>
            <w:pPr>
              <w:pStyle w:val="Normal"/>
              <w:rPr>
                <w:bCs/>
                <w:sz w:val="22"/>
                <w:szCs w:val="22"/>
              </w:rPr>
            </w:pPr>
            <w:r>
              <w:rPr>
                <w:bCs/>
                <w:sz w:val="22"/>
                <w:szCs w:val="22"/>
              </w:rPr>
            </w:r>
          </w:p>
          <w:p>
            <w:pPr>
              <w:pStyle w:val="Normal"/>
              <w:rPr>
                <w:bCs/>
                <w:sz w:val="22"/>
                <w:szCs w:val="22"/>
              </w:rPr>
            </w:pPr>
            <w:r>
              <w:rPr>
                <w:bCs/>
                <w:sz w:val="22"/>
                <w:szCs w:val="22"/>
              </w:rPr>
              <w:t>Менеджер по работе с государственными заказчиками ПАО «Башинформсвязь»</w:t>
            </w:r>
          </w:p>
          <w:p>
            <w:pPr>
              <w:pStyle w:val="Normal"/>
              <w:rPr>
                <w:bCs/>
                <w:sz w:val="22"/>
                <w:szCs w:val="22"/>
              </w:rPr>
            </w:pPr>
            <w:r>
              <w:rPr>
                <w:bCs/>
                <w:sz w:val="22"/>
                <w:szCs w:val="22"/>
              </w:rPr>
            </w:r>
          </w:p>
          <w:p>
            <w:pPr>
              <w:pStyle w:val="Normal"/>
              <w:rPr>
                <w:bCs/>
                <w:sz w:val="22"/>
                <w:szCs w:val="22"/>
              </w:rPr>
            </w:pPr>
            <w:r>
              <w:rPr>
                <w:bCs/>
                <w:sz w:val="22"/>
                <w:szCs w:val="22"/>
              </w:rPr>
            </w:r>
          </w:p>
          <w:p>
            <w:pPr>
              <w:pStyle w:val="Normal"/>
              <w:rPr>
                <w:bCs/>
                <w:sz w:val="22"/>
                <w:szCs w:val="22"/>
              </w:rPr>
            </w:pPr>
            <w:r>
              <w:rPr>
                <w:bCs/>
                <w:sz w:val="22"/>
                <w:szCs w:val="22"/>
              </w:rPr>
            </w:r>
          </w:p>
          <w:p>
            <w:pPr>
              <w:pStyle w:val="Normal"/>
              <w:rPr>
                <w:bCs/>
                <w:sz w:val="22"/>
                <w:szCs w:val="22"/>
              </w:rPr>
            </w:pPr>
            <w:r>
              <w:rPr>
                <w:bCs/>
                <w:sz w:val="22"/>
                <w:szCs w:val="22"/>
              </w:rPr>
            </w:r>
          </w:p>
          <w:p>
            <w:pPr>
              <w:pStyle w:val="Normal"/>
              <w:rPr>
                <w:bCs/>
                <w:sz w:val="22"/>
                <w:szCs w:val="22"/>
              </w:rPr>
            </w:pPr>
            <w:r>
              <w:rPr>
                <w:bCs/>
                <w:sz w:val="22"/>
                <w:szCs w:val="22"/>
              </w:rPr>
            </w:r>
          </w:p>
          <w:p>
            <w:pPr>
              <w:pStyle w:val="Normal"/>
              <w:rPr>
                <w:sz w:val="22"/>
                <w:szCs w:val="22"/>
              </w:rPr>
            </w:pPr>
            <w:r>
              <w:rPr>
                <w:sz w:val="22"/>
                <w:szCs w:val="22"/>
              </w:rPr>
              <w:t xml:space="preserve">___________________/ </w:t>
            </w:r>
            <w:r>
              <w:rPr>
                <w:sz w:val="20"/>
                <w:szCs w:val="20"/>
              </w:rPr>
              <w:t>Д.В.Капишев</w:t>
            </w:r>
            <w:r>
              <w:rPr>
                <w:sz w:val="22"/>
                <w:szCs w:val="22"/>
              </w:rPr>
              <w:t xml:space="preserve"> /</w:t>
            </w:r>
          </w:p>
          <w:p>
            <w:pPr>
              <w:pStyle w:val="Normal"/>
              <w:rPr>
                <w:sz w:val="22"/>
                <w:szCs w:val="22"/>
              </w:rPr>
            </w:pPr>
            <w:r>
              <w:rPr>
                <w:sz w:val="22"/>
                <w:szCs w:val="22"/>
              </w:rPr>
              <w:t xml:space="preserve">        </w:t>
            </w:r>
            <w:r>
              <w:rPr>
                <w:sz w:val="22"/>
                <w:szCs w:val="22"/>
              </w:rPr>
              <w:t>М.П.</w:t>
            </w:r>
          </w:p>
          <w:p>
            <w:pPr>
              <w:pStyle w:val="Normal"/>
              <w:rPr>
                <w:sz w:val="22"/>
                <w:szCs w:val="22"/>
              </w:rPr>
            </w:pPr>
            <w:r>
              <w:rPr>
                <w:sz w:val="22"/>
                <w:szCs w:val="22"/>
              </w:rPr>
            </w:r>
          </w:p>
        </w:tc>
        <w:tc>
          <w:tcPr>
            <w:tcW w:w="3577" w:type="dxa"/>
            <w:tcBorders/>
            <w:shd w:color="auto" w:fill="auto" w:val="clear"/>
          </w:tcPr>
          <w:p>
            <w:pPr>
              <w:pStyle w:val="Normal"/>
              <w:rPr>
                <w:sz w:val="22"/>
                <w:szCs w:val="22"/>
              </w:rPr>
            </w:pPr>
            <w:r>
              <w:rPr>
                <w:sz w:val="22"/>
                <w:szCs w:val="22"/>
              </w:rPr>
            </w:r>
          </w:p>
          <w:p>
            <w:pPr>
              <w:pStyle w:val="Normal"/>
              <w:rPr>
                <w:bCs/>
                <w:sz w:val="22"/>
                <w:szCs w:val="22"/>
              </w:rPr>
            </w:pPr>
            <w:r>
              <w:rPr>
                <w:bCs/>
                <w:sz w:val="22"/>
                <w:szCs w:val="22"/>
              </w:rPr>
              <w:t>ПОЛЬЗОВАТЕЛЬ</w:t>
            </w:r>
          </w:p>
          <w:p>
            <w:pPr>
              <w:pStyle w:val="Normal"/>
              <w:rPr>
                <w:bCs/>
                <w:sz w:val="22"/>
                <w:szCs w:val="22"/>
              </w:rPr>
            </w:pPr>
            <w:r>
              <w:rPr>
                <w:bCs/>
                <w:sz w:val="22"/>
                <w:szCs w:val="22"/>
              </w:rPr>
            </w:r>
          </w:p>
          <w:p>
            <w:pPr>
              <w:pStyle w:val="Normal"/>
              <w:rPr/>
            </w:pPr>
            <w:r>
              <w:rPr>
                <w:bCs/>
                <w:sz w:val="22"/>
                <w:szCs w:val="22"/>
              </w:rPr>
              <w:t>Главное управление Федеральной службы судебных приставов по Республике Башкортостан</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t>_________/ С.Н. Кирюба</w:t>
            </w:r>
            <w:r>
              <w:rPr/>
              <w:t xml:space="preserve"> </w:t>
            </w:r>
            <w:r>
              <w:rPr>
                <w:sz w:val="22"/>
                <w:szCs w:val="22"/>
              </w:rPr>
              <w:t>/</w:t>
            </w:r>
          </w:p>
          <w:p>
            <w:pPr>
              <w:pStyle w:val="Normal"/>
              <w:rPr>
                <w:sz w:val="22"/>
                <w:szCs w:val="22"/>
              </w:rPr>
            </w:pPr>
            <w:r>
              <w:rPr>
                <w:sz w:val="22"/>
                <w:szCs w:val="22"/>
              </w:rPr>
              <w:t>М.П.</w:t>
            </w:r>
          </w:p>
        </w:tc>
      </w:tr>
    </w:tbl>
    <w:p>
      <w:pPr>
        <w:pStyle w:val="Normal"/>
        <w:ind w:left="426"/>
        <w:jc w:val="center"/>
        <w:rPr/>
      </w:pPr>
      <w:r>
        <w:rPr/>
      </w:r>
    </w:p>
    <w:sectPr>
      <w:type w:val="nextPage"/>
      <w:pgSz w:w="11906" w:h="16838"/>
      <w:pgMar w:left="993"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NTTimes/Cyrillic">
    <w:charset w:val="01"/>
    <w:family w:val="roman"/>
    <w:pitch w:val="variable"/>
  </w:font>
  <w:font w:name="Courier New">
    <w:charset w:val="01"/>
    <w:family w:val="roman"/>
    <w:pitch w:val="variable"/>
  </w:font>
  <w:font w:name="Calibri">
    <w:charset w:val="01"/>
    <w:family w:val="roman"/>
    <w:pitch w:val="variable"/>
  </w:font>
  <w:font w:name="Open Sans">
    <w:charset w:val="01"/>
    <w:family w:val="roman"/>
    <w:pitch w:val="variable"/>
  </w:font>
  <w:font w:name="Tahoma">
    <w:charset w:val="01"/>
    <w:family w:val="roman"/>
    <w:pitch w:val="variable"/>
  </w:font>
  <w:font w:name="Arial Unicode MS">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decimal"/>
      <w:lvlText w:val="%1."/>
      <w:lvlJc w:val="left"/>
      <w:pPr>
        <w:tabs>
          <w:tab w:val="num" w:pos="360"/>
        </w:tabs>
        <w:ind w:left="360" w:hanging="360"/>
      </w:pPr>
      <w:rPr/>
    </w:lvl>
    <w:lvl w:ilvl="1">
      <w:start w:val="1"/>
      <w:numFmt w:val="decimal"/>
      <w:lvlText w:val="%1.%2."/>
      <w:lvlJc w:val="left"/>
      <w:pPr>
        <w:tabs>
          <w:tab w:val="num" w:pos="792"/>
        </w:tabs>
        <w:ind w:left="792" w:hanging="432"/>
      </w:pPr>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
    <w:lvl w:ilvl="0">
      <w:start w:val="1"/>
      <w:numFmt w:val="decimal"/>
      <w:lvlText w:val="2.%1."/>
      <w:lvlJc w:val="left"/>
      <w:pPr>
        <w:tabs>
          <w:tab w:val="num" w:pos="360"/>
        </w:tabs>
        <w:ind w:left="360" w:hanging="360"/>
      </w:pPr>
      <w:rPr/>
    </w:lvl>
    <w:lvl w:ilvl="1">
      <w:start w:val="1"/>
      <w:numFmt w:val="decimal"/>
      <w:lvlText w:val="%1.%2."/>
      <w:lvlJc w:val="left"/>
      <w:pPr>
        <w:tabs>
          <w:tab w:val="num" w:pos="792"/>
        </w:tabs>
        <w:ind w:left="792" w:hanging="432"/>
      </w:pPr>
      <w:rPr/>
    </w:lvl>
    <w:lvl w:ilvl="2">
      <w:start w:val="1"/>
      <w:numFmt w:val="decimal"/>
      <w:lvlText w:val="%1.%2.%3."/>
      <w:lvlJc w:val="left"/>
      <w:pPr>
        <w:tabs>
          <w:tab w:val="num" w:pos="1224"/>
        </w:tabs>
        <w:ind w:left="1224" w:hanging="504"/>
      </w:pPr>
      <w:rPr/>
    </w:lvl>
    <w:lvl w:ilvl="3">
      <w:start w:val="1"/>
      <w:numFmt w:val="decimal"/>
      <w:lvlText w:val="%1.%2.%3.%4."/>
      <w:lvlJc w:val="left"/>
      <w:pPr>
        <w:tabs>
          <w:tab w:val="num" w:pos="1728"/>
        </w:tabs>
        <w:ind w:left="1728" w:hanging="648"/>
      </w:pPr>
      <w:rPr/>
    </w:lvl>
    <w:lvl w:ilvl="4">
      <w:start w:val="1"/>
      <w:numFmt w:val="decimal"/>
      <w:lvlText w:val="%1.%2.%3.%4.%5."/>
      <w:lvlJc w:val="left"/>
      <w:pPr>
        <w:tabs>
          <w:tab w:val="num" w:pos="2232"/>
        </w:tabs>
        <w:ind w:left="2232" w:hanging="792"/>
      </w:pPr>
      <w:rPr/>
    </w:lvl>
    <w:lvl w:ilvl="5">
      <w:start w:val="1"/>
      <w:numFmt w:val="decimal"/>
      <w:lvlText w:val="%1.%2.%3.%4.%5.%6."/>
      <w:lvlJc w:val="left"/>
      <w:pPr>
        <w:tabs>
          <w:tab w:val="num" w:pos="2736"/>
        </w:tabs>
        <w:ind w:left="2736" w:hanging="936"/>
      </w:pPr>
      <w:rPr/>
    </w:lvl>
    <w:lvl w:ilvl="6">
      <w:start w:val="1"/>
      <w:numFmt w:val="decimal"/>
      <w:lvlText w:val="%1.%2.%3.%4.%5.%6.%7."/>
      <w:lvlJc w:val="left"/>
      <w:pPr>
        <w:tabs>
          <w:tab w:val="num" w:pos="3240"/>
        </w:tabs>
        <w:ind w:left="3240" w:hanging="1080"/>
      </w:pPr>
      <w:rPr/>
    </w:lvl>
    <w:lvl w:ilvl="7">
      <w:start w:val="1"/>
      <w:numFmt w:val="decimal"/>
      <w:lvlText w:val="%1.%2.%3.%4.%5.%6.%7.%8."/>
      <w:lvlJc w:val="left"/>
      <w:pPr>
        <w:tabs>
          <w:tab w:val="num" w:pos="3744"/>
        </w:tabs>
        <w:ind w:left="3744" w:hanging="1224"/>
      </w:pPr>
      <w:rPr/>
    </w:lvl>
    <w:lvl w:ilvl="8">
      <w:start w:val="1"/>
      <w:numFmt w:val="decimal"/>
      <w:lvlText w:val="%1.%2.%3.%4.%5.%6.%7.%8.%9."/>
      <w:lvlJc w:val="left"/>
      <w:pPr>
        <w:tabs>
          <w:tab w:val="num" w:pos="4320"/>
        </w:tabs>
        <w:ind w:left="4320" w:hanging="1440"/>
      </w:pPr>
      <w:rPr/>
    </w:lvl>
  </w:abstractNum>
  <w:abstractNum w:abstractNumId="5">
    <w:lvl w:ilvl="0">
      <w:start w:val="1"/>
      <w:numFmt w:val="bullet"/>
      <w:lvlText w:val=""/>
      <w:lvlJc w:val="left"/>
      <w:pPr>
        <w:tabs>
          <w:tab w:val="num" w:pos="720"/>
        </w:tabs>
        <w:ind w:left="720" w:hanging="360"/>
      </w:pPr>
      <w:rPr>
        <w:rFonts w:ascii="Symbol" w:hAnsi="Symbol" w:cs="Symbol" w:hint="default"/>
        <w:sz w:val="22"/>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8016f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qFormat/>
    <w:rsid w:val="00616b25"/>
    <w:pPr>
      <w:keepNext w:val="true"/>
      <w:jc w:val="right"/>
      <w:outlineLvl w:val="0"/>
    </w:pPr>
    <w:rPr>
      <w:sz w:val="28"/>
    </w:rPr>
  </w:style>
  <w:style w:type="paragraph" w:styleId="Heading3">
    <w:name w:val="Heading 3"/>
    <w:basedOn w:val="Normal"/>
    <w:qFormat/>
    <w:rsid w:val="00616b25"/>
    <w:pPr>
      <w:keepNext w:val="true"/>
      <w:jc w:val="right"/>
      <w:outlineLvl w:val="2"/>
    </w:pPr>
    <w:rPr>
      <w:rFonts w:ascii="NTTimes/Cyrillic" w:hAnsi="NTTimes/Cyrillic"/>
      <w:b/>
      <w:i/>
      <w:sz w:val="20"/>
      <w:szCs w:val="20"/>
      <w:u w:val="single"/>
    </w:rPr>
  </w:style>
  <w:style w:type="character" w:styleId="DefaultParagraphFont" w:default="1">
    <w:name w:val="Default Paragraph Font"/>
    <w:uiPriority w:val="1"/>
    <w:semiHidden/>
    <w:unhideWhenUsed/>
    <w:qFormat/>
    <w:rPr/>
  </w:style>
  <w:style w:type="character" w:styleId="Hyperlink">
    <w:name w:val="Hyperlink"/>
    <w:uiPriority w:val="99"/>
    <w:rsid w:val="00616b25"/>
    <w:rPr>
      <w:color w:val="0000FF"/>
      <w:u w:val="single"/>
    </w:rPr>
  </w:style>
  <w:style w:type="character" w:styleId="Js-phone-number" w:customStyle="1">
    <w:name w:val="js-phone-number"/>
    <w:qFormat/>
    <w:rsid w:val="00842fed"/>
    <w:rPr/>
  </w:style>
  <w:style w:type="character" w:styleId="FollowedHyperlink">
    <w:name w:val="FollowedHyperlink"/>
    <w:uiPriority w:val="99"/>
    <w:unhideWhenUsed/>
    <w:qFormat/>
    <w:rsid w:val="00d06aac"/>
    <w:rPr>
      <w:color w:val="954F72"/>
      <w:u w:val="single"/>
    </w:rPr>
  </w:style>
  <w:style w:type="character" w:styleId="Style12" w:customStyle="1">
    <w:name w:val="Текст Знак"/>
    <w:basedOn w:val="DefaultParagraphFont"/>
    <w:uiPriority w:val="99"/>
    <w:qFormat/>
    <w:rsid w:val="0071420c"/>
    <w:rPr>
      <w:rFonts w:ascii="Courier New" w:hAnsi="Courier New"/>
    </w:rPr>
  </w:style>
  <w:style w:type="character" w:styleId="Style13" w:customStyle="1">
    <w:name w:val="Абзац списка Знак"/>
    <w:uiPriority w:val="34"/>
    <w:qFormat/>
    <w:locked/>
    <w:rsid w:val="00c70409"/>
    <w:rPr>
      <w:rFonts w:ascii="Calibri" w:hAnsi="Calibri"/>
      <w:sz w:val="22"/>
      <w:szCs w:val="22"/>
    </w:rPr>
  </w:style>
  <w:style w:type="character" w:styleId="Style14" w:customStyle="1">
    <w:name w:val="Нижний колонтитул Знак"/>
    <w:basedOn w:val="DefaultParagraphFont"/>
    <w:qFormat/>
    <w:rsid w:val="00e4793d"/>
    <w:rPr/>
  </w:style>
  <w:style w:type="character" w:styleId="Style15" w:customStyle="1">
    <w:name w:val="Основной текст с отступом Знак"/>
    <w:basedOn w:val="DefaultParagraphFont"/>
    <w:qFormat/>
    <w:rsid w:val="00e4793d"/>
    <w:rPr/>
  </w:style>
  <w:style w:type="character" w:styleId="Style16" w:customStyle="1">
    <w:name w:val="Текст примечания Знак"/>
    <w:basedOn w:val="DefaultParagraphFont"/>
    <w:qFormat/>
    <w:rsid w:val="00fb78ca"/>
    <w:rPr/>
  </w:style>
  <w:style w:type="character" w:styleId="2" w:customStyle="1">
    <w:name w:val="Основной текст с отступом 2 Знак"/>
    <w:qFormat/>
    <w:rsid w:val="00fb78ca"/>
    <w:rPr>
      <w:sz w:val="24"/>
      <w:szCs w:val="24"/>
    </w:rPr>
  </w:style>
  <w:style w:type="character" w:styleId="21" w:customStyle="1">
    <w:name w:val="Основной текст 2 Знак"/>
    <w:qFormat/>
    <w:rsid w:val="00fb78ca"/>
    <w:rPr>
      <w:sz w:val="24"/>
      <w:szCs w:val="24"/>
    </w:rPr>
  </w:style>
  <w:style w:type="character" w:styleId="Style17" w:customStyle="1">
    <w:name w:val="Основной текст Знак"/>
    <w:qFormat/>
    <w:rsid w:val="00fb78ca"/>
    <w:rPr>
      <w:sz w:val="24"/>
    </w:rPr>
  </w:style>
  <w:style w:type="character" w:styleId="WW8Num7z8" w:customStyle="1">
    <w:name w:val="WW8Num7z8"/>
    <w:qFormat/>
    <w:rsid w:val="00bb0d5f"/>
    <w:rPr/>
  </w:style>
  <w:style w:type="character" w:styleId="UnresolvedMention">
    <w:name w:val="Unresolved Mention"/>
    <w:basedOn w:val="DefaultParagraphFont"/>
    <w:uiPriority w:val="99"/>
    <w:semiHidden/>
    <w:unhideWhenUsed/>
    <w:qFormat/>
    <w:rsid w:val="00921a98"/>
    <w:rPr>
      <w:color w:val="605E5C"/>
      <w:shd w:fill="E1DFDD" w:val="clear"/>
    </w:rPr>
  </w:style>
  <w:style w:type="character" w:styleId="Style18" w:customStyle="1">
    <w:name w:val="Верхний колонтитул Знак"/>
    <w:basedOn w:val="DefaultParagraphFont"/>
    <w:qFormat/>
    <w:rsid w:val="009f54d6"/>
    <w:rPr>
      <w:sz w:val="24"/>
      <w:szCs w:val="24"/>
    </w:rPr>
  </w:style>
  <w:style w:type="paragraph" w:styleId="Style19">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rsid w:val="00616b25"/>
    <w:pPr>
      <w:tabs>
        <w:tab w:val="clear" w:pos="708"/>
        <w:tab w:val="left" w:pos="720" w:leader="none"/>
      </w:tabs>
      <w:spacing w:before="120" w:after="120"/>
      <w:jc w:val="both"/>
      <w:outlineLvl w:val="1"/>
    </w:pPr>
    <w:rPr>
      <w:szCs w:val="20"/>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Title">
    <w:name w:val="Title"/>
    <w:basedOn w:val="Normal"/>
    <w:next w:val="BodyText"/>
    <w:qFormat/>
    <w:rsid w:val="00616b25"/>
    <w:pPr>
      <w:jc w:val="center"/>
    </w:pPr>
    <w:rPr>
      <w:b/>
      <w:szCs w:val="20"/>
    </w:rPr>
  </w:style>
  <w:style w:type="paragraph" w:styleId="Caption1">
    <w:name w:val="caption1"/>
    <w:basedOn w:val="Normal"/>
    <w:qFormat/>
    <w:pPr>
      <w:suppressLineNumbers/>
      <w:spacing w:before="120" w:after="120"/>
    </w:pPr>
    <w:rPr>
      <w:rFonts w:cs="Lohit Devanagari"/>
      <w:i/>
      <w:iCs/>
    </w:rPr>
  </w:style>
  <w:style w:type="paragraph" w:styleId="Indexheading">
    <w:name w:val="index heading"/>
    <w:basedOn w:val="Normal"/>
    <w:qFormat/>
    <w:pPr>
      <w:suppressLineNumbers/>
    </w:pPr>
    <w:rPr>
      <w:rFonts w:cs="Lohit Devanagari"/>
    </w:rPr>
  </w:style>
  <w:style w:type="paragraph" w:styleId="Iauiue2" w:customStyle="1">
    <w:name w:val="Iau?iue2"/>
    <w:qFormat/>
    <w:rsid w:val="00616b25"/>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BodyTextIndent2">
    <w:name w:val="Body Text Indent 2"/>
    <w:basedOn w:val="Normal"/>
    <w:qFormat/>
    <w:rsid w:val="00616b25"/>
    <w:pPr>
      <w:ind w:firstLine="720"/>
      <w:jc w:val="both"/>
    </w:pPr>
    <w:rPr/>
  </w:style>
  <w:style w:type="paragraph" w:styleId="Iniiaiieoaeno2" w:customStyle="1">
    <w:name w:val="Iniiaiie oaeno 2"/>
    <w:basedOn w:val="Iauiue2"/>
    <w:qFormat/>
    <w:rsid w:val="00616b25"/>
    <w:pPr>
      <w:jc w:val="both"/>
    </w:pPr>
    <w:rPr/>
  </w:style>
  <w:style w:type="paragraph" w:styleId="Iniiaiieoaeno3" w:customStyle="1">
    <w:name w:val="Iniiaiie oaeno 3"/>
    <w:basedOn w:val="Iauiue2"/>
    <w:qFormat/>
    <w:rsid w:val="00616b25"/>
    <w:pPr/>
    <w:rPr>
      <w:b/>
      <w:bCs/>
    </w:rPr>
  </w:style>
  <w:style w:type="paragraph" w:styleId="BodyText2">
    <w:name w:val="Body Text 2"/>
    <w:basedOn w:val="Normal"/>
    <w:qFormat/>
    <w:rsid w:val="00616b25"/>
    <w:pPr>
      <w:spacing w:lineRule="auto" w:line="480" w:before="0" w:after="120"/>
    </w:pPr>
    <w:rPr/>
  </w:style>
  <w:style w:type="paragraph" w:styleId="BalloonText">
    <w:name w:val="Balloon Text"/>
    <w:basedOn w:val="Normal"/>
    <w:semiHidden/>
    <w:qFormat/>
    <w:rsid w:val="00616b25"/>
    <w:pPr/>
    <w:rPr>
      <w:rFonts w:ascii="Tahoma" w:hAnsi="Tahoma" w:cs="Tahoma"/>
      <w:sz w:val="16"/>
      <w:szCs w:val="16"/>
    </w:rPr>
  </w:style>
  <w:style w:type="paragraph" w:styleId="Annotationtext">
    <w:name w:val="annotation text"/>
    <w:basedOn w:val="Normal"/>
    <w:qFormat/>
    <w:rsid w:val="00616b25"/>
    <w:pPr/>
    <w:rPr>
      <w:sz w:val="20"/>
      <w:szCs w:val="20"/>
    </w:rPr>
  </w:style>
  <w:style w:type="paragraph" w:styleId="BodyText3">
    <w:name w:val="Body Text 3"/>
    <w:basedOn w:val="Normal"/>
    <w:qFormat/>
    <w:rsid w:val="00616b25"/>
    <w:pPr>
      <w:spacing w:before="120" w:after="120"/>
      <w:jc w:val="both"/>
    </w:pPr>
    <w:rPr>
      <w:i/>
      <w:color w:val="FF0000"/>
      <w:szCs w:val="20"/>
    </w:rPr>
  </w:style>
  <w:style w:type="paragraph" w:styleId="Style21" w:customStyle="1">
    <w:name w:val="Колонтитул"/>
    <w:basedOn w:val="Normal"/>
    <w:qFormat/>
    <w:pPr/>
    <w:rPr/>
  </w:style>
  <w:style w:type="paragraph" w:styleId="Footer">
    <w:name w:val="Footer"/>
    <w:basedOn w:val="Normal"/>
    <w:rsid w:val="00616b25"/>
    <w:pPr>
      <w:tabs>
        <w:tab w:val="clear" w:pos="708"/>
        <w:tab w:val="center" w:pos="4153" w:leader="none"/>
        <w:tab w:val="right" w:pos="8306" w:leader="none"/>
      </w:tabs>
      <w:overflowPunct w:val="false"/>
      <w:textAlignment w:val="baseline"/>
    </w:pPr>
    <w:rPr>
      <w:sz w:val="20"/>
      <w:szCs w:val="20"/>
    </w:rPr>
  </w:style>
  <w:style w:type="paragraph" w:styleId="BodyTextIndent">
    <w:name w:val="Body Text Indent"/>
    <w:basedOn w:val="Normal"/>
    <w:rsid w:val="00616b25"/>
    <w:pPr>
      <w:overflowPunct w:val="false"/>
      <w:jc w:val="both"/>
      <w:textAlignment w:val="baseline"/>
    </w:pPr>
    <w:rPr>
      <w:sz w:val="20"/>
      <w:szCs w:val="20"/>
    </w:rPr>
  </w:style>
  <w:style w:type="paragraph" w:styleId="NormalWeb">
    <w:name w:val="Normal (Web)"/>
    <w:basedOn w:val="Normal"/>
    <w:qFormat/>
    <w:rsid w:val="00616b25"/>
    <w:pPr>
      <w:spacing w:before="100" w:after="100"/>
    </w:pPr>
    <w:rPr>
      <w:rFonts w:ascii="Arial Unicode MS" w:hAnsi="Arial Unicode MS" w:eastAsia="Arial Unicode MS"/>
      <w:lang w:val="en-US"/>
    </w:rPr>
  </w:style>
  <w:style w:type="paragraph" w:styleId="NoSpacing">
    <w:name w:val="No Spacing"/>
    <w:uiPriority w:val="1"/>
    <w:qFormat/>
    <w:rsid w:val="0010687d"/>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ListParagraph">
    <w:name w:val="List Paragraph"/>
    <w:basedOn w:val="Normal"/>
    <w:uiPriority w:val="34"/>
    <w:qFormat/>
    <w:rsid w:val="00d87755"/>
    <w:pPr>
      <w:spacing w:lineRule="auto" w:line="276" w:before="0" w:after="200"/>
      <w:ind w:left="720"/>
      <w:contextualSpacing/>
    </w:pPr>
    <w:rPr>
      <w:rFonts w:ascii="Calibri" w:hAnsi="Calibri"/>
      <w:sz w:val="22"/>
      <w:szCs w:val="22"/>
    </w:rPr>
  </w:style>
  <w:style w:type="paragraph" w:styleId="PlainText">
    <w:name w:val="Plain Text"/>
    <w:basedOn w:val="Normal"/>
    <w:uiPriority w:val="99"/>
    <w:qFormat/>
    <w:rsid w:val="0071420c"/>
    <w:pPr/>
    <w:rPr>
      <w:rFonts w:ascii="Courier New" w:hAnsi="Courier New"/>
      <w:sz w:val="20"/>
      <w:szCs w:val="20"/>
    </w:rPr>
  </w:style>
  <w:style w:type="paragraph" w:styleId="Default" w:customStyle="1">
    <w:name w:val="Default"/>
    <w:qFormat/>
    <w:rsid w:val="00c70409"/>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7" w:customStyle="1">
    <w:name w:val="Основной текст (7)"/>
    <w:basedOn w:val="Normal"/>
    <w:qFormat/>
    <w:rsid w:val="00bb0d5f"/>
    <w:pPr>
      <w:widowControl w:val="false"/>
      <w:shd w:val="clear" w:color="auto" w:fill="FFFFFF"/>
      <w:spacing w:lineRule="exact" w:line="226"/>
    </w:pPr>
    <w:rPr>
      <w:rFonts w:ascii="Arial" w:hAnsi="Arial" w:eastAsia="Arial" w:cs="Arial"/>
      <w:sz w:val="18"/>
      <w:szCs w:val="18"/>
      <w:lang w:eastAsia="zh-CN"/>
    </w:rPr>
  </w:style>
  <w:style w:type="paragraph" w:styleId="Style22" w:customStyle="1">
    <w:name w:val="Содержимое таблицы"/>
    <w:basedOn w:val="Normal"/>
    <w:qFormat/>
    <w:pPr>
      <w:suppressLineNumbers/>
    </w:pPr>
    <w:rPr/>
  </w:style>
  <w:style w:type="paragraph" w:styleId="Style23" w:customStyle="1">
    <w:name w:val="Заголовок таблицы"/>
    <w:basedOn w:val="Style22"/>
    <w:qFormat/>
    <w:pPr>
      <w:jc w:val="center"/>
    </w:pPr>
    <w:rPr>
      <w:b/>
      <w:bCs/>
    </w:rPr>
  </w:style>
  <w:style w:type="paragraph" w:styleId="Style24" w:customStyle="1">
    <w:name w:val="Содержимое врезки"/>
    <w:basedOn w:val="Normal"/>
    <w:qFormat/>
    <w:pPr/>
    <w:rPr/>
  </w:style>
  <w:style w:type="paragraph" w:styleId="Header">
    <w:name w:val="Header"/>
    <w:basedOn w:val="Normal"/>
    <w:link w:val="Style18"/>
    <w:unhideWhenUsed/>
    <w:rsid w:val="009f54d6"/>
    <w:pPr>
      <w:tabs>
        <w:tab w:val="clear" w:pos="708"/>
        <w:tab w:val="center" w:pos="4677" w:leader="none"/>
        <w:tab w:val="right" w:pos="9355" w:leader="none"/>
      </w:tab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d">
    <w:name w:val="Table Grid"/>
    <w:basedOn w:val="a1"/>
    <w:rsid w:val="00293d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omto@r02.fssprus.ru" TargetMode="External"/><Relationship Id="rId3" Type="http://schemas.openxmlformats.org/officeDocument/2006/relationships/hyperlink" Target="mailto:it@r02.fssp.gov.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505B2-3D86-4D89-B25A-14001A6AD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Application>LibreOffice/7.6.7.2$Linux_X86_64 LibreOffice_project/60$Build-2</Application>
  <AppVersion>15.0000</AppVersion>
  <Pages>9</Pages>
  <Words>3393</Words>
  <Characters>23880</Characters>
  <CharactersWithSpaces>27222</CharactersWithSpaces>
  <Paragraphs>271</Paragraphs>
  <Company>micros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2026-07-08T09:55:00Z</dcterms:created>
  <dc:creator>Багданов Дамир Маратович</dc:creator>
  <dc:description/>
  <dc:language>ru-RU</dc:language>
  <cp:lastModifiedBy/>
  <cp:lastPrinted>2026-07-29T11:22:00Z</cp:lastPrinted>
  <dcterms:modified xsi:type="dcterms:W3CDTF">2026-07-29T11:37:27Z</dcterms:modified>
  <cp:revision>6</cp:revision>
  <dc:subject/>
  <dc:title>Договор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