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B353" w14:textId="77777777" w:rsidR="002751B9" w:rsidRPr="00145E29" w:rsidRDefault="00764542" w:rsidP="00773DFB">
      <w:pPr>
        <w:spacing w:after="0" w:line="240" w:lineRule="auto"/>
        <w:jc w:val="center"/>
        <w:rPr>
          <w:rFonts w:ascii="Times New Roman" w:hAnsi="Times New Roman" w:cs="Times New Roman"/>
          <w:b/>
          <w:bCs/>
          <w:sz w:val="24"/>
          <w:szCs w:val="24"/>
        </w:rPr>
      </w:pPr>
      <w:r w:rsidRPr="00145E29">
        <w:rPr>
          <w:rFonts w:ascii="Times New Roman" w:hAnsi="Times New Roman" w:cs="Times New Roman"/>
          <w:b/>
          <w:bCs/>
          <w:sz w:val="24"/>
          <w:szCs w:val="24"/>
        </w:rPr>
        <w:t xml:space="preserve">ЛИЦЕНЗИОННОЕ СОГЛАШЕНИЕ № </w:t>
      </w:r>
      <w:r w:rsidR="002751B9" w:rsidRPr="00145E29">
        <w:rPr>
          <w:rFonts w:ascii="Times New Roman" w:hAnsi="Times New Roman" w:cs="Times New Roman"/>
          <w:b/>
          <w:bCs/>
          <w:sz w:val="24"/>
          <w:szCs w:val="24"/>
        </w:rPr>
        <w:t>____________</w:t>
      </w:r>
    </w:p>
    <w:p w14:paraId="799A6525" w14:textId="77777777" w:rsidR="002751B9" w:rsidRPr="00145E29" w:rsidRDefault="002751B9" w:rsidP="00773DFB">
      <w:pPr>
        <w:spacing w:after="0" w:line="240" w:lineRule="auto"/>
        <w:ind w:right="-81"/>
        <w:jc w:val="center"/>
        <w:rPr>
          <w:rFonts w:ascii="Times New Roman" w:hAnsi="Times New Roman" w:cs="Times New Roman"/>
          <w:b/>
          <w:bCs/>
          <w:sz w:val="24"/>
          <w:szCs w:val="24"/>
        </w:rPr>
      </w:pPr>
      <w:r w:rsidRPr="00145E29">
        <w:rPr>
          <w:rFonts w:ascii="Times New Roman" w:hAnsi="Times New Roman" w:cs="Times New Roman"/>
          <w:b/>
          <w:bCs/>
          <w:sz w:val="24"/>
          <w:szCs w:val="24"/>
        </w:rPr>
        <w:t xml:space="preserve">Идентификационный код закупки: </w:t>
      </w:r>
    </w:p>
    <w:p w14:paraId="33272F28" w14:textId="77777777" w:rsidR="002751B9" w:rsidRPr="00145E29" w:rsidRDefault="002751B9" w:rsidP="00773DFB">
      <w:pPr>
        <w:spacing w:after="0" w:line="240" w:lineRule="auto"/>
        <w:jc w:val="center"/>
        <w:rPr>
          <w:rFonts w:ascii="Times New Roman" w:hAnsi="Times New Roman" w:cs="Times New Roman"/>
          <w:sz w:val="24"/>
          <w:szCs w:val="24"/>
        </w:rPr>
      </w:pPr>
      <w:r w:rsidRPr="00145E29">
        <w:rPr>
          <w:rFonts w:ascii="Times New Roman" w:hAnsi="Times New Roman" w:cs="Times New Roman"/>
          <w:b/>
          <w:bCs/>
          <w:sz w:val="24"/>
          <w:szCs w:val="24"/>
        </w:rPr>
        <w:t>261380804192738110100100060000000244</w:t>
      </w:r>
    </w:p>
    <w:p w14:paraId="0148EEF9" w14:textId="2D58F74C" w:rsidR="002751B9" w:rsidRPr="00145E29" w:rsidRDefault="00100348" w:rsidP="00773DFB">
      <w:pPr>
        <w:spacing w:after="0" w:line="240" w:lineRule="auto"/>
        <w:jc w:val="center"/>
        <w:rPr>
          <w:rFonts w:ascii="Times New Roman" w:hAnsi="Times New Roman" w:cs="Times New Roman"/>
          <w:sz w:val="24"/>
          <w:szCs w:val="24"/>
        </w:rPr>
      </w:pPr>
      <w:r w:rsidRPr="00145E29">
        <w:rPr>
          <w:rFonts w:ascii="Times New Roman" w:hAnsi="Times New Roman" w:cs="Times New Roman"/>
          <w:sz w:val="24"/>
          <w:szCs w:val="24"/>
        </w:rPr>
        <w:t>г</w:t>
      </w:r>
      <w:r w:rsidR="002751B9" w:rsidRPr="00145E29">
        <w:rPr>
          <w:rFonts w:ascii="Times New Roman" w:hAnsi="Times New Roman" w:cs="Times New Roman"/>
          <w:sz w:val="24"/>
          <w:szCs w:val="24"/>
        </w:rPr>
        <w:t xml:space="preserve">. Иркутск                                                                                             </w:t>
      </w:r>
      <w:proofErr w:type="gramStart"/>
      <w:r w:rsidR="002751B9" w:rsidRPr="00145E29">
        <w:rPr>
          <w:rFonts w:ascii="Times New Roman" w:hAnsi="Times New Roman" w:cs="Times New Roman"/>
          <w:sz w:val="24"/>
          <w:szCs w:val="24"/>
        </w:rPr>
        <w:t xml:space="preserve">  </w:t>
      </w:r>
      <w:r w:rsidR="00764542" w:rsidRPr="00145E29">
        <w:rPr>
          <w:rFonts w:ascii="Times New Roman" w:hAnsi="Times New Roman" w:cs="Times New Roman"/>
          <w:sz w:val="24"/>
          <w:szCs w:val="24"/>
        </w:rPr>
        <w:t xml:space="preserve"> </w:t>
      </w:r>
      <w:r w:rsidR="002751B9" w:rsidRPr="00145E29">
        <w:rPr>
          <w:rFonts w:ascii="Times New Roman" w:hAnsi="Times New Roman" w:cs="Times New Roman"/>
          <w:sz w:val="24"/>
          <w:szCs w:val="24"/>
        </w:rPr>
        <w:t>«</w:t>
      </w:r>
      <w:proofErr w:type="gramEnd"/>
      <w:r w:rsidR="002751B9" w:rsidRPr="00145E29">
        <w:rPr>
          <w:rFonts w:ascii="Times New Roman" w:hAnsi="Times New Roman" w:cs="Times New Roman"/>
          <w:sz w:val="24"/>
          <w:szCs w:val="24"/>
        </w:rPr>
        <w:t>____» ___________ 2026г.</w:t>
      </w:r>
    </w:p>
    <w:p w14:paraId="4913E125" w14:textId="77777777" w:rsidR="005F00BB" w:rsidRPr="00145E29" w:rsidRDefault="005F00BB" w:rsidP="00773DFB">
      <w:pPr>
        <w:spacing w:after="0" w:line="240" w:lineRule="auto"/>
        <w:jc w:val="center"/>
        <w:rPr>
          <w:rFonts w:ascii="Times New Roman" w:hAnsi="Times New Roman" w:cs="Times New Roman"/>
          <w:sz w:val="24"/>
          <w:szCs w:val="24"/>
        </w:rPr>
      </w:pPr>
    </w:p>
    <w:p w14:paraId="660466F9" w14:textId="0B5423F4" w:rsidR="002751B9" w:rsidRPr="00145E29" w:rsidRDefault="002751B9" w:rsidP="00773DFB">
      <w:pPr>
        <w:pStyle w:val="ConsPlusNormal"/>
        <w:ind w:firstLine="709"/>
        <w:jc w:val="both"/>
        <w:rPr>
          <w:rFonts w:ascii="Times New Roman" w:eastAsia="Calibri" w:hAnsi="Times New Roman" w:cs="Times New Roman"/>
          <w:sz w:val="24"/>
          <w:szCs w:val="24"/>
          <w:lang w:eastAsia="en-US"/>
        </w:rPr>
      </w:pPr>
      <w:r w:rsidRPr="00145E29">
        <w:rPr>
          <w:rFonts w:ascii="Times New Roman" w:hAnsi="Times New Roman" w:cs="Times New Roman"/>
          <w:sz w:val="24"/>
          <w:szCs w:val="24"/>
        </w:rPr>
        <w:t xml:space="preserve">__________________, именуемое в дальнейшем «Правообладатель», в лице _______________, действующего на основании ______________, с одной стороны, и Федеральное бюджетное учреждение Иркутская лаборатория судебной экспертизы Министерства юстиции Российской Федерации, именуемое в дальнейшем </w:t>
      </w:r>
      <w:r w:rsidRPr="00145E29">
        <w:rPr>
          <w:rFonts w:ascii="Times New Roman" w:hAnsi="Times New Roman" w:cs="Times New Roman"/>
          <w:b/>
          <w:bCs/>
          <w:sz w:val="24"/>
          <w:szCs w:val="24"/>
        </w:rPr>
        <w:t>«</w:t>
      </w:r>
      <w:r w:rsidRPr="00145E29">
        <w:rPr>
          <w:rFonts w:ascii="Times New Roman" w:hAnsi="Times New Roman" w:cs="Times New Roman"/>
          <w:sz w:val="24"/>
          <w:szCs w:val="24"/>
        </w:rPr>
        <w:t>Пользователь</w:t>
      </w:r>
      <w:r w:rsidRPr="00145E29">
        <w:rPr>
          <w:rFonts w:ascii="Times New Roman" w:hAnsi="Times New Roman" w:cs="Times New Roman"/>
          <w:b/>
          <w:bCs/>
          <w:sz w:val="24"/>
          <w:szCs w:val="24"/>
        </w:rPr>
        <w:t>»</w:t>
      </w:r>
      <w:r w:rsidRPr="00145E29">
        <w:rPr>
          <w:rFonts w:ascii="Times New Roman" w:hAnsi="Times New Roman" w:cs="Times New Roman"/>
          <w:sz w:val="24"/>
          <w:szCs w:val="24"/>
        </w:rPr>
        <w:t xml:space="preserve">, в лице директора </w:t>
      </w:r>
      <w:r w:rsidR="005F00BB" w:rsidRPr="00145E29">
        <w:rPr>
          <w:rFonts w:ascii="Times New Roman" w:hAnsi="Times New Roman" w:cs="Times New Roman"/>
          <w:color w:val="000000"/>
          <w:sz w:val="24"/>
          <w:szCs w:val="24"/>
        </w:rPr>
        <w:t>Дзюбы Геннадия Григорьевича</w:t>
      </w:r>
      <w:r w:rsidRPr="00145E29">
        <w:rPr>
          <w:rFonts w:ascii="Times New Roman" w:hAnsi="Times New Roman" w:cs="Times New Roman"/>
          <w:sz w:val="24"/>
          <w:szCs w:val="24"/>
        </w:rPr>
        <w:t xml:space="preserve">, действующего на основании </w:t>
      </w:r>
      <w:r w:rsidRPr="00145E29">
        <w:rPr>
          <w:rFonts w:ascii="Times New Roman" w:hAnsi="Times New Roman" w:cs="Times New Roman"/>
          <w:spacing w:val="-3"/>
          <w:sz w:val="24"/>
          <w:szCs w:val="24"/>
        </w:rPr>
        <w:t>Устава</w:t>
      </w:r>
      <w:r w:rsidRPr="00145E29">
        <w:rPr>
          <w:rFonts w:ascii="Times New Roman" w:hAnsi="Times New Roman" w:cs="Times New Roman"/>
          <w:sz w:val="24"/>
          <w:szCs w:val="24"/>
        </w:rPr>
        <w:t xml:space="preserve">, с другой стороны, совместно именуемые «Стороны», </w:t>
      </w:r>
      <w:r w:rsidRPr="00145E29">
        <w:rPr>
          <w:rFonts w:ascii="Times New Roman" w:eastAsia="Calibri" w:hAnsi="Times New Roman" w:cs="Times New Roman"/>
          <w:sz w:val="24"/>
          <w:szCs w:val="24"/>
          <w:lang w:eastAsia="en-US"/>
        </w:rPr>
        <w:t>заключили настоящий Лицензионное соглашение (</w:t>
      </w:r>
      <w:r w:rsidRPr="00145E29">
        <w:rPr>
          <w:rFonts w:ascii="Times New Roman" w:hAnsi="Times New Roman" w:cs="Times New Roman"/>
          <w:sz w:val="24"/>
          <w:szCs w:val="24"/>
        </w:rPr>
        <w:t>далее по тексту – «Соглашение»</w:t>
      </w:r>
      <w:r w:rsidRPr="00145E29">
        <w:rPr>
          <w:rFonts w:ascii="Times New Roman" w:eastAsia="Calibri" w:hAnsi="Times New Roman" w:cs="Times New Roman"/>
          <w:sz w:val="24"/>
          <w:szCs w:val="24"/>
          <w:lang w:eastAsia="en-US"/>
        </w:rPr>
        <w:t xml:space="preserve">) в соответствии  с п.4 ч. 1 ст. 93 </w:t>
      </w:r>
      <w:r w:rsidRPr="00145E29">
        <w:rPr>
          <w:rFonts w:ascii="Times New Roman" w:hAnsi="Times New Roman" w:cs="Times New Roman"/>
          <w:sz w:val="24"/>
          <w:szCs w:val="24"/>
        </w:rPr>
        <w:t xml:space="preserve">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145E29">
        <w:rPr>
          <w:rFonts w:ascii="Times New Roman" w:eastAsia="Calibri" w:hAnsi="Times New Roman" w:cs="Times New Roman"/>
          <w:sz w:val="24"/>
          <w:szCs w:val="24"/>
          <w:lang w:eastAsia="en-US"/>
        </w:rPr>
        <w:t>о нижеследующем:</w:t>
      </w:r>
    </w:p>
    <w:p w14:paraId="51EF5837" w14:textId="77777777" w:rsidR="002751B9" w:rsidRPr="00145E29" w:rsidRDefault="002751B9" w:rsidP="00773DFB">
      <w:pPr>
        <w:spacing w:after="0" w:line="240" w:lineRule="auto"/>
        <w:jc w:val="both"/>
        <w:rPr>
          <w:rFonts w:ascii="Times New Roman" w:hAnsi="Times New Roman" w:cs="Times New Roman"/>
          <w:sz w:val="24"/>
          <w:szCs w:val="24"/>
        </w:rPr>
      </w:pPr>
    </w:p>
    <w:p w14:paraId="661821A7"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1. Общие положения</w:t>
      </w:r>
    </w:p>
    <w:p w14:paraId="46CFDE2E"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 1.1 На условиях настоящего Соглашения Правообладатель предоставляет Пользователю по неисключительной лицензии право использования, в течение срока действия настоящего Соглашения, программы для ЭВМ и базы данных AudaPad Web в пределах доступных Пользователю по настоящему Соглашению функциональных возможностей (далее – База данных). База данных предназначена для расчета стоимости ремонта транспортных средств и/или получения иной определенной информации о транспортных средствах, или о ремонтах транспортных средств, как более подробно описано в Приложении №1R к настоящему Соглашению.</w:t>
      </w:r>
    </w:p>
    <w:p w14:paraId="2F8B74BC"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 1.2 </w:t>
      </w:r>
      <w:r w:rsidRPr="00145E29">
        <w:rPr>
          <w:rFonts w:ascii="Times New Roman" w:hAnsi="Times New Roman" w:cs="Times New Roman"/>
          <w:b/>
          <w:bCs/>
          <w:sz w:val="24"/>
          <w:szCs w:val="24"/>
        </w:rPr>
        <w:t>Учетная запись</w:t>
      </w:r>
      <w:r w:rsidRPr="00145E29">
        <w:rPr>
          <w:rFonts w:ascii="Times New Roman" w:hAnsi="Times New Roman" w:cs="Times New Roman"/>
          <w:sz w:val="24"/>
          <w:szCs w:val="24"/>
        </w:rPr>
        <w:t xml:space="preserve"> (учетные данные: имя и пароль) для использования Базы данных высылаются Пользователю по электронной почте. Пользователь приобретает право использования Базы данных с даты получения Учетной записи по электронной почте. Количество Учетных записей указывается в Приложении №1R к настоящему Соглашению. Учетные записи могут предоставляться определенным сотрудникам (работникам или иным представителям) Пользователя согласно отдельному приложению к настоящему Соглашению.</w:t>
      </w:r>
    </w:p>
    <w:p w14:paraId="140A2AF7"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 1.3 Дополнительные правила использования Базы данных изложены в Приложении №3, являющемся неотъемлемой частью настоящего Соглашения. Правообладатель обеспечивает техническую поддержку Базы данных на условиях согласно Приложению №2 к настоящему Соглашению. Правообладатель может выдавать Пользователю сертификат, документирующий право Пользователя использовать Базу данных, а также содержащий номер Пользователя, который должен сообщаться, в частности, при обращении за технической поддержкой.</w:t>
      </w:r>
    </w:p>
    <w:p w14:paraId="651EF0F6"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 1.4 Надлежащее выполнение настоящего Соглашения подтверждается актами, универсальными передаточными документами или иными подобными первичными документами, подписываемыми сторонами. При отказе Пользователя от подписания актов, универсальных передаточных документов или иных первичных документов, а равно при неполучении Правообладателем от Пользователя подписанного первичного документа или мотивированного отказа от подписания первичного документа в течение 30 дней с даты направления Правообладателем Пользователю данного первичного документа для подписания, в первичном документе делается отметка об этом. В этом случае первичный документ, подписанный Правообладателем в одностороннем порядке, является надлежащим подтверждением выполнения Правообладателем настоящего Соглашения.</w:t>
      </w:r>
    </w:p>
    <w:p w14:paraId="6F0F0626"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 1.5 Передача предусмотренных действующим законодательством актов, счетов-фактур, универсальных передаточных документов, иных первичных документов, а также счетов на оплату (далее – бухгалтерская документация) в рамках исполнения настоящего Соглашения производится по системе электронного документооборота, если Правообладатель и Пользователь являются участниками (пользователями) системы электронного документооборота:</w:t>
      </w:r>
    </w:p>
    <w:p w14:paraId="2E6BD884"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lastRenderedPageBreak/>
        <w:t xml:space="preserve"> 1.5.1. Бухгалтерская документация, подписанная электронной подписью Правообладателя, направляются по системе электронного документооборота: Диадок или другая система (системы), подходящая для организации электронного взаимодействия сторон. Документы направляются в соответствии с правилами системы электронного документооборота. Если Пользователь не является участником (пользователем) системы электронного документооборота, то бухгалтерская документация направляется в следующем порядке: </w:t>
      </w:r>
    </w:p>
    <w:p w14:paraId="7A5E0B67"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1.5.2. Не позднее 5-го рабочего дня месяца, следующего за отчетным, по электронной почте; электронное сообщение должно содержать отсканированные версии оригинальных документов с печатями и подписями; </w:t>
      </w:r>
    </w:p>
    <w:p w14:paraId="04E86B41" w14:textId="398A21FF"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1.5.3. Почтовая рассылка оригиналов документов осуществляется поквартально, пакет документов включает документы за три месяца. Доставка производится экспресс-почтой (курьерской службой) по выбору Правообладателя, при этом стоимость доставки возмещается Пользователем на основании счета Правообладателя. Примерная стоимость доставки документации по регионам России, Казахстана и Беларуси опубликована на официальном сайте Правообладателя</w:t>
      </w:r>
      <w:r w:rsidR="00411860"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63674167"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1.5.4. Ежемесячная доставка оригиналов документов может осуществляться по письменному запросу Пользователя, за счет Пользователя. </w:t>
      </w:r>
    </w:p>
    <w:p w14:paraId="0B44ED61"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1.6. Пользователь извещает Правообладателя об актуальных контактных данных и реквизитах Пользователя (ФИО, e-mail контактного лица Пользователя, e-mail и почтовый адрес для доставки документов, регистрационные и банковские реквизиты Пользователя, ФИО руководителя Пользователя), а в случае изменения контактных данных и реквизитов – своевременно уведомляет Правообладателя о новых контактных данных и реквизитах. В случае отсутствия у Правообладателя сведений об актуальных контактных данных и реквизитах Пользователя ответственность за недоставку бухгалтерской документации и иных документов по настоящему Соглашению возлагается на Пользователя. Правообладатель также не несет ответственность за задержку доставки документов, Учетных записей, допущенную организацией связи.</w:t>
      </w:r>
    </w:p>
    <w:p w14:paraId="6E53575C" w14:textId="77777777" w:rsidR="00773DFB" w:rsidRPr="00145E29" w:rsidRDefault="00773DFB" w:rsidP="00773DFB">
      <w:pPr>
        <w:spacing w:after="0" w:line="240" w:lineRule="auto"/>
        <w:jc w:val="both"/>
        <w:rPr>
          <w:rFonts w:ascii="Times New Roman" w:hAnsi="Times New Roman" w:cs="Times New Roman"/>
          <w:sz w:val="24"/>
          <w:szCs w:val="24"/>
        </w:rPr>
      </w:pPr>
    </w:p>
    <w:p w14:paraId="0E4B5C4F"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2. Правила использования Базы данных </w:t>
      </w:r>
    </w:p>
    <w:p w14:paraId="7C210E26" w14:textId="03470862"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2.1. Способы использования Базы данных: Пользователь вправе использовать Базу данных (осуществлять доступ к Базе данных с помощью Учетных записей) на территории государства местонахождения Пользователя в соответствии с его учредительными и/или регистрационными документами в рамках доступных Пользователю согласно настоящему Соглашению функциональных возможностей Базы данных, как подробно указано в Приложении №1R к настоящему Соглашению. </w:t>
      </w:r>
    </w:p>
    <w:p w14:paraId="1B28C4A3"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2.2. Пользователь вправе запросить обучение своих сотрудников навыкам работы с Базой данных. Обучение организуется и осуществляется Правообладателем или уполномоченными партнерами (например, сертифицированными тренерами) Правообладателя. Данное обучение осуществляется на основе отдельного договора с Правообладателем или одним из сертифицированных тренеров Правообладателя. </w:t>
      </w:r>
    </w:p>
    <w:p w14:paraId="060C6C5F"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2.3. Пользователь обязуется не распространять Базу данных. Под распространением Базы данных понимается предоставление доступа третьим лицам к функциональным возможностям Базы данных или доступа к ее компонентам (частям), в том числе удаленный или иной доступ, передача третьим лицам экземпляров Базы данных или ее компонентов, а также любое иное предоставление или передача Базы данных или ее компонентов. </w:t>
      </w:r>
    </w:p>
    <w:p w14:paraId="25A6331C"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2.4. База данных является единым программным продуктом. Запрещается разделение или отделение частей Базы данных, в том числе для раздельного использования компонентов Базы данных на нескольких компьютерах (рабочих станциях). Все условия настоящего Соглашения относятся как к Базе данных в целом, так и ко всем ее компонентам в отдельности. </w:t>
      </w:r>
    </w:p>
    <w:p w14:paraId="74036E4B"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 Пользователь также обязуется не осуществлять следующих действий: </w:t>
      </w:r>
    </w:p>
    <w:p w14:paraId="42AB2B22"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2.5.1. Использовать Учетные записи на компьютерах, общее количество которых превышает общее количество Учетных записей, указанных в Приложении №1R к настоящему Соглашению; </w:t>
      </w:r>
    </w:p>
    <w:p w14:paraId="3BA282CE"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lastRenderedPageBreak/>
        <w:t xml:space="preserve">2.5.2. Создавать условия для использования Базы данных лицами, не имеющими прав на использование Базы данных и работающими в одной сети или многопользовательской системе с Пользователем; </w:t>
      </w:r>
    </w:p>
    <w:p w14:paraId="6480EF4D"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2.5.3. Изучать технологию работы или декомпилировать Базу данных и/или ее компоненты за исключением случаев, когда такие действия требуются в соответствии с законодательством и совершаются в соответствии с ним; </w:t>
      </w:r>
    </w:p>
    <w:p w14:paraId="41694E57"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2.5.4. Модифицировать, вносить изменения в объектный код или исходный код Базы данных или ее компонентов, за исключением тех изменений, которые вносятся средствами, включенными в Базу данных и описанными в соответствующей документации; </w:t>
      </w:r>
    </w:p>
    <w:p w14:paraId="7FEF329F"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2.5.5. Сублицензировать или иным образом передавать третьим лицам любые права на использование Базы данных или ее компонентов; </w:t>
      </w:r>
    </w:p>
    <w:p w14:paraId="167607DC"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2.5.6. Передавать Учетные записи третьим лицам; </w:t>
      </w:r>
    </w:p>
    <w:p w14:paraId="49182D68"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2.5.7. Включать данные, полученные из Базы данных, в другие базы данных или создавать конкурирующие новые базы данных с использованием таких данных; </w:t>
      </w:r>
    </w:p>
    <w:p w14:paraId="3F92C83F"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2.5.8. Совершать в отношении Базы данных или ее компонентов какие-либо действия, запрещенные законодательством о защите интеллектуальной собственности; </w:t>
      </w:r>
    </w:p>
    <w:p w14:paraId="7D18EE14"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2.5.9. Если Пользователю предоставлена электронная документация к Базе данных, Пользователь имеет право распечатать только одну копию документации. Дальнейшее копирование и распространение сопровождающей Базу данных документации запрещается. </w:t>
      </w:r>
    </w:p>
    <w:p w14:paraId="40726343"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2.6 Любая информация, полученная Пользователем в рамках использования функциональных возможностей Базы данных, в том числе результаты расчетов (калькуляций) стоимости ремонта транспортных средств, ответы на запросы по истории ремонтов и проч., могут использоваться только для внутренних деловых целей Пользователя без передачи третьим лицам или предоставления третьим лицам для ознакомления, если иное прямо не предусмотрено настоящим пунктом. Пользователь может передавать информацию из Базы данных третьему лицу посредством предусматривающих такую передачу функциональных возможностей Базы данных. Пользователь также может передавать третьим лицам результаты расчетов стоимости ремонта транспортных средств (но не иную информацию из Базы данных), в том числе для использования в качестве экспертного заключения или в информационных целях, или в любых иных целях, при условии, что передаваемые результаты расчетов оформлены письменно за подписью уполномоченного сотрудника и печатью (если имеется) Пользователя и содержат номер сертификата Пользователя. Пользователь также должен предпринять все разумные усилия, чтобы избежать дальнейшего распространения результатов расчетов третьим лицом от своего имени (как будто третье лицо самостоятельно выполнило расчеты в Базе данных), в том числе предупредить третье лицо о недопустимости таких действий. Также не допускается какое-либо искажение, исправление или редактирование полученных из Базы данных результатов расчетов стоимости ремонта транспортных средств, а равно иной полученной из Базы данных информации. Если по запросу Пользователя и в соответствии с действующим законодательством в составе полученной Пользователем из Базы данных информации находятся персональные данные, Пользователь обязан соблюдать конфиденциальность таких персональных данных, если иное не предусмотрено согласием субъекта персональных данных или законодательством, а также выполнять другие требования применимого законодательства о персональных данных. Нарушение предусмотренных настоящим пунктом обязанностей дает Правообладателю право расторгнуть настоящее Соглашение в одностороннем порядке. </w:t>
      </w:r>
    </w:p>
    <w:p w14:paraId="7F56CDB0"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2.7 При выполнении расчетов стоимости ремонта Пользователь указывает транспортное средство, в отношении которого соответствующие расчеты действительно выполняются, а также добросовестно принимает все разумные меры и усилия, чтобы выполненные расчеты соответствовали фактическим повреждениям или недостаткам транспортного средства, и/или требуемому ремонту. Пользователь обязан в течение 3 (трех) рабочих дней письменно ответить на запрос Правообладателя по обстоятельствам выполнения определенного расчета (расчетов), в том числе по соответствию выполненного расчета и повреждений транспортного средства. Указанные запрос Правообладателя и ответ Пользователя могут направляться по электронной почте. В случае предъявления третьим лицом иска к Правообладателю по оспариванию </w:t>
      </w:r>
      <w:r w:rsidRPr="00145E29">
        <w:rPr>
          <w:rFonts w:ascii="Times New Roman" w:hAnsi="Times New Roman" w:cs="Times New Roman"/>
          <w:sz w:val="24"/>
          <w:szCs w:val="24"/>
        </w:rPr>
        <w:lastRenderedPageBreak/>
        <w:t>выполненных Пользователем расчетов как недостоверных (т.е. не соответствующих фактическим повреждениям и/или требуемому ремонту) полностью или частично, правообладатель вправе (но не обязан) просить суд привлечь Пользователя к участию в деле.</w:t>
      </w:r>
    </w:p>
    <w:p w14:paraId="401DDCA9" w14:textId="77777777" w:rsidR="00773DFB" w:rsidRPr="00145E29" w:rsidRDefault="00773DFB" w:rsidP="00773DFB">
      <w:pPr>
        <w:spacing w:after="0" w:line="240" w:lineRule="auto"/>
        <w:jc w:val="both"/>
        <w:rPr>
          <w:rFonts w:ascii="Times New Roman" w:hAnsi="Times New Roman" w:cs="Times New Roman"/>
          <w:sz w:val="24"/>
          <w:szCs w:val="24"/>
        </w:rPr>
      </w:pPr>
    </w:p>
    <w:p w14:paraId="54A725D2"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3. Исключительные права и лицензия </w:t>
      </w:r>
    </w:p>
    <w:p w14:paraId="2B62CEBE"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3.1. Правообладатель обладает правами на использование и распространение Базы данных (в том числе любые включенные в нее графические изображения, фотографии, тексты, дополнительные программы, а также другие объекты авторского права), а также на сопровождающие ее печатные материалы на территории Российской Федерации и ряда других государств на основании соглашения с обладателем исключительных прав на Базу данных. Настоящее Соглашение не дает Пользователю никаких прав на</w:t>
      </w:r>
      <w:r w:rsidR="008131A3" w:rsidRPr="00145E29">
        <w:rPr>
          <w:rFonts w:ascii="Times New Roman" w:hAnsi="Times New Roman" w:cs="Times New Roman"/>
          <w:sz w:val="24"/>
          <w:szCs w:val="24"/>
        </w:rPr>
        <w:t xml:space="preserve"> </w:t>
      </w:r>
      <w:r w:rsidRPr="00145E29">
        <w:rPr>
          <w:rFonts w:ascii="Times New Roman" w:hAnsi="Times New Roman" w:cs="Times New Roman"/>
          <w:sz w:val="24"/>
          <w:szCs w:val="24"/>
        </w:rPr>
        <w:t xml:space="preserve">содержание файлов, составляющих Базу данных (за исключением, во избежание сомнений, использования Базы данных в соответствии с настоящим Соглашением). </w:t>
      </w:r>
    </w:p>
    <w:p w14:paraId="08A2269E"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3.2. При условии предварительного уведомления в срок не менее чем за 3 (три) рабочих дня Правообладатель или уполномоченный представитель Правообладателя и/или обладатель исключительного права на Базу данных имеет право за счет Правообладателя проводить проверку использования Пользователем Базы данных. Любая такая проверка будет проводиться в обычное рабочее время Пользователя, при этом Пользователь обязуется обеспечить доступ к компьютерам Пользователя для цели проверки соответствия использования Базы данных условиям настоящего Соглашения, включая доступ к расчетам стоимости ремонта транспортных средств, иным операциям Пользователя в Базе данных, а также к полученной из Базы данных информации. Если проверка выявит, что Пользователь использует Учетные данные, Базу данных в нарушение настоящего Соглашения, то Пользователь несет ответственность согласно применимому законодательству, а также обязан уплатить все неоплаченные платежи по настоящему Соглашению и штраф в размере 25% от суммы неоплаченных платежей, и возместить Правообладателю затраты на проведение проверки в течение 14 (четырнадцати) календарных дней с даты соответствующего счета (счетов) от Правообладателя. Любая информация, полученная Правообладателем или уполномоченным представителем Правообладателя, или обладателем исключительного права на Базу данных в ходе такой проверки будет использоваться и раскрываться Правообладателем исключительно в целях такой проверки и для обеспечения соблюдения и защиты прав Правообладателя и обладателя исключительного права на Базу данных в соответствии с настоящим Соглашением, иным применимым соглашением и законодательством. Положения настоящего пункта не должны рассматриваться как ограничение или отказ от других средств правовой защиты, которые могут использоваться Правообладателем или обладателем исключительного права на Базу данных в соответствии с настоящим Соглашением, иным применимым соглашением и законодательством. </w:t>
      </w:r>
    </w:p>
    <w:p w14:paraId="4FB03BD6"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3.3. Пользователь должен предпринять все разумные усилия, чтобы предотвратить возможные нарушения интеллектуальных прав на Базу данных, а также должен незамедлительно уведомить Правообладателя о действительно состоявшемся или предполагаемом нарушении. В этой связи Пользователь, среди прочего, обязан сообщать третьим лицам о принадлежности Правообладателю прав на распространение Базы данных (насколько такое сообщение является уместным с учетом данных коммерческих, технических и иных обстоятельств); уведомлять своих работников об установленных настоящим Соглашением правилах использования Базы данных; передавать своим работникам дополнительно сообщенные Правообладателем инструкции или ограничения (если имеются) по использованию Базы данных или конфликтующего программного обеспечения сторонних производителей; принимать необходимые технические и организационные меры для соблюдения ограничений и запретов по использованию Базы данных, предусмотренных статьей 2 настоящего Соглашения.</w:t>
      </w:r>
    </w:p>
    <w:p w14:paraId="36F462AD" w14:textId="77777777" w:rsidR="00773DFB" w:rsidRPr="00145E29" w:rsidRDefault="00773DFB" w:rsidP="00773DFB">
      <w:pPr>
        <w:spacing w:after="0" w:line="240" w:lineRule="auto"/>
        <w:jc w:val="both"/>
        <w:rPr>
          <w:rFonts w:ascii="Times New Roman" w:hAnsi="Times New Roman" w:cs="Times New Roman"/>
          <w:sz w:val="24"/>
          <w:szCs w:val="24"/>
        </w:rPr>
      </w:pPr>
    </w:p>
    <w:p w14:paraId="587A49D5"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4. Действие настоящего Соглашения и порядок автоматического продления </w:t>
      </w:r>
    </w:p>
    <w:p w14:paraId="666F590D"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4.1 При условии своевременной и надлежащей оплаты Пользователю предоставляется право на использование Базы данных на срок действия настоящего Соглашения, указанный в настоящем </w:t>
      </w:r>
      <w:r w:rsidRPr="00145E29">
        <w:rPr>
          <w:rFonts w:ascii="Times New Roman" w:hAnsi="Times New Roman" w:cs="Times New Roman"/>
          <w:sz w:val="24"/>
          <w:szCs w:val="24"/>
        </w:rPr>
        <w:lastRenderedPageBreak/>
        <w:t xml:space="preserve">Соглашении и/или Приложении №1R к настоящему Соглашению, а если определенные даты начала и окончания срока не указаны или если Стороны совместно установили, что указанная дата начала не совпадает с фактической датой направления Учетных записей Пользователю, то на срок 1 (один) год с даты направления Пользователю Учетных записей по электронной почте (далее – Срок действия). Действие настоящего Соглашения может быть продлено по дополнительному соглашению Сторон. </w:t>
      </w:r>
    </w:p>
    <w:p w14:paraId="58B83E68"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4.2 Если Пользователь не использовал вообще или не использовал часть из указанного в настоящем Соглашении и/или Приложении №1R к настоящему Соглашению количества операций в Базе данных (расчетов стоимости ремонта транспортных средств, запросов истории ремонтов и проч.), на которое Пользователь имеет право в текущем Сроке действия, то при продлении настоящего Соглашения право на осуществление неиспользованного количества операций на следующий период не переходит. Это положение настоящего Соглашения применяется независимо от того, неиспользованное количество операций было оплачено Пользователем или нет. </w:t>
      </w:r>
    </w:p>
    <w:p w14:paraId="2F3F1132"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4.3 Пользование всеми Учетными записями прекращается единовременно при прекращении настоящего Соглашения по любому основанию, в том числе если в течение Срока действия заключено дополнительное соглашение (соглашение об изменении), в соответствии с которым Правообладатель предоставил Пользователю Учетные записи дополнительно к Учетным записям, которые уже имелись у Пользователя. </w:t>
      </w:r>
    </w:p>
    <w:p w14:paraId="218376D8"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4.4 Оплата выставленного Правообладателем счета за предоставление Учетных записей или любого иного счета на оплату, выставленного Правообладателем по настоящему Соглашению, а равно использование Пользователем Базы данных рассматривается как согласие Пользователя со всеми предложенными Правообладателем условиями настоящего Соглашения или предложенными Правообладателями изменениями и дополнениями к настоящему Соглашению, даже если настоящее Соглашения или соответствующие изменения и дополнения к нему не подписаны Пользователем. В этом случае настоящее Соглашение или соответствующие изменения и дополнения к нему вступают в силу и подлежат применению. Равным образом, если Пользователь направил уведомление об отказе от продления настоящего Соглашения, однако оплатил выставленный Правообладателем счет на оплату, относящийся к последующему Сроку действия, либо продолжил фактическое использование Базы данных после окончания текущего Срока действия, то действие настоящего Соглашения считается продленным. </w:t>
      </w:r>
    </w:p>
    <w:p w14:paraId="4B73017A"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4.5 Если настоящее Соглашение заключено после предоставления Учетных записей, то действие настоящего Соглашения распространяется на отношения между сторонами, возникшие с даты предоставления Учетных записей. </w:t>
      </w:r>
    </w:p>
    <w:p w14:paraId="160C8A54" w14:textId="77777777" w:rsidR="00773DFB" w:rsidRPr="00145E29" w:rsidRDefault="00773DFB" w:rsidP="00773DFB">
      <w:pPr>
        <w:spacing w:after="0" w:line="240" w:lineRule="auto"/>
        <w:jc w:val="both"/>
        <w:rPr>
          <w:rFonts w:ascii="Times New Roman" w:hAnsi="Times New Roman" w:cs="Times New Roman"/>
          <w:sz w:val="24"/>
          <w:szCs w:val="24"/>
        </w:rPr>
      </w:pPr>
    </w:p>
    <w:p w14:paraId="7A23664B"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5. Стоимость настоящего Соглашения </w:t>
      </w:r>
    </w:p>
    <w:p w14:paraId="3B184AC6"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5.1. Вознаграждение за право на использование Базы данных и виды платежей определяются в Приложении №1R к настоящему Соглашению (стоимость настоящего Соглашения). В любом случае Пользователь обязан оплатить полную стоимость фактического использования Базы данных. </w:t>
      </w:r>
    </w:p>
    <w:p w14:paraId="2DF96DC4"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5.2. Все платежи по настоящему Соглашению осуществляются Пользователем в российских рублях. Устанавливаются следующие основания и порядок изменения стоимости настоящего Соглашения, предусмотренной Приложением № 1R к настоящему Соглашению: </w:t>
      </w:r>
    </w:p>
    <w:p w14:paraId="54F4B7E4" w14:textId="34845FB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5.2.1. Правообладатель </w:t>
      </w:r>
      <w:r w:rsidR="000306CC" w:rsidRPr="00145E29">
        <w:rPr>
          <w:rFonts w:ascii="Times New Roman" w:hAnsi="Times New Roman" w:cs="Times New Roman"/>
          <w:sz w:val="24"/>
          <w:szCs w:val="24"/>
        </w:rPr>
        <w:t xml:space="preserve">не </w:t>
      </w:r>
      <w:r w:rsidRPr="00145E29">
        <w:rPr>
          <w:rFonts w:ascii="Times New Roman" w:hAnsi="Times New Roman" w:cs="Times New Roman"/>
          <w:sz w:val="24"/>
          <w:szCs w:val="24"/>
        </w:rPr>
        <w:t xml:space="preserve">вправе по своему усмотрению в течение Срока действия производить увеличение цен. </w:t>
      </w:r>
    </w:p>
    <w:p w14:paraId="4B3F8ECD"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5.3. Оплата Пользователем платежей в счет стоимости настоящего Соглашения, предусмотренных Приложением № 1R к настоящему Соглашению, производится на основании счетов, выставленных Правообладателем, по факту. </w:t>
      </w:r>
    </w:p>
    <w:p w14:paraId="60563AAB"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5.4. Если не предусмотрен иной оплачиваемый период, счета на оплату предусмотренных Приложением №1R к настоящему Соглашению платежей за использование функциональных возможностей Базы данных выставляются Правообладателем за расчетный период. Расчетный период определяется Правообладателем, сообщение об установленных датах начала и </w:t>
      </w:r>
      <w:r w:rsidRPr="00145E29">
        <w:rPr>
          <w:rFonts w:ascii="Times New Roman" w:hAnsi="Times New Roman" w:cs="Times New Roman"/>
          <w:sz w:val="24"/>
          <w:szCs w:val="24"/>
        </w:rPr>
        <w:lastRenderedPageBreak/>
        <w:t xml:space="preserve">окончания расчетного периода размещаются на сайте Правообладателя. Если иной расчетный период не установлен Правообладателем, датой начала расчетного периода является 26 число календарного месяца, а датой окончания – 25 число следующего календарного месяца. </w:t>
      </w:r>
    </w:p>
    <w:p w14:paraId="6715970C" w14:textId="25034F8A"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5.5. Если иное не согласовано сторонами, оплата Пользователем платежей по настоящему Соглашению производится в течение </w:t>
      </w:r>
      <w:r w:rsidR="008131A3" w:rsidRPr="00145E29">
        <w:rPr>
          <w:rFonts w:ascii="Times New Roman" w:hAnsi="Times New Roman" w:cs="Times New Roman"/>
          <w:sz w:val="24"/>
          <w:szCs w:val="24"/>
        </w:rPr>
        <w:t>7 (семи</w:t>
      </w:r>
      <w:r w:rsidRPr="00145E29">
        <w:rPr>
          <w:rFonts w:ascii="Times New Roman" w:hAnsi="Times New Roman" w:cs="Times New Roman"/>
          <w:sz w:val="24"/>
          <w:szCs w:val="24"/>
        </w:rPr>
        <w:t xml:space="preserve">) </w:t>
      </w:r>
      <w:r w:rsidR="008131A3" w:rsidRPr="00145E29">
        <w:rPr>
          <w:rFonts w:ascii="Times New Roman" w:hAnsi="Times New Roman" w:cs="Times New Roman"/>
          <w:sz w:val="24"/>
          <w:szCs w:val="24"/>
        </w:rPr>
        <w:t>рабочих</w:t>
      </w:r>
      <w:r w:rsidRPr="00145E29">
        <w:rPr>
          <w:rFonts w:ascii="Times New Roman" w:hAnsi="Times New Roman" w:cs="Times New Roman"/>
          <w:sz w:val="24"/>
          <w:szCs w:val="24"/>
        </w:rPr>
        <w:t xml:space="preserve"> дней с даты </w:t>
      </w:r>
      <w:r w:rsidR="00BE4BCE" w:rsidRPr="00145E29">
        <w:rPr>
          <w:rFonts w:ascii="Times New Roman" w:hAnsi="Times New Roman" w:cs="Times New Roman"/>
          <w:sz w:val="24"/>
          <w:szCs w:val="24"/>
        </w:rPr>
        <w:t>подписания Пользователем документа о приемке</w:t>
      </w:r>
      <w:r w:rsidRPr="00145E29">
        <w:rPr>
          <w:rFonts w:ascii="Times New Roman" w:hAnsi="Times New Roman" w:cs="Times New Roman"/>
          <w:sz w:val="24"/>
          <w:szCs w:val="24"/>
        </w:rPr>
        <w:t xml:space="preserve">. </w:t>
      </w:r>
    </w:p>
    <w:p w14:paraId="42509AE6"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5.6. С учетом пункта 6.5 настоящего Соглашения, прекращение действия настоящего Соглашения по любому основанию не отменяет обязанности Пользователя полностью оплатить платежи по настоящему Соглашению в соответствии со счетами на оплату, выставленными Правообладателем на дату прекращения настоящего Соглашения, а равно не лишает Правообладателя права на взыскание пени (неустойки) за просрочку платежа согласно пункту 7.3 настоящего Соглашения до даты оплаты. </w:t>
      </w:r>
    </w:p>
    <w:p w14:paraId="295346D8" w14:textId="30633833"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5.7. Оплата осуществляется путем банковского перевода денежных средств, </w:t>
      </w:r>
      <w:r w:rsidR="00537F34" w:rsidRPr="00145E29">
        <w:rPr>
          <w:rFonts w:ascii="Times New Roman" w:eastAsia="Calibri" w:hAnsi="Times New Roman" w:cs="Times New Roman"/>
          <w:sz w:val="24"/>
          <w:szCs w:val="24"/>
        </w:rPr>
        <w:t xml:space="preserve">Платеж считается произведенным Пользователем с момента перечисления суммы платежа на расчетный счет </w:t>
      </w:r>
      <w:r w:rsidR="00537F34" w:rsidRPr="00145E29">
        <w:rPr>
          <w:rFonts w:ascii="Times New Roman" w:hAnsi="Times New Roman" w:cs="Times New Roman"/>
          <w:sz w:val="24"/>
          <w:szCs w:val="24"/>
        </w:rPr>
        <w:t>Правообладателя</w:t>
      </w:r>
      <w:r w:rsidRPr="00145E29">
        <w:rPr>
          <w:rFonts w:ascii="Times New Roman" w:hAnsi="Times New Roman" w:cs="Times New Roman"/>
          <w:sz w:val="24"/>
          <w:szCs w:val="24"/>
        </w:rPr>
        <w:t>.</w:t>
      </w:r>
    </w:p>
    <w:p w14:paraId="7AD18569" w14:textId="77777777" w:rsidR="00773DFB" w:rsidRPr="00145E29" w:rsidRDefault="00773DFB" w:rsidP="00773DFB">
      <w:pPr>
        <w:spacing w:after="0" w:line="240" w:lineRule="auto"/>
        <w:jc w:val="both"/>
        <w:rPr>
          <w:rFonts w:ascii="Times New Roman" w:hAnsi="Times New Roman" w:cs="Times New Roman"/>
          <w:sz w:val="24"/>
          <w:szCs w:val="24"/>
        </w:rPr>
      </w:pPr>
    </w:p>
    <w:p w14:paraId="52F80F25"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6. Расторжение и изменение настоящего Соглашения </w:t>
      </w:r>
    </w:p>
    <w:p w14:paraId="30B77052" w14:textId="29FAD399" w:rsidR="00F7370C" w:rsidRPr="00145E29" w:rsidRDefault="00764542" w:rsidP="00F7370C">
      <w:pPr>
        <w:tabs>
          <w:tab w:val="left" w:pos="851"/>
        </w:tabs>
        <w:spacing w:after="0" w:line="240" w:lineRule="auto"/>
        <w:jc w:val="both"/>
        <w:rPr>
          <w:rFonts w:ascii="Times New Roman" w:hAnsi="Times New Roman" w:cs="Times New Roman"/>
          <w:color w:val="000000"/>
          <w:sz w:val="24"/>
          <w:szCs w:val="24"/>
        </w:rPr>
      </w:pPr>
      <w:r w:rsidRPr="00145E29">
        <w:rPr>
          <w:rFonts w:ascii="Times New Roman" w:hAnsi="Times New Roman" w:cs="Times New Roman"/>
          <w:sz w:val="24"/>
          <w:szCs w:val="24"/>
        </w:rPr>
        <w:t xml:space="preserve">6.1 </w:t>
      </w:r>
      <w:r w:rsidR="00F7370C" w:rsidRPr="00145E29">
        <w:rPr>
          <w:rFonts w:ascii="Times New Roman" w:hAnsi="Times New Roman" w:cs="Times New Roman"/>
          <w:sz w:val="24"/>
          <w:szCs w:val="24"/>
        </w:rPr>
        <w:t xml:space="preserve">Изменение существенных условий Контракта при его исполнении допускается по соглашению Сторон в случаях, предусмотренных </w:t>
      </w:r>
      <w:r w:rsidR="00F7370C" w:rsidRPr="00145E29">
        <w:rPr>
          <w:rFonts w:ascii="Times New Roman" w:hAnsi="Times New Roman" w:cs="Times New Roman"/>
          <w:color w:val="000000"/>
          <w:sz w:val="24"/>
          <w:szCs w:val="24"/>
        </w:rPr>
        <w:t>Федеральным законом</w:t>
      </w:r>
      <w:r w:rsidR="00F7370C" w:rsidRPr="00145E29">
        <w:rPr>
          <w:rFonts w:ascii="Times New Roman" w:hAnsi="Times New Roman" w:cs="Times New Roman"/>
          <w:sz w:val="24"/>
          <w:szCs w:val="24"/>
        </w:rPr>
        <w:t xml:space="preserve"> от 05.04.2013 г. № 44-ФЗ</w:t>
      </w:r>
      <w:r w:rsidR="00F7370C" w:rsidRPr="00145E29">
        <w:rPr>
          <w:rFonts w:ascii="Times New Roman" w:hAnsi="Times New Roman" w:cs="Times New Roman"/>
          <w:color w:val="000000"/>
          <w:sz w:val="24"/>
          <w:szCs w:val="24"/>
        </w:rPr>
        <w:t>.</w:t>
      </w:r>
    </w:p>
    <w:p w14:paraId="5282C986" w14:textId="42C8BCAB" w:rsidR="00764542" w:rsidRPr="00145E29" w:rsidRDefault="00F7370C" w:rsidP="00F7370C">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6.2 Расторжение настоящего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положениями статьи 95 Федерального закона от 05.04.2013 г. №44-ФЗ</w:t>
      </w:r>
      <w:r w:rsidR="00764542" w:rsidRPr="00145E29">
        <w:rPr>
          <w:rFonts w:ascii="Times New Roman" w:hAnsi="Times New Roman" w:cs="Times New Roman"/>
          <w:sz w:val="24"/>
          <w:szCs w:val="24"/>
        </w:rPr>
        <w:t>.</w:t>
      </w:r>
    </w:p>
    <w:p w14:paraId="7E79EC9F" w14:textId="77777777" w:rsidR="00773DFB" w:rsidRPr="00145E29" w:rsidRDefault="00773DFB" w:rsidP="00773DFB">
      <w:pPr>
        <w:spacing w:after="0" w:line="240" w:lineRule="auto"/>
        <w:jc w:val="both"/>
        <w:rPr>
          <w:rFonts w:ascii="Times New Roman" w:hAnsi="Times New Roman" w:cs="Times New Roman"/>
          <w:sz w:val="24"/>
          <w:szCs w:val="24"/>
        </w:rPr>
      </w:pPr>
    </w:p>
    <w:p w14:paraId="267792E3"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7. Ответственность </w:t>
      </w:r>
    </w:p>
    <w:p w14:paraId="15AEBEB1" w14:textId="5ADD875B" w:rsidR="000E567B" w:rsidRPr="00145E29" w:rsidRDefault="000E567B" w:rsidP="000E567B">
      <w:pPr>
        <w:tabs>
          <w:tab w:val="left" w:pos="709"/>
        </w:tabs>
        <w:spacing w:after="0" w:line="240" w:lineRule="auto"/>
        <w:jc w:val="both"/>
        <w:rPr>
          <w:rFonts w:ascii="Times New Roman" w:eastAsia="Calibri" w:hAnsi="Times New Roman" w:cs="Times New Roman"/>
          <w:color w:val="000000"/>
          <w:sz w:val="24"/>
          <w:szCs w:val="24"/>
        </w:rPr>
      </w:pPr>
      <w:r w:rsidRPr="00145E29">
        <w:rPr>
          <w:rFonts w:ascii="Times New Roman" w:hAnsi="Times New Roman" w:cs="Times New Roman"/>
          <w:sz w:val="24"/>
          <w:szCs w:val="24"/>
          <w:shd w:val="clear" w:color="auto" w:fill="FFFFFF"/>
        </w:rPr>
        <w:t xml:space="preserve">7.1 Стороны несут ответственность за ненадлежащее выполнение условий настоящего </w:t>
      </w:r>
      <w:r w:rsidR="00BE4BCE" w:rsidRPr="00145E29">
        <w:rPr>
          <w:rFonts w:ascii="Times New Roman" w:hAnsi="Times New Roman" w:cs="Times New Roman"/>
          <w:sz w:val="24"/>
          <w:szCs w:val="24"/>
          <w:shd w:val="clear" w:color="auto" w:fill="FFFFFF"/>
        </w:rPr>
        <w:t>Соглашения</w:t>
      </w:r>
      <w:r w:rsidRPr="00145E29">
        <w:rPr>
          <w:rFonts w:ascii="Times New Roman" w:hAnsi="Times New Roman" w:cs="Times New Roman"/>
          <w:sz w:val="24"/>
          <w:szCs w:val="24"/>
          <w:shd w:val="clear" w:color="auto" w:fill="FFFFFF"/>
        </w:rPr>
        <w:t xml:space="preserve"> в соответствии с действующим законодательством РФ и настоящим </w:t>
      </w:r>
      <w:r w:rsidR="00BE4BCE" w:rsidRPr="00145E29">
        <w:rPr>
          <w:rFonts w:ascii="Times New Roman" w:hAnsi="Times New Roman" w:cs="Times New Roman"/>
          <w:sz w:val="24"/>
          <w:szCs w:val="24"/>
          <w:shd w:val="clear" w:color="auto" w:fill="FFFFFF"/>
        </w:rPr>
        <w:t>Соглашением</w:t>
      </w:r>
      <w:r w:rsidRPr="00145E29">
        <w:rPr>
          <w:rFonts w:ascii="Times New Roman" w:hAnsi="Times New Roman" w:cs="Times New Roman"/>
          <w:sz w:val="24"/>
          <w:szCs w:val="24"/>
          <w:shd w:val="clear" w:color="auto" w:fill="FFFFFF"/>
        </w:rPr>
        <w:t>.</w:t>
      </w:r>
    </w:p>
    <w:p w14:paraId="77920D09" w14:textId="77777777" w:rsidR="00773DFB" w:rsidRPr="00145E29" w:rsidRDefault="00773DFB" w:rsidP="00773DFB">
      <w:pPr>
        <w:spacing w:after="0" w:line="240" w:lineRule="auto"/>
        <w:jc w:val="both"/>
        <w:rPr>
          <w:rFonts w:ascii="Times New Roman" w:hAnsi="Times New Roman" w:cs="Times New Roman"/>
          <w:b/>
          <w:bCs/>
          <w:sz w:val="24"/>
          <w:szCs w:val="24"/>
        </w:rPr>
      </w:pPr>
    </w:p>
    <w:p w14:paraId="390B079C" w14:textId="77777777" w:rsidR="00764542" w:rsidRPr="00145E29" w:rsidRDefault="00764542"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8. Недостатки Базы данных </w:t>
      </w:r>
    </w:p>
    <w:p w14:paraId="772FB087"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8.1 Правообладатель предоставляет Базу данных и (в случае их оказания) любые сопутствующие услуги, такие как техническая поддержка, на условиях «как есть», со всеми возможно имеющимися неисправностями или недостатками, и отказывается от любых гарантий, обязательств и ответственности, включая любые гарантии в отношении пригодности для определенной цели, отсутствия компьютерных вирусов, точности или полноты Базы данных и результатов ее работы, соответствия описанию, отсутствия неосторожности при создании Базы данных. Правообладатель не гарантирует, что База данных не содержит отдельных ошибок в данных. Правообладатель не гарантирует совместимость или взаимодействие Базы данных с программным обеспечением и оборудованием других изготовителей. </w:t>
      </w:r>
    </w:p>
    <w:p w14:paraId="7B942878"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8.2 В той степени, в какой требования в связи с неисправностями или недостатками Базы данных не исключены настоящим Соглашением и могут быть предъявлены согласно применимому законодательству, такие требования предъявляются не позднее истечения 60 (шестидесяти) дней со дня первой передачи Учетных записей по настоящему Соглашению, за исключением требований в связи с нарушением интеллектуальной собственности. </w:t>
      </w:r>
    </w:p>
    <w:p w14:paraId="7DE1867D" w14:textId="77777777"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8.3 Правообладатель возмещает Пользователю реальный ущерб (в том числе расходы) в полном объеме, который должен быть выплачен Пользователем третьей стороне согласно досудебному требованию или иску (далее – Претензия) в связи с тем, что использование Базы данных Пользователем в соответствии с условиями настоящего Соглашения нарушает интеллектуальную собственность третьей стороны, при соблюдении нижеследующих условий: </w:t>
      </w:r>
    </w:p>
    <w:p w14:paraId="4FF17633"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а) Пользователь направляет письменное уведомление Правообладателю о Претензии сразу же после того, как ему стало известно о ней, и не соглашается с ответственностью, а равно не пытается иным образом урегулировать или достичь мирового соглашения в отношении такой Претензии, кроме как в соответствии с письменными инструкциями Правообладателя; и</w:t>
      </w:r>
    </w:p>
    <w:p w14:paraId="7D50680D"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lastRenderedPageBreak/>
        <w:t xml:space="preserve">б) Правообладатель принимает окончательные решения по мерам для защиты от Претензии или оформлению мирового соглашения в отношении Претензии. В отношениях между Пользователем и Правообладателем только Правообладатель имеет право на любые возмещения или платежи, которые могут быть по судебному решению, мировому соглашению или иным образом возложены на заявившую Претензию третье лицо; и </w:t>
      </w:r>
    </w:p>
    <w:p w14:paraId="10B4BFA6"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в) Пользователь действует в соответствии с разумными инструкциями Правообладателя и оказывает Правообладателю такое содействие, которое может потребоваться на разумных основаниях для защиты от Претензии или оформления мирового соглашения; и </w:t>
      </w:r>
    </w:p>
    <w:p w14:paraId="0128FFC7"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г) Правообладатель не несет ответственности перед Пользователем, если Претензия вызвана нарушением настоящего Соглашения Пользователем. </w:t>
      </w:r>
    </w:p>
    <w:p w14:paraId="1CE918D0"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8.4 В случае действительного получения Претензии или (по мнению Правообладателя) возможности Претензии Правообладатель вправе по собственному усмотрению: </w:t>
      </w:r>
    </w:p>
    <w:p w14:paraId="35699AC9"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а) предпринять меры в целях обеспечения законного использования Пользователем Базы данных, если такие меры необходимы; или </w:t>
      </w:r>
    </w:p>
    <w:p w14:paraId="2F63F157"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б) изменить Базу данных таким образом, чтобы она перестала нарушать интеллектуальные права третьего лица, без существенного снижения функциональности или производительности; или </w:t>
      </w:r>
    </w:p>
    <w:p w14:paraId="282E705F" w14:textId="77777777" w:rsidR="00262535"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в) заменить Базу данных заменяющим продуктом, не приводящим к нарушениям интеллектуальных прав третьего лица, при условии, что такая замена не приведет к существенному снижению функциональности или производительности. </w:t>
      </w:r>
    </w:p>
    <w:p w14:paraId="1899B738" w14:textId="01E149EE" w:rsidR="00764542" w:rsidRPr="00145E29" w:rsidRDefault="00764542"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8.5 В случае неисправностей или недостатков Базы данных Пользователь может воспользоваться только средствами правовой защиты, прямо указанными в настоящей статье Соглашения. </w:t>
      </w:r>
    </w:p>
    <w:p w14:paraId="5C16967D" w14:textId="77777777" w:rsidR="00773DFB" w:rsidRPr="00145E29" w:rsidRDefault="00773DFB" w:rsidP="00773DFB">
      <w:pPr>
        <w:spacing w:after="0" w:line="240" w:lineRule="auto"/>
        <w:jc w:val="both"/>
        <w:rPr>
          <w:rFonts w:ascii="Times New Roman" w:hAnsi="Times New Roman" w:cs="Times New Roman"/>
          <w:sz w:val="24"/>
          <w:szCs w:val="24"/>
        </w:rPr>
      </w:pPr>
    </w:p>
    <w:p w14:paraId="69982D9F" w14:textId="77777777" w:rsidR="00262535" w:rsidRPr="00145E29" w:rsidRDefault="00262535" w:rsidP="00773DFB">
      <w:pPr>
        <w:spacing w:after="0" w:line="240" w:lineRule="auto"/>
        <w:jc w:val="both"/>
        <w:rPr>
          <w:rFonts w:ascii="Times New Roman" w:hAnsi="Times New Roman" w:cs="Times New Roman"/>
          <w:b/>
          <w:bCs/>
          <w:sz w:val="24"/>
          <w:szCs w:val="24"/>
        </w:rPr>
      </w:pPr>
      <w:r w:rsidRPr="00145E29">
        <w:rPr>
          <w:rFonts w:ascii="Times New Roman" w:hAnsi="Times New Roman" w:cs="Times New Roman"/>
          <w:b/>
          <w:bCs/>
          <w:sz w:val="24"/>
          <w:szCs w:val="24"/>
        </w:rPr>
        <w:t xml:space="preserve">9. Конфиденциальность </w:t>
      </w:r>
    </w:p>
    <w:p w14:paraId="0E1B2267"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9.1 Если иное не предусмотрено настоящим Соглашением, положения настоящего Соглашения являются коммерческой тайной и не подлежат раскрытию какому-либо третьему лицу (за исключением правопреемников сторон) без письменного согласия другой стороны, за исключением случаев, когда раскрытие положений настоящего Соглашения требуется в соответствии с применимым законодательством.</w:t>
      </w:r>
    </w:p>
    <w:p w14:paraId="420383A3" w14:textId="77777777" w:rsidR="00262535" w:rsidRPr="00145E29" w:rsidRDefault="00262535" w:rsidP="00773DFB">
      <w:pPr>
        <w:spacing w:after="0" w:line="240" w:lineRule="auto"/>
        <w:jc w:val="both"/>
        <w:rPr>
          <w:rFonts w:ascii="Times New Roman" w:hAnsi="Times New Roman" w:cs="Times New Roman"/>
          <w:sz w:val="24"/>
          <w:szCs w:val="24"/>
        </w:rPr>
      </w:pPr>
      <w:proofErr w:type="gramStart"/>
      <w:r w:rsidRPr="00145E29">
        <w:rPr>
          <w:rFonts w:ascii="Times New Roman" w:hAnsi="Times New Roman" w:cs="Times New Roman"/>
          <w:sz w:val="24"/>
          <w:szCs w:val="24"/>
        </w:rPr>
        <w:t>9.2 В случае если</w:t>
      </w:r>
      <w:proofErr w:type="gramEnd"/>
      <w:r w:rsidRPr="00145E29">
        <w:rPr>
          <w:rFonts w:ascii="Times New Roman" w:hAnsi="Times New Roman" w:cs="Times New Roman"/>
          <w:sz w:val="24"/>
          <w:szCs w:val="24"/>
        </w:rPr>
        <w:t xml:space="preserve"> сторона получает запрос от какого-либо компетентного государственного или муниципального органа, или суда, на раскрытие положений настоящего Соглашения, то сторона раскрывает положения настоящего Соглашения в соответствии с таким запросом, только если раскрытие информации является обязательным в соответствии с применимым законодательством, и сообщает другой стороне о таком раскрытии. </w:t>
      </w:r>
    </w:p>
    <w:p w14:paraId="1BDDE33A"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9.3 Информация о факте существования и Сроке действия, а также наименовании, ИНН, ОГРН, адресе и указанных в Соглашении иных контактных данных стороны настоящего Соглашения, а также информация, содержащаяся в сертификате Пользователя, не является конфиденциальной. Эта информация может передаваться третьим лицам, в том числе размещаться в интернете. </w:t>
      </w:r>
    </w:p>
    <w:p w14:paraId="2A62E7D6"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9.4 Правообладатель (и/или обладатель исключительных прав на Базу данных, и/или аффилированные с Правообладателем организации) получает и хранит информацию о транспортных средствах, повреждениях транспортного средства, трудоемкости ремонтных работ, о видах и стоимости ремонтных воздействий, а также иную информацию, которая введена Пользователем при выполнении операций в Базе данных и/или сформирована Базой данных на основе введенной Пользователем информации, включая сведения о Пользователе (Статистические данные). Любые Статистические данные принадлежат Правообладателю без каких-либо обязанностей перед Пользователем или ограничений (кроме односторонне установленных Правообладателем) в отношении конфиденциальности или иной защиты Статистических данных, за исключением защиты персональных данных в составе Статистических данных (если имеются), как предусмотрено настоящим Соглашением и действующим законодательством. Правообладатель (а также обладатель исключительных прав на Базу данных и/или аффилированные с Правообладателем организации) вправе в течение </w:t>
      </w:r>
      <w:r w:rsidRPr="00145E29">
        <w:rPr>
          <w:rFonts w:ascii="Times New Roman" w:hAnsi="Times New Roman" w:cs="Times New Roman"/>
          <w:sz w:val="24"/>
          <w:szCs w:val="24"/>
        </w:rPr>
        <w:lastRenderedPageBreak/>
        <w:t xml:space="preserve">Срока действия и после прекращения действия настоящего Соглашения использовать и/или раскрывать третьим лицам полученные Статистические данные, среди прочего, согласно нижеследующему: </w:t>
      </w:r>
    </w:p>
    <w:p w14:paraId="2F64C653"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i) использовать и раскрывать Статистические данные для надлежащего исполнения Правообладателем настоящего Соглашения, а также проверки выполнения Пользователем обязанностей по настоящему Соглашению; </w:t>
      </w:r>
    </w:p>
    <w:p w14:paraId="48191FDD"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ii) передавать Статистические данные автопроизводителям и/или аффилированным с ними лицам, другим пользователям Базы данных, а также третьим лицам в рамках рекламных акций и усилий по продвижению на рынок программных продуктов Правообладателя или аффилированных с ним лиц, а также передавать Статистические данные заинтересованным лицам в рамках оказания Правообладателем таким лицам соответствующих услуг; </w:t>
      </w:r>
    </w:p>
    <w:p w14:paraId="06E84698"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iii) использовать Статистические данные в других программных продуктах или базах данных, производимых и/или распространяемых Правообладателем (или его аффилированным лицом); </w:t>
      </w:r>
    </w:p>
    <w:p w14:paraId="17E8D883"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iv) раскрывать Статистические данные в отдельных случаях по запросу другого пользователя Базы данных, запросу другого лица, а также по запросам государственного или муниципального органа, или суда. </w:t>
      </w:r>
    </w:p>
    <w:p w14:paraId="5AC6E245"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При использовании и раскрытии Статистических данных третьим лицам применяются следующие ограничения: </w:t>
      </w:r>
    </w:p>
    <w:p w14:paraId="1AE35240"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а) персональные данные о физических лицах в составе Статистических данных (если имеются) могут использоваться и раскрываться только при соблюдении применимого законодательства о персональных данных. </w:t>
      </w:r>
    </w:p>
    <w:p w14:paraId="1DD72B48"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9.5 Пользователь в качестве оператора персональных данных поручает Правообладателю обрабатывать персональные данные, такие как Ф.И.О собственников транспортных средств, которые могут быть переданы Пользователем в составе Статистических данных. Правообладатель вправе хранить, систематизировать, уточнять, удалять, извлекать, копировать, блокировать, уничтожать, обезличивать, передавать российским или иностранным третьим лицам (при условии сохранения конфиденциальности), иным образом использовать полученные персональные данные в целях обеспечения надлежащего функционирования и использования Базы данных, прочих изготавливаемых и/или распространяемых Правообладателем, обладателем исключительных права на Базу данных и/или аффилированными организациями Правообладателя программ для ЭВМ или баз данных. Правообладатель обязан обеспечивать конфиденциальность полученных персональных данных, в том числе требовать соблюдение конфиденциальности от третьих лиц, которым могут быть переданы такие персональные данные; раскрытие персональных данных допускается только при наличии соответствующего согласия субъекта персональных данных или по иным основаниям и в порядке, предусмотренным законодательством. Правообладатель также обязан соблюдать меры по обеспечению безопасности полученных персональных данных при их обработке, как предусмотрено применимым законодательством о персональных данных. Прекращение действие настоящего Соглашения не отменяет указанного в настоящем пункте поручения на обработку персональных данных. Со своей стороны, Пользователь обязуется выполнять все требования применимого законодательства, относящиеся к сбору и передаче персональных данных на условиях настоящего Соглашения. </w:t>
      </w:r>
    </w:p>
    <w:p w14:paraId="62A42E50"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9.6 Передача Статистических данных осуществляется через интернет, являющийся общедоступной глобальной информационной сетью. Правообладатель или аффилированные с ним лица приложат все разумные и коммерчески обоснованные усилия, чтобы соответствующая информация не оказалась доступна, использована или изменена другими лицами, однако не могут гарантировать безопасность передачи информации в этом отношении.</w:t>
      </w:r>
    </w:p>
    <w:p w14:paraId="4F91A600" w14:textId="77777777" w:rsidR="00773DFB" w:rsidRPr="00145E29" w:rsidRDefault="00773DFB" w:rsidP="00773DFB">
      <w:pPr>
        <w:spacing w:after="0" w:line="240" w:lineRule="auto"/>
        <w:jc w:val="both"/>
        <w:rPr>
          <w:rFonts w:ascii="Times New Roman" w:hAnsi="Times New Roman" w:cs="Times New Roman"/>
          <w:b/>
          <w:bCs/>
          <w:sz w:val="24"/>
          <w:szCs w:val="24"/>
        </w:rPr>
      </w:pPr>
    </w:p>
    <w:p w14:paraId="219A4045"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b/>
          <w:bCs/>
          <w:sz w:val="24"/>
          <w:szCs w:val="24"/>
        </w:rPr>
        <w:t>10. Заключительные положения</w:t>
      </w:r>
      <w:r w:rsidRPr="00145E29">
        <w:rPr>
          <w:rFonts w:ascii="Times New Roman" w:hAnsi="Times New Roman" w:cs="Times New Roman"/>
          <w:sz w:val="24"/>
          <w:szCs w:val="24"/>
        </w:rPr>
        <w:t xml:space="preserve"> </w:t>
      </w:r>
    </w:p>
    <w:p w14:paraId="35A04A9E"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10.1 К отношениям сторон по настоящему Соглашению применяется действующее законодательство Российской Федерации. </w:t>
      </w:r>
    </w:p>
    <w:p w14:paraId="615B6809"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10.2 Все приложения и дополнительные соглашения к настоящему Соглашению являются его неотъемлемой частью. Если какое-либо приложение или дополнительное соглашение к </w:t>
      </w:r>
      <w:r w:rsidRPr="00145E29">
        <w:rPr>
          <w:rFonts w:ascii="Times New Roman" w:hAnsi="Times New Roman" w:cs="Times New Roman"/>
          <w:sz w:val="24"/>
          <w:szCs w:val="24"/>
        </w:rPr>
        <w:lastRenderedPageBreak/>
        <w:t xml:space="preserve">настоящему Соглашению будет заменено или изложено в новой редакции (в том числе с изменением номера соответствующего приложения или дополнительного соглашения), все ссылки в настоящем Соглашении на соответствующее приложение или дополнительное соглашение должны считаться ссылками на приложение или дополнительное соглашение, которое заменило соответствующее приложение или дополнительное соглашение. Приложения к настоящему Соглашению могут иметь дополнительные буквенные и/или цифровые обозначения (нумерацию). </w:t>
      </w:r>
    </w:p>
    <w:p w14:paraId="0AB31CE8"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10.3 Споры и разногласия, которые могут возникнуть в ходе исполнения настоящего Соглашения, подлежат урегулированию путем переговоров уполномоченных представителей сторон. Если спор или разногласие не урегулировано в течение 30 (тридцати) календарных дней со дня получения одной стороной соответствующего письменного заявления или претензии от другой стороны, заинтересованная сторона вправе обратиться с иском в компетентный суд по месту нахождения Правообладателя. </w:t>
      </w:r>
    </w:p>
    <w:p w14:paraId="14689885" w14:textId="77777777" w:rsidR="00262535" w:rsidRPr="00145E29" w:rsidRDefault="00262535" w:rsidP="00773DFB">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10.4 Настоящее Соглашение заключается путем подписания документа на бумаге, по одному оригинальному экземпляру для каждой из Сторон, или посредством системы электронного документооборота. Если Правообладатель направляет настоящее Соглашение Пользователю для подписания по электронной почте, при согласии Пользователя с условиями настоящего Соглашения Пользователь распечатывает полученный текст Соглашения в двух экземплярах, подписывает оба экземпляра, включая Соглашение, приложения и дополнительные соглашения (если имеются) к нему (с приложением печати Пользователя, если имеется), и направляет оба подписанных экземпляра почтой или курьерской службой по почтовому адресу Правообладателя, указанному в настоящем Соглашении. После подписания со стороны Правообладателя (с приложением печати) один экземпляр настоящего Соглашения (со всеми имеющимися приложениями и дополнительными соглашениями) возвращается Пользователю. Если Правообладатель предоставил Пользователю доступ к Базе данных, в случае неполучения Правообладателем подписанных Пользователем экземпляров настоящего Соглашения в течение 14 (четырнадцати) календарных дней с даты направления настоящего Соглашения по электронной почте, Правообладатель вправе в одностороннем порядке запретить использование Базы данных (блокировать Базу данных) до получения подписанных Пользователем экземпляров настоящего Соглашения. </w:t>
      </w:r>
    </w:p>
    <w:p w14:paraId="0BAFEE8D" w14:textId="3ADDF31F" w:rsidR="00262535" w:rsidRPr="00145E29" w:rsidRDefault="00262535" w:rsidP="00773DFB">
      <w:pPr>
        <w:spacing w:after="0" w:line="240" w:lineRule="auto"/>
        <w:rPr>
          <w:rFonts w:ascii="Times New Roman" w:hAnsi="Times New Roman" w:cs="Times New Roman"/>
          <w:sz w:val="24"/>
          <w:szCs w:val="24"/>
        </w:rPr>
      </w:pPr>
      <w:r w:rsidRPr="00145E29">
        <w:rPr>
          <w:rFonts w:ascii="Times New Roman" w:hAnsi="Times New Roman" w:cs="Times New Roman"/>
          <w:sz w:val="24"/>
          <w:szCs w:val="24"/>
        </w:rPr>
        <w:t>10.5 Настоящее Соглашение действует с</w:t>
      </w:r>
      <w:r w:rsidR="00773DFB" w:rsidRPr="00145E29">
        <w:rPr>
          <w:rFonts w:ascii="Times New Roman" w:hAnsi="Times New Roman" w:cs="Times New Roman"/>
          <w:sz w:val="24"/>
          <w:szCs w:val="24"/>
        </w:rPr>
        <w:t>о дня заключения и по 31.12.2027г.</w:t>
      </w:r>
    </w:p>
    <w:p w14:paraId="775F4E97" w14:textId="77777777" w:rsidR="000A03BA" w:rsidRPr="00145E29" w:rsidRDefault="000A03BA" w:rsidP="00773DFB">
      <w:pPr>
        <w:spacing w:after="0" w:line="240" w:lineRule="auto"/>
        <w:rPr>
          <w:rFonts w:ascii="Times New Roman" w:hAnsi="Times New Roman" w:cs="Times New Roman"/>
          <w:b/>
          <w:bCs/>
          <w:sz w:val="24"/>
          <w:szCs w:val="24"/>
        </w:rPr>
      </w:pPr>
    </w:p>
    <w:p w14:paraId="1E56FFFA" w14:textId="77777777" w:rsidR="00262535" w:rsidRPr="00145E29" w:rsidRDefault="00262535" w:rsidP="00773DFB">
      <w:pPr>
        <w:spacing w:after="0" w:line="240" w:lineRule="auto"/>
        <w:rPr>
          <w:rFonts w:ascii="Times New Roman" w:hAnsi="Times New Roman" w:cs="Times New Roman"/>
          <w:b/>
          <w:bCs/>
          <w:sz w:val="24"/>
          <w:szCs w:val="24"/>
        </w:rPr>
      </w:pPr>
      <w:r w:rsidRPr="00145E29">
        <w:rPr>
          <w:rFonts w:ascii="Times New Roman" w:hAnsi="Times New Roman" w:cs="Times New Roman"/>
          <w:b/>
          <w:bCs/>
          <w:sz w:val="24"/>
          <w:szCs w:val="24"/>
        </w:rPr>
        <w:t xml:space="preserve">Приложения к настоящему Соглашению: </w:t>
      </w:r>
    </w:p>
    <w:p w14:paraId="0AA6DCE2" w14:textId="77777777" w:rsidR="00262535" w:rsidRPr="00145E29" w:rsidRDefault="00262535" w:rsidP="00773DFB">
      <w:pPr>
        <w:spacing w:after="0" w:line="240" w:lineRule="auto"/>
        <w:rPr>
          <w:rFonts w:ascii="Times New Roman" w:hAnsi="Times New Roman" w:cs="Times New Roman"/>
          <w:sz w:val="24"/>
          <w:szCs w:val="24"/>
        </w:rPr>
      </w:pPr>
      <w:r w:rsidRPr="00145E29">
        <w:rPr>
          <w:rFonts w:ascii="Times New Roman" w:hAnsi="Times New Roman" w:cs="Times New Roman"/>
          <w:sz w:val="24"/>
          <w:szCs w:val="24"/>
        </w:rPr>
        <w:t xml:space="preserve">Приложение №1R – Вознаграждение за право на использование Базы данных и сопутствующие услуги; </w:t>
      </w:r>
    </w:p>
    <w:p w14:paraId="3E749362" w14:textId="77777777" w:rsidR="00262535" w:rsidRPr="00145E29" w:rsidRDefault="00262535" w:rsidP="00773DFB">
      <w:pPr>
        <w:spacing w:after="0" w:line="240" w:lineRule="auto"/>
        <w:rPr>
          <w:rFonts w:ascii="Times New Roman" w:hAnsi="Times New Roman" w:cs="Times New Roman"/>
          <w:sz w:val="24"/>
          <w:szCs w:val="24"/>
        </w:rPr>
      </w:pPr>
      <w:r w:rsidRPr="00145E29">
        <w:rPr>
          <w:rFonts w:ascii="Times New Roman" w:hAnsi="Times New Roman" w:cs="Times New Roman"/>
          <w:sz w:val="24"/>
          <w:szCs w:val="24"/>
        </w:rPr>
        <w:t xml:space="preserve">Приложение №2 – Правила оказания технической поддержки; </w:t>
      </w:r>
    </w:p>
    <w:p w14:paraId="1946E2CE" w14:textId="77777777" w:rsidR="00262535" w:rsidRPr="00145E29" w:rsidRDefault="00262535" w:rsidP="00773DFB">
      <w:pPr>
        <w:spacing w:after="0" w:line="240" w:lineRule="auto"/>
        <w:rPr>
          <w:rFonts w:ascii="Times New Roman" w:hAnsi="Times New Roman" w:cs="Times New Roman"/>
          <w:sz w:val="24"/>
          <w:szCs w:val="24"/>
        </w:rPr>
      </w:pPr>
      <w:r w:rsidRPr="00145E29">
        <w:rPr>
          <w:rFonts w:ascii="Times New Roman" w:hAnsi="Times New Roman" w:cs="Times New Roman"/>
          <w:sz w:val="24"/>
          <w:szCs w:val="24"/>
        </w:rPr>
        <w:t>Приложение №3 – Дополнительные правила использования Базы данных</w:t>
      </w:r>
      <w:r w:rsidR="000652D6" w:rsidRPr="00145E29">
        <w:rPr>
          <w:rFonts w:ascii="Times New Roman" w:hAnsi="Times New Roman" w:cs="Times New Roman"/>
          <w:sz w:val="24"/>
          <w:szCs w:val="24"/>
        </w:rPr>
        <w:t>.</w:t>
      </w:r>
    </w:p>
    <w:p w14:paraId="4F77C842" w14:textId="77777777" w:rsidR="000A03BA" w:rsidRPr="00145E29" w:rsidRDefault="000A03BA" w:rsidP="00773DFB">
      <w:pPr>
        <w:spacing w:after="0" w:line="240" w:lineRule="auto"/>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62535" w:rsidRPr="00145E29" w14:paraId="01B5F8A6" w14:textId="77777777" w:rsidTr="000652D6">
        <w:trPr>
          <w:jc w:val="center"/>
        </w:trPr>
        <w:tc>
          <w:tcPr>
            <w:tcW w:w="4955" w:type="dxa"/>
          </w:tcPr>
          <w:p w14:paraId="414A7A7F" w14:textId="77777777" w:rsidR="00262535" w:rsidRPr="00145E29" w:rsidRDefault="00262535" w:rsidP="000652D6">
            <w:pPr>
              <w:jc w:val="center"/>
              <w:rPr>
                <w:rFonts w:ascii="Times New Roman" w:hAnsi="Times New Roman" w:cs="Times New Roman"/>
                <w:b/>
                <w:bCs/>
                <w:sz w:val="24"/>
                <w:szCs w:val="24"/>
              </w:rPr>
            </w:pPr>
            <w:r w:rsidRPr="00145E29">
              <w:rPr>
                <w:rFonts w:ascii="Times New Roman" w:hAnsi="Times New Roman" w:cs="Times New Roman"/>
                <w:b/>
                <w:bCs/>
                <w:sz w:val="24"/>
                <w:szCs w:val="24"/>
              </w:rPr>
              <w:t>Правообладатель</w:t>
            </w:r>
          </w:p>
        </w:tc>
        <w:tc>
          <w:tcPr>
            <w:tcW w:w="4956" w:type="dxa"/>
          </w:tcPr>
          <w:p w14:paraId="614A30E7" w14:textId="77777777" w:rsidR="00262535" w:rsidRPr="00145E29" w:rsidRDefault="00262535" w:rsidP="000652D6">
            <w:pPr>
              <w:jc w:val="center"/>
              <w:rPr>
                <w:rFonts w:ascii="Times New Roman" w:hAnsi="Times New Roman" w:cs="Times New Roman"/>
                <w:b/>
                <w:bCs/>
                <w:sz w:val="24"/>
                <w:szCs w:val="24"/>
              </w:rPr>
            </w:pPr>
            <w:r w:rsidRPr="00145E29">
              <w:rPr>
                <w:rFonts w:ascii="Times New Roman" w:hAnsi="Times New Roman" w:cs="Times New Roman"/>
                <w:b/>
                <w:bCs/>
                <w:sz w:val="24"/>
                <w:szCs w:val="24"/>
              </w:rPr>
              <w:t>Пользователь</w:t>
            </w:r>
          </w:p>
          <w:p w14:paraId="7642F4CB" w14:textId="77777777" w:rsidR="00262535" w:rsidRPr="00145E29" w:rsidRDefault="00262535" w:rsidP="00262535">
            <w:pPr>
              <w:rPr>
                <w:rFonts w:ascii="Times New Roman" w:hAnsi="Times New Roman" w:cs="Times New Roman"/>
                <w:b/>
                <w:bCs/>
                <w:sz w:val="24"/>
                <w:szCs w:val="24"/>
              </w:rPr>
            </w:pPr>
          </w:p>
        </w:tc>
      </w:tr>
    </w:tbl>
    <w:p w14:paraId="3D10B72C" w14:textId="77777777" w:rsidR="00262535" w:rsidRPr="00145E29" w:rsidRDefault="00262535">
      <w:pPr>
        <w:rPr>
          <w:rFonts w:ascii="Times New Roman" w:hAnsi="Times New Roman" w:cs="Times New Roman"/>
          <w:sz w:val="24"/>
          <w:szCs w:val="24"/>
        </w:rPr>
      </w:pPr>
    </w:p>
    <w:p w14:paraId="454FD5AC" w14:textId="77777777" w:rsidR="00773DFB" w:rsidRPr="00145E29" w:rsidRDefault="00773DFB" w:rsidP="00262535">
      <w:pPr>
        <w:jc w:val="right"/>
        <w:rPr>
          <w:rFonts w:ascii="Times New Roman" w:hAnsi="Times New Roman" w:cs="Times New Roman"/>
          <w:b/>
          <w:bCs/>
          <w:sz w:val="24"/>
          <w:szCs w:val="24"/>
        </w:rPr>
      </w:pPr>
    </w:p>
    <w:p w14:paraId="22C50B4A" w14:textId="52F8FC57" w:rsidR="00773DFB" w:rsidRPr="00145E29" w:rsidRDefault="00773DFB" w:rsidP="00262535">
      <w:pPr>
        <w:jc w:val="right"/>
        <w:rPr>
          <w:rFonts w:ascii="Times New Roman" w:hAnsi="Times New Roman" w:cs="Times New Roman"/>
          <w:b/>
          <w:bCs/>
          <w:sz w:val="24"/>
          <w:szCs w:val="24"/>
        </w:rPr>
      </w:pPr>
    </w:p>
    <w:p w14:paraId="34F5760A" w14:textId="47BE2EB5" w:rsidR="00C87A37" w:rsidRPr="00145E29" w:rsidRDefault="00C87A37" w:rsidP="00262535">
      <w:pPr>
        <w:jc w:val="right"/>
        <w:rPr>
          <w:rFonts w:ascii="Times New Roman" w:hAnsi="Times New Roman" w:cs="Times New Roman"/>
          <w:b/>
          <w:bCs/>
          <w:sz w:val="24"/>
          <w:szCs w:val="24"/>
        </w:rPr>
      </w:pPr>
    </w:p>
    <w:p w14:paraId="66129DC2" w14:textId="733B0AAB" w:rsidR="00C87A37" w:rsidRPr="00145E29" w:rsidRDefault="00C87A37" w:rsidP="00262535">
      <w:pPr>
        <w:jc w:val="right"/>
        <w:rPr>
          <w:rFonts w:ascii="Times New Roman" w:hAnsi="Times New Roman" w:cs="Times New Roman"/>
          <w:b/>
          <w:bCs/>
          <w:sz w:val="24"/>
          <w:szCs w:val="24"/>
        </w:rPr>
      </w:pPr>
    </w:p>
    <w:p w14:paraId="3B15313E" w14:textId="77777777" w:rsidR="00C87A37" w:rsidRPr="00145E29" w:rsidRDefault="00C87A37" w:rsidP="00262535">
      <w:pPr>
        <w:jc w:val="right"/>
        <w:rPr>
          <w:rFonts w:ascii="Times New Roman" w:hAnsi="Times New Roman" w:cs="Times New Roman"/>
          <w:b/>
          <w:bCs/>
          <w:sz w:val="24"/>
          <w:szCs w:val="24"/>
        </w:rPr>
      </w:pPr>
    </w:p>
    <w:p w14:paraId="7C4EED9F" w14:textId="77777777" w:rsidR="00773DFB" w:rsidRPr="00145E29" w:rsidRDefault="00773DFB" w:rsidP="00262535">
      <w:pPr>
        <w:jc w:val="right"/>
        <w:rPr>
          <w:rFonts w:ascii="Times New Roman" w:hAnsi="Times New Roman" w:cs="Times New Roman"/>
          <w:b/>
          <w:bCs/>
          <w:sz w:val="24"/>
          <w:szCs w:val="24"/>
        </w:rPr>
      </w:pPr>
    </w:p>
    <w:p w14:paraId="7AFEE17F" w14:textId="77777777" w:rsidR="00773DFB" w:rsidRPr="00145E29" w:rsidRDefault="00773DFB" w:rsidP="00262535">
      <w:pPr>
        <w:jc w:val="right"/>
        <w:rPr>
          <w:rFonts w:ascii="Times New Roman" w:hAnsi="Times New Roman" w:cs="Times New Roman"/>
          <w:b/>
          <w:bCs/>
          <w:sz w:val="24"/>
          <w:szCs w:val="24"/>
        </w:rPr>
      </w:pPr>
    </w:p>
    <w:p w14:paraId="1F1DC557" w14:textId="77777777" w:rsidR="00262535" w:rsidRPr="00145E29" w:rsidRDefault="00262535" w:rsidP="00262535">
      <w:pPr>
        <w:jc w:val="right"/>
        <w:rPr>
          <w:rFonts w:ascii="Times New Roman" w:hAnsi="Times New Roman" w:cs="Times New Roman"/>
          <w:b/>
          <w:bCs/>
          <w:sz w:val="24"/>
          <w:szCs w:val="24"/>
        </w:rPr>
      </w:pPr>
      <w:r w:rsidRPr="00145E29">
        <w:rPr>
          <w:rFonts w:ascii="Times New Roman" w:hAnsi="Times New Roman" w:cs="Times New Roman"/>
          <w:b/>
          <w:bCs/>
          <w:sz w:val="24"/>
          <w:szCs w:val="24"/>
        </w:rPr>
        <w:lastRenderedPageBreak/>
        <w:t>Приложение № 1R</w:t>
      </w:r>
    </w:p>
    <w:p w14:paraId="54286C5A" w14:textId="77777777" w:rsidR="00262535" w:rsidRPr="00145E29" w:rsidRDefault="00262535" w:rsidP="00262535">
      <w:pPr>
        <w:jc w:val="right"/>
        <w:rPr>
          <w:rFonts w:ascii="Times New Roman" w:hAnsi="Times New Roman" w:cs="Times New Roman"/>
          <w:sz w:val="24"/>
          <w:szCs w:val="24"/>
        </w:rPr>
      </w:pPr>
      <w:r w:rsidRPr="00145E29">
        <w:rPr>
          <w:rFonts w:ascii="Times New Roman" w:hAnsi="Times New Roman" w:cs="Times New Roman"/>
          <w:sz w:val="24"/>
          <w:szCs w:val="24"/>
        </w:rPr>
        <w:t xml:space="preserve"> к Лицензионному Соглашению № ___________ от ___</w:t>
      </w:r>
    </w:p>
    <w:p w14:paraId="2DD1990E" w14:textId="77777777" w:rsidR="00144C69" w:rsidRPr="00145E29" w:rsidRDefault="00144C69" w:rsidP="00501B53">
      <w:pPr>
        <w:jc w:val="center"/>
        <w:rPr>
          <w:rFonts w:ascii="Times New Roman" w:hAnsi="Times New Roman" w:cs="Times New Roman"/>
          <w:b/>
          <w:sz w:val="24"/>
          <w:szCs w:val="24"/>
        </w:rPr>
      </w:pPr>
    </w:p>
    <w:p w14:paraId="5CE97830" w14:textId="77777777" w:rsidR="00262535" w:rsidRPr="00145E29" w:rsidRDefault="00262535" w:rsidP="00501B53">
      <w:pPr>
        <w:jc w:val="center"/>
        <w:rPr>
          <w:rFonts w:ascii="Times New Roman" w:hAnsi="Times New Roman" w:cs="Times New Roman"/>
          <w:b/>
          <w:sz w:val="24"/>
          <w:szCs w:val="24"/>
        </w:rPr>
      </w:pPr>
      <w:r w:rsidRPr="00145E29">
        <w:rPr>
          <w:rFonts w:ascii="Times New Roman" w:hAnsi="Times New Roman" w:cs="Times New Roman"/>
          <w:b/>
          <w:sz w:val="24"/>
          <w:szCs w:val="24"/>
        </w:rPr>
        <w:t>ВОЗНАГРАЖДЕНИЕ ЗА ПРАВО ИСПОЛЬЗОВАНИЯ БАЗЫ ДАННЫХ И СОПУТСТВУЮЩИЕ УСЛУГИ</w:t>
      </w:r>
    </w:p>
    <w:p w14:paraId="03B4BBEF" w14:textId="77777777" w:rsidR="007C0278" w:rsidRPr="00145E29" w:rsidRDefault="00262535">
      <w:pPr>
        <w:rPr>
          <w:rFonts w:ascii="Times New Roman" w:hAnsi="Times New Roman" w:cs="Times New Roman"/>
          <w:b/>
          <w:sz w:val="24"/>
          <w:szCs w:val="24"/>
        </w:rPr>
      </w:pPr>
      <w:r w:rsidRPr="00145E29">
        <w:rPr>
          <w:rFonts w:ascii="Times New Roman" w:hAnsi="Times New Roman" w:cs="Times New Roman"/>
          <w:b/>
          <w:sz w:val="24"/>
          <w:szCs w:val="24"/>
        </w:rPr>
        <w:t xml:space="preserve">1. Общие положения </w:t>
      </w:r>
    </w:p>
    <w:p w14:paraId="479A61EB" w14:textId="3AD36699"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1.1. Настоящее Приложение устанавливает размер вознаграждения за право на использование Базы данных (стоимость Лицензионного соглашения), иные относящееся к оплате пользования Базой данных правила и положения, а также содержит описания функциональных возможностей Базы данных. Предусмотренные настоящим Приложением стандартные платежи (розничная тарификация) применяются, если специальным соглашением (дополнительным соглашением и проч.) не установлено иное. </w:t>
      </w:r>
    </w:p>
    <w:p w14:paraId="6C937055" w14:textId="46606891" w:rsidR="00024160" w:rsidRPr="00145E29" w:rsidRDefault="00024160" w:rsidP="00501B53">
      <w:pPr>
        <w:spacing w:after="0" w:line="240" w:lineRule="auto"/>
        <w:jc w:val="both"/>
        <w:rPr>
          <w:rFonts w:ascii="Times New Roman" w:hAnsi="Times New Roman" w:cs="Times New Roman"/>
          <w:b/>
          <w:sz w:val="24"/>
          <w:szCs w:val="24"/>
        </w:rPr>
      </w:pPr>
      <w:r w:rsidRPr="00145E29">
        <w:rPr>
          <w:rFonts w:ascii="Times New Roman" w:hAnsi="Times New Roman" w:cs="Times New Roman"/>
          <w:sz w:val="24"/>
          <w:szCs w:val="24"/>
          <w:shd w:val="clear" w:color="auto" w:fill="FFFFFF"/>
        </w:rPr>
        <w:t xml:space="preserve">Максимальное значение цены Соглашения </w:t>
      </w:r>
      <w:r w:rsidRPr="00145E29">
        <w:rPr>
          <w:rFonts w:ascii="Times New Roman" w:hAnsi="Times New Roman" w:cs="Times New Roman"/>
          <w:sz w:val="24"/>
          <w:szCs w:val="24"/>
        </w:rPr>
        <w:t xml:space="preserve">составляет </w:t>
      </w:r>
      <w:bookmarkStart w:id="0" w:name="_GoBack"/>
      <w:bookmarkEnd w:id="0"/>
      <w:r w:rsidRPr="00145E29">
        <w:rPr>
          <w:rFonts w:ascii="Times New Roman" w:hAnsi="Times New Roman" w:cs="Times New Roman"/>
          <w:b/>
          <w:sz w:val="24"/>
          <w:szCs w:val="24"/>
        </w:rPr>
        <w:t>18</w:t>
      </w:r>
      <w:r w:rsidR="004718D0" w:rsidRPr="00145E29">
        <w:rPr>
          <w:rFonts w:ascii="Times New Roman" w:hAnsi="Times New Roman" w:cs="Times New Roman"/>
          <w:b/>
          <w:sz w:val="24"/>
          <w:szCs w:val="24"/>
        </w:rPr>
        <w:t>42</w:t>
      </w:r>
      <w:r w:rsidRPr="00145E29">
        <w:rPr>
          <w:rFonts w:ascii="Times New Roman" w:hAnsi="Times New Roman" w:cs="Times New Roman"/>
          <w:b/>
          <w:sz w:val="24"/>
          <w:szCs w:val="24"/>
        </w:rPr>
        <w:t xml:space="preserve">00,00 рублей (Сто восемьдесят </w:t>
      </w:r>
      <w:r w:rsidR="004718D0" w:rsidRPr="00145E29">
        <w:rPr>
          <w:rFonts w:ascii="Times New Roman" w:hAnsi="Times New Roman" w:cs="Times New Roman"/>
          <w:b/>
          <w:sz w:val="24"/>
          <w:szCs w:val="24"/>
        </w:rPr>
        <w:t>четыре</w:t>
      </w:r>
      <w:r w:rsidRPr="00145E29">
        <w:rPr>
          <w:rFonts w:ascii="Times New Roman" w:hAnsi="Times New Roman" w:cs="Times New Roman"/>
          <w:b/>
          <w:sz w:val="24"/>
          <w:szCs w:val="24"/>
        </w:rPr>
        <w:t xml:space="preserve"> тысячи </w:t>
      </w:r>
      <w:r w:rsidR="004718D0" w:rsidRPr="00145E29">
        <w:rPr>
          <w:rFonts w:ascii="Times New Roman" w:hAnsi="Times New Roman" w:cs="Times New Roman"/>
          <w:b/>
          <w:sz w:val="24"/>
          <w:szCs w:val="24"/>
        </w:rPr>
        <w:t>двести</w:t>
      </w:r>
      <w:r w:rsidRPr="00145E29">
        <w:rPr>
          <w:rFonts w:ascii="Times New Roman" w:hAnsi="Times New Roman" w:cs="Times New Roman"/>
          <w:b/>
          <w:sz w:val="24"/>
          <w:szCs w:val="24"/>
        </w:rPr>
        <w:t xml:space="preserve"> рублей </w:t>
      </w:r>
      <w:r w:rsidR="004718D0" w:rsidRPr="00145E29">
        <w:rPr>
          <w:rFonts w:ascii="Times New Roman" w:hAnsi="Times New Roman" w:cs="Times New Roman"/>
          <w:b/>
          <w:sz w:val="24"/>
          <w:szCs w:val="24"/>
        </w:rPr>
        <w:t>0</w:t>
      </w:r>
      <w:r w:rsidRPr="00145E29">
        <w:rPr>
          <w:rFonts w:ascii="Times New Roman" w:hAnsi="Times New Roman" w:cs="Times New Roman"/>
          <w:b/>
          <w:sz w:val="24"/>
          <w:szCs w:val="24"/>
        </w:rPr>
        <w:t>0 копеек)</w:t>
      </w:r>
      <w:r w:rsidR="004718D0" w:rsidRPr="00145E29">
        <w:rPr>
          <w:rFonts w:ascii="Times New Roman" w:hAnsi="Times New Roman" w:cs="Times New Roman"/>
          <w:b/>
          <w:sz w:val="24"/>
          <w:szCs w:val="24"/>
        </w:rPr>
        <w:t>.</w:t>
      </w:r>
    </w:p>
    <w:p w14:paraId="08AB40A7" w14:textId="14A3D79D"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1.2. Все платежи указаны в российских рублях без учета НДС; сумма НДС уплачивается сверху указанного размера платежей по ставке, установленной законодательством на дату акта или заменяющего первичного документа. </w:t>
      </w:r>
    </w:p>
    <w:p w14:paraId="2CDBF6B3" w14:textId="77777777"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1.3. Если иной расчетный период не установлен Правообладателем, датой начала расчетного периода является 26 число календарного месяца, а датой окончания – 25 число следующего календарного месяца. </w:t>
      </w:r>
    </w:p>
    <w:p w14:paraId="0D93F511" w14:textId="77777777" w:rsidR="007C0278" w:rsidRPr="00145E29" w:rsidRDefault="00262535" w:rsidP="00501B53">
      <w:pPr>
        <w:spacing w:after="0" w:line="240" w:lineRule="auto"/>
        <w:jc w:val="both"/>
        <w:rPr>
          <w:rFonts w:ascii="Times New Roman" w:hAnsi="Times New Roman" w:cs="Times New Roman"/>
          <w:b/>
          <w:sz w:val="24"/>
          <w:szCs w:val="24"/>
        </w:rPr>
      </w:pPr>
      <w:r w:rsidRPr="00145E29">
        <w:rPr>
          <w:rFonts w:ascii="Times New Roman" w:hAnsi="Times New Roman" w:cs="Times New Roman"/>
          <w:b/>
          <w:sz w:val="24"/>
          <w:szCs w:val="24"/>
        </w:rPr>
        <w:t xml:space="preserve">2. Право на использование Базы данных </w:t>
      </w:r>
    </w:p>
    <w:p w14:paraId="002D3DF5" w14:textId="77777777"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2.1. Пользователь использует Базу данных в строгом соответствии с Лицензионным соглашением. Используемые в настоящем Приложении термины имеют значение, указанное в Лицензионном соглашении. </w:t>
      </w:r>
    </w:p>
    <w:p w14:paraId="62AE9CFE" w14:textId="77777777"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2.2. Наименование Базы данных: AudaPad Web </w:t>
      </w:r>
    </w:p>
    <w:p w14:paraId="5FC9B6EE" w14:textId="77777777"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2.3. Количество Учетных записей (имя и пароль): 1 шт.: </w:t>
      </w:r>
      <w:r w:rsidR="007C0278" w:rsidRPr="00145E29">
        <w:rPr>
          <w:rFonts w:ascii="Times New Roman" w:hAnsi="Times New Roman" w:cs="Times New Roman"/>
          <w:sz w:val="24"/>
          <w:szCs w:val="24"/>
        </w:rPr>
        <w:t>__________</w:t>
      </w:r>
    </w:p>
    <w:p w14:paraId="587BBDF3" w14:textId="77777777"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2.4. Тариф: Розничный </w:t>
      </w:r>
    </w:p>
    <w:p w14:paraId="1E32E5ED" w14:textId="77777777" w:rsidR="007C0278" w:rsidRPr="00145E29" w:rsidRDefault="00262535" w:rsidP="00501B53">
      <w:pPr>
        <w:spacing w:after="0" w:line="240" w:lineRule="auto"/>
        <w:jc w:val="both"/>
        <w:rPr>
          <w:rFonts w:ascii="Times New Roman" w:hAnsi="Times New Roman" w:cs="Times New Roman"/>
          <w:sz w:val="24"/>
          <w:szCs w:val="24"/>
        </w:rPr>
      </w:pPr>
      <w:r w:rsidRPr="00145E29">
        <w:rPr>
          <w:rFonts w:ascii="Times New Roman" w:hAnsi="Times New Roman" w:cs="Times New Roman"/>
          <w:sz w:val="24"/>
          <w:szCs w:val="24"/>
        </w:rPr>
        <w:t xml:space="preserve">2.5. Техническая поддержка: включена в стоимость предоставления Учетных записей. </w:t>
      </w:r>
    </w:p>
    <w:p w14:paraId="21AB75FD" w14:textId="77777777" w:rsidR="00501B53" w:rsidRPr="00145E29" w:rsidRDefault="00501B53" w:rsidP="007C0278">
      <w:pPr>
        <w:jc w:val="center"/>
        <w:rPr>
          <w:rFonts w:ascii="Times New Roman" w:hAnsi="Times New Roman" w:cs="Times New Roman"/>
          <w:b/>
          <w:bCs/>
          <w:sz w:val="24"/>
          <w:szCs w:val="24"/>
        </w:rPr>
      </w:pPr>
    </w:p>
    <w:p w14:paraId="49DA29ED" w14:textId="5DCB8053" w:rsidR="00262535" w:rsidRPr="00145E29" w:rsidRDefault="00262535" w:rsidP="007C0278">
      <w:pPr>
        <w:jc w:val="center"/>
        <w:rPr>
          <w:rFonts w:ascii="Times New Roman" w:hAnsi="Times New Roman" w:cs="Times New Roman"/>
          <w:b/>
          <w:bCs/>
          <w:sz w:val="24"/>
          <w:szCs w:val="24"/>
        </w:rPr>
      </w:pPr>
      <w:r w:rsidRPr="00145E29">
        <w:rPr>
          <w:rFonts w:ascii="Times New Roman" w:hAnsi="Times New Roman" w:cs="Times New Roman"/>
          <w:b/>
          <w:bCs/>
          <w:sz w:val="24"/>
          <w:szCs w:val="24"/>
        </w:rPr>
        <w:t>3. Стоимость использования Базы данных</w:t>
      </w:r>
    </w:p>
    <w:tbl>
      <w:tblPr>
        <w:tblStyle w:val="a3"/>
        <w:tblW w:w="0" w:type="auto"/>
        <w:tblLook w:val="04A0" w:firstRow="1" w:lastRow="0" w:firstColumn="1" w:lastColumn="0" w:noHBand="0" w:noVBand="1"/>
      </w:tblPr>
      <w:tblGrid>
        <w:gridCol w:w="863"/>
        <w:gridCol w:w="7201"/>
        <w:gridCol w:w="1353"/>
      </w:tblGrid>
      <w:tr w:rsidR="00C87A37" w:rsidRPr="00145E29" w14:paraId="2E99DBF9" w14:textId="77777777" w:rsidTr="00814719">
        <w:tc>
          <w:tcPr>
            <w:tcW w:w="9417" w:type="dxa"/>
            <w:gridSpan w:val="3"/>
          </w:tcPr>
          <w:p w14:paraId="3EFDEDD5" w14:textId="5D3C460D" w:rsidR="00C87A37" w:rsidRPr="00145E29" w:rsidRDefault="00C87A37" w:rsidP="00C87A37">
            <w:pPr>
              <w:spacing w:after="160" w:line="259" w:lineRule="auto"/>
              <w:jc w:val="center"/>
              <w:rPr>
                <w:rFonts w:ascii="Times New Roman" w:hAnsi="Times New Roman" w:cs="Times New Roman"/>
                <w:b/>
                <w:sz w:val="20"/>
                <w:szCs w:val="20"/>
              </w:rPr>
            </w:pPr>
            <w:r w:rsidRPr="00145E29">
              <w:rPr>
                <w:rFonts w:ascii="Times New Roman" w:hAnsi="Times New Roman" w:cs="Times New Roman"/>
                <w:b/>
                <w:sz w:val="20"/>
                <w:szCs w:val="20"/>
              </w:rPr>
              <w:t>Розничная тарификация</w:t>
            </w:r>
          </w:p>
        </w:tc>
      </w:tr>
      <w:tr w:rsidR="00C87A37" w:rsidRPr="00145E29" w14:paraId="65469038" w14:textId="77777777" w:rsidTr="00C87A37">
        <w:tc>
          <w:tcPr>
            <w:tcW w:w="863" w:type="dxa"/>
          </w:tcPr>
          <w:p w14:paraId="13D5F9B2" w14:textId="0F1C311F" w:rsidR="00C87A37" w:rsidRPr="00145E29" w:rsidRDefault="00C87A37" w:rsidP="00C87A37">
            <w:pPr>
              <w:rPr>
                <w:rFonts w:ascii="Times New Roman" w:hAnsi="Times New Roman" w:cs="Times New Roman"/>
                <w:sz w:val="20"/>
                <w:szCs w:val="20"/>
              </w:rPr>
            </w:pPr>
            <w:r w:rsidRPr="00145E29">
              <w:rPr>
                <w:rFonts w:ascii="Times New Roman" w:hAnsi="Times New Roman" w:cs="Times New Roman"/>
                <w:b/>
                <w:bCs/>
                <w:sz w:val="20"/>
                <w:szCs w:val="20"/>
              </w:rPr>
              <w:t>№ п/п</w:t>
            </w:r>
          </w:p>
        </w:tc>
        <w:tc>
          <w:tcPr>
            <w:tcW w:w="7201" w:type="dxa"/>
          </w:tcPr>
          <w:p w14:paraId="12D8DD4F" w14:textId="479522E4"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b/>
                <w:sz w:val="20"/>
                <w:szCs w:val="20"/>
              </w:rPr>
              <w:t>Вид платежа</w:t>
            </w:r>
          </w:p>
        </w:tc>
        <w:tc>
          <w:tcPr>
            <w:tcW w:w="1353" w:type="dxa"/>
          </w:tcPr>
          <w:p w14:paraId="24AEE9A8" w14:textId="3F685A3F" w:rsidR="00C87A37" w:rsidRPr="00145E29" w:rsidRDefault="00C87A37" w:rsidP="00C87A37">
            <w:pPr>
              <w:jc w:val="center"/>
              <w:rPr>
                <w:rFonts w:ascii="Times New Roman" w:hAnsi="Times New Roman" w:cs="Times New Roman"/>
                <w:bCs/>
                <w:sz w:val="20"/>
                <w:szCs w:val="20"/>
              </w:rPr>
            </w:pPr>
            <w:r w:rsidRPr="00145E29">
              <w:rPr>
                <w:rFonts w:ascii="Times New Roman" w:hAnsi="Times New Roman" w:cs="Times New Roman"/>
                <w:b/>
                <w:sz w:val="20"/>
                <w:szCs w:val="20"/>
              </w:rPr>
              <w:t>Тариф</w:t>
            </w:r>
            <w:r w:rsidRPr="00145E29">
              <w:rPr>
                <w:rFonts w:ascii="Times New Roman" w:hAnsi="Times New Roman" w:cs="Times New Roman"/>
                <w:b/>
                <w:sz w:val="20"/>
                <w:szCs w:val="20"/>
                <w:vertAlign w:val="superscript"/>
              </w:rPr>
              <w:t>1</w:t>
            </w:r>
          </w:p>
        </w:tc>
      </w:tr>
      <w:tr w:rsidR="00C87A37" w:rsidRPr="00145E29" w14:paraId="0B09FF9B" w14:textId="77777777" w:rsidTr="00C87A37">
        <w:tc>
          <w:tcPr>
            <w:tcW w:w="863" w:type="dxa"/>
          </w:tcPr>
          <w:p w14:paraId="6C233EAF" w14:textId="77777777" w:rsidR="00C87A37" w:rsidRPr="00145E29" w:rsidRDefault="00C87A37" w:rsidP="007C0278">
            <w:pPr>
              <w:pStyle w:val="a4"/>
              <w:numPr>
                <w:ilvl w:val="0"/>
                <w:numId w:val="1"/>
              </w:numPr>
              <w:jc w:val="center"/>
              <w:rPr>
                <w:rFonts w:ascii="Times New Roman" w:hAnsi="Times New Roman" w:cs="Times New Roman"/>
                <w:sz w:val="20"/>
                <w:szCs w:val="20"/>
              </w:rPr>
            </w:pPr>
          </w:p>
        </w:tc>
        <w:tc>
          <w:tcPr>
            <w:tcW w:w="7201" w:type="dxa"/>
          </w:tcPr>
          <w:p w14:paraId="1F28A58E" w14:textId="77777777" w:rsidR="00C87A37" w:rsidRPr="00145E29" w:rsidRDefault="00C87A37" w:rsidP="007D0C9E">
            <w:pPr>
              <w:jc w:val="center"/>
              <w:rPr>
                <w:rFonts w:ascii="Times New Roman" w:hAnsi="Times New Roman" w:cs="Times New Roman"/>
                <w:b/>
                <w:bCs/>
                <w:sz w:val="20"/>
                <w:szCs w:val="20"/>
              </w:rPr>
            </w:pPr>
            <w:r w:rsidRPr="00145E29">
              <w:rPr>
                <w:rFonts w:ascii="Times New Roman" w:hAnsi="Times New Roman" w:cs="Times New Roman"/>
                <w:sz w:val="20"/>
                <w:szCs w:val="20"/>
              </w:rPr>
              <w:t>Предоставление Учетных записей</w:t>
            </w:r>
            <w:r w:rsidRPr="00145E29">
              <w:rPr>
                <w:rFonts w:ascii="Times New Roman" w:hAnsi="Times New Roman" w:cs="Times New Roman"/>
                <w:sz w:val="20"/>
                <w:szCs w:val="20"/>
                <w:vertAlign w:val="superscript"/>
              </w:rPr>
              <w:t>2</w:t>
            </w:r>
          </w:p>
        </w:tc>
        <w:tc>
          <w:tcPr>
            <w:tcW w:w="1353" w:type="dxa"/>
          </w:tcPr>
          <w:p w14:paraId="7563F44D" w14:textId="77777777" w:rsidR="00C87A37" w:rsidRPr="00145E29" w:rsidRDefault="00C87A37" w:rsidP="007C0278">
            <w:pPr>
              <w:jc w:val="center"/>
              <w:rPr>
                <w:rFonts w:ascii="Times New Roman" w:hAnsi="Times New Roman" w:cs="Times New Roman"/>
                <w:bCs/>
                <w:sz w:val="20"/>
                <w:szCs w:val="20"/>
              </w:rPr>
            </w:pPr>
            <w:r w:rsidRPr="00145E29">
              <w:rPr>
                <w:rFonts w:ascii="Times New Roman" w:hAnsi="Times New Roman" w:cs="Times New Roman"/>
                <w:bCs/>
                <w:sz w:val="20"/>
                <w:szCs w:val="20"/>
              </w:rPr>
              <w:t>7500</w:t>
            </w:r>
          </w:p>
        </w:tc>
      </w:tr>
      <w:tr w:rsidR="00C87A37" w:rsidRPr="00145E29" w14:paraId="31F0E447" w14:textId="77777777" w:rsidTr="00C87A37">
        <w:tc>
          <w:tcPr>
            <w:tcW w:w="863" w:type="dxa"/>
          </w:tcPr>
          <w:p w14:paraId="199F86AC" w14:textId="77777777" w:rsidR="00C87A37" w:rsidRPr="00145E29" w:rsidRDefault="00C87A37" w:rsidP="007C0278">
            <w:pPr>
              <w:pStyle w:val="a4"/>
              <w:numPr>
                <w:ilvl w:val="0"/>
                <w:numId w:val="1"/>
              </w:numPr>
              <w:jc w:val="center"/>
              <w:rPr>
                <w:rFonts w:ascii="Times New Roman" w:hAnsi="Times New Roman" w:cs="Times New Roman"/>
                <w:sz w:val="20"/>
                <w:szCs w:val="20"/>
              </w:rPr>
            </w:pPr>
          </w:p>
        </w:tc>
        <w:tc>
          <w:tcPr>
            <w:tcW w:w="7201" w:type="dxa"/>
          </w:tcPr>
          <w:p w14:paraId="17FE3227" w14:textId="77777777" w:rsidR="00C87A37" w:rsidRPr="00145E29" w:rsidRDefault="00C87A37" w:rsidP="007C0278">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Обязательный ежемесячный платеж</w:t>
            </w:r>
            <w:r w:rsidRPr="00145E29">
              <w:rPr>
                <w:rFonts w:ascii="Times New Roman" w:hAnsi="Times New Roman" w:cs="Times New Roman"/>
                <w:sz w:val="20"/>
                <w:szCs w:val="20"/>
                <w:vertAlign w:val="superscript"/>
              </w:rPr>
              <w:t>3</w:t>
            </w:r>
          </w:p>
        </w:tc>
        <w:tc>
          <w:tcPr>
            <w:tcW w:w="1353" w:type="dxa"/>
          </w:tcPr>
          <w:p w14:paraId="0DD6C874" w14:textId="57C4F8E6" w:rsidR="00C87A37" w:rsidRPr="00145E29" w:rsidRDefault="00C87A37" w:rsidP="007C0278">
            <w:pPr>
              <w:jc w:val="center"/>
              <w:rPr>
                <w:rFonts w:ascii="Times New Roman" w:hAnsi="Times New Roman" w:cs="Times New Roman"/>
                <w:bCs/>
                <w:sz w:val="20"/>
                <w:szCs w:val="20"/>
                <w:vertAlign w:val="superscript"/>
              </w:rPr>
            </w:pPr>
            <w:r w:rsidRPr="00145E29">
              <w:rPr>
                <w:rFonts w:ascii="Times New Roman" w:hAnsi="Times New Roman" w:cs="Times New Roman"/>
                <w:sz w:val="20"/>
                <w:szCs w:val="20"/>
              </w:rPr>
              <w:t>3700</w:t>
            </w:r>
            <w:r w:rsidRPr="00145E29">
              <w:rPr>
                <w:rFonts w:ascii="Times New Roman" w:hAnsi="Times New Roman" w:cs="Times New Roman"/>
                <w:sz w:val="20"/>
                <w:szCs w:val="20"/>
                <w:vertAlign w:val="superscript"/>
              </w:rPr>
              <w:t>4</w:t>
            </w:r>
          </w:p>
        </w:tc>
      </w:tr>
      <w:tr w:rsidR="00C87A37" w:rsidRPr="00145E29" w14:paraId="72FE4253" w14:textId="77777777" w:rsidTr="00C87A37">
        <w:tc>
          <w:tcPr>
            <w:tcW w:w="863" w:type="dxa"/>
          </w:tcPr>
          <w:p w14:paraId="754B3CD3" w14:textId="77777777" w:rsidR="00C87A37" w:rsidRPr="00145E29" w:rsidRDefault="00C87A37" w:rsidP="00B60DD5">
            <w:pPr>
              <w:ind w:left="360"/>
              <w:jc w:val="center"/>
              <w:rPr>
                <w:rFonts w:ascii="Times New Roman" w:hAnsi="Times New Roman" w:cs="Times New Roman"/>
                <w:sz w:val="20"/>
                <w:szCs w:val="20"/>
              </w:rPr>
            </w:pPr>
          </w:p>
        </w:tc>
        <w:tc>
          <w:tcPr>
            <w:tcW w:w="7201" w:type="dxa"/>
          </w:tcPr>
          <w:p w14:paraId="62696323" w14:textId="361FD63F"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b/>
                <w:sz w:val="20"/>
                <w:szCs w:val="20"/>
              </w:rPr>
              <w:t>Стоимость основных функциональных возможностей</w:t>
            </w:r>
          </w:p>
        </w:tc>
        <w:tc>
          <w:tcPr>
            <w:tcW w:w="1353" w:type="dxa"/>
          </w:tcPr>
          <w:p w14:paraId="000D128E" w14:textId="77777777" w:rsidR="00C87A37" w:rsidRPr="00145E29" w:rsidRDefault="00C87A37" w:rsidP="00C87A37">
            <w:pPr>
              <w:jc w:val="center"/>
              <w:rPr>
                <w:rFonts w:ascii="Times New Roman" w:hAnsi="Times New Roman" w:cs="Times New Roman"/>
                <w:sz w:val="20"/>
                <w:szCs w:val="20"/>
              </w:rPr>
            </w:pPr>
          </w:p>
        </w:tc>
      </w:tr>
      <w:tr w:rsidR="00C87A37" w:rsidRPr="00145E29" w14:paraId="4E987D7F" w14:textId="77777777" w:rsidTr="00C87A37">
        <w:tc>
          <w:tcPr>
            <w:tcW w:w="863" w:type="dxa"/>
          </w:tcPr>
          <w:p w14:paraId="4FC88873"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5B278512"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ЭД стандартное</w:t>
            </w:r>
            <w:r w:rsidRPr="00145E29">
              <w:rPr>
                <w:rFonts w:ascii="Times New Roman" w:hAnsi="Times New Roman" w:cs="Times New Roman"/>
                <w:sz w:val="20"/>
                <w:szCs w:val="20"/>
                <w:vertAlign w:val="superscript"/>
              </w:rPr>
              <w:t>5</w:t>
            </w:r>
          </w:p>
        </w:tc>
        <w:tc>
          <w:tcPr>
            <w:tcW w:w="1353" w:type="dxa"/>
          </w:tcPr>
          <w:p w14:paraId="1628EB3E" w14:textId="77777777"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sz w:val="20"/>
                <w:szCs w:val="20"/>
              </w:rPr>
              <w:t>370</w:t>
            </w:r>
          </w:p>
        </w:tc>
      </w:tr>
      <w:tr w:rsidR="00C87A37" w:rsidRPr="00145E29" w14:paraId="09747462" w14:textId="77777777" w:rsidTr="00C87A37">
        <w:tc>
          <w:tcPr>
            <w:tcW w:w="863" w:type="dxa"/>
          </w:tcPr>
          <w:p w14:paraId="4B13534B"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3F6F3C23"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ЭД с пересылкой</w:t>
            </w:r>
            <w:r w:rsidRPr="00145E29">
              <w:rPr>
                <w:rFonts w:ascii="Times New Roman" w:hAnsi="Times New Roman" w:cs="Times New Roman"/>
                <w:sz w:val="20"/>
                <w:szCs w:val="20"/>
                <w:vertAlign w:val="superscript"/>
              </w:rPr>
              <w:t>7</w:t>
            </w:r>
          </w:p>
        </w:tc>
        <w:tc>
          <w:tcPr>
            <w:tcW w:w="1353" w:type="dxa"/>
          </w:tcPr>
          <w:p w14:paraId="2962E707" w14:textId="77777777" w:rsidR="00C87A37" w:rsidRPr="00145E29" w:rsidRDefault="00C87A37" w:rsidP="00C87A37">
            <w:pPr>
              <w:jc w:val="center"/>
              <w:rPr>
                <w:rFonts w:ascii="Times New Roman" w:hAnsi="Times New Roman" w:cs="Times New Roman"/>
                <w:sz w:val="20"/>
                <w:szCs w:val="20"/>
                <w:vertAlign w:val="superscript"/>
              </w:rPr>
            </w:pPr>
            <w:r w:rsidRPr="00145E29">
              <w:rPr>
                <w:rFonts w:ascii="Times New Roman" w:hAnsi="Times New Roman" w:cs="Times New Roman"/>
                <w:sz w:val="20"/>
                <w:szCs w:val="20"/>
              </w:rPr>
              <w:t>370 (295)</w:t>
            </w:r>
            <w:r w:rsidRPr="00145E29">
              <w:rPr>
                <w:rFonts w:ascii="Times New Roman" w:hAnsi="Times New Roman" w:cs="Times New Roman"/>
                <w:sz w:val="20"/>
                <w:szCs w:val="20"/>
                <w:vertAlign w:val="superscript"/>
              </w:rPr>
              <w:t>8</w:t>
            </w:r>
          </w:p>
        </w:tc>
      </w:tr>
      <w:tr w:rsidR="00C87A37" w:rsidRPr="00145E29" w14:paraId="037460FF" w14:textId="77777777" w:rsidTr="00C87A37">
        <w:tc>
          <w:tcPr>
            <w:tcW w:w="863" w:type="dxa"/>
          </w:tcPr>
          <w:p w14:paraId="53A17F35"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759A0984"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ЭД Калькуляция Ретро</w:t>
            </w:r>
            <w:r w:rsidRPr="00145E29">
              <w:rPr>
                <w:rFonts w:ascii="Times New Roman" w:hAnsi="Times New Roman" w:cs="Times New Roman"/>
                <w:sz w:val="20"/>
                <w:szCs w:val="20"/>
                <w:vertAlign w:val="superscript"/>
              </w:rPr>
              <w:t>9</w:t>
            </w:r>
          </w:p>
        </w:tc>
        <w:tc>
          <w:tcPr>
            <w:tcW w:w="1353" w:type="dxa"/>
          </w:tcPr>
          <w:p w14:paraId="316BF10F" w14:textId="77777777"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sz w:val="20"/>
                <w:szCs w:val="20"/>
              </w:rPr>
              <w:t>800</w:t>
            </w:r>
          </w:p>
        </w:tc>
      </w:tr>
      <w:tr w:rsidR="00C87A37" w:rsidRPr="00145E29" w14:paraId="0CB3A604" w14:textId="77777777" w:rsidTr="00C87A37">
        <w:tc>
          <w:tcPr>
            <w:tcW w:w="863" w:type="dxa"/>
          </w:tcPr>
          <w:p w14:paraId="22B9C120"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4B329BBA"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ЭД Слесарный ремонт</w:t>
            </w:r>
            <w:r w:rsidRPr="00145E29">
              <w:rPr>
                <w:rFonts w:ascii="Times New Roman" w:hAnsi="Times New Roman" w:cs="Times New Roman"/>
                <w:sz w:val="20"/>
                <w:szCs w:val="20"/>
                <w:vertAlign w:val="superscript"/>
              </w:rPr>
              <w:t>10</w:t>
            </w:r>
          </w:p>
        </w:tc>
        <w:tc>
          <w:tcPr>
            <w:tcW w:w="1353" w:type="dxa"/>
          </w:tcPr>
          <w:p w14:paraId="6F8D03C3" w14:textId="77777777"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sz w:val="20"/>
                <w:szCs w:val="20"/>
              </w:rPr>
              <w:t>75</w:t>
            </w:r>
          </w:p>
        </w:tc>
      </w:tr>
      <w:tr w:rsidR="00C87A37" w:rsidRPr="00145E29" w14:paraId="7DB65ED9" w14:textId="77777777" w:rsidTr="00C87A37">
        <w:tc>
          <w:tcPr>
            <w:tcW w:w="863" w:type="dxa"/>
          </w:tcPr>
          <w:p w14:paraId="62F4A0EC"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5DCE63C9"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ЭД Акт осмотра</w:t>
            </w:r>
            <w:r w:rsidRPr="00145E29">
              <w:rPr>
                <w:rFonts w:ascii="Times New Roman" w:hAnsi="Times New Roman" w:cs="Times New Roman"/>
                <w:sz w:val="20"/>
                <w:szCs w:val="20"/>
                <w:vertAlign w:val="superscript"/>
              </w:rPr>
              <w:t>11</w:t>
            </w:r>
          </w:p>
        </w:tc>
        <w:tc>
          <w:tcPr>
            <w:tcW w:w="1353" w:type="dxa"/>
          </w:tcPr>
          <w:p w14:paraId="51D6FEFE" w14:textId="77777777"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sz w:val="20"/>
                <w:szCs w:val="20"/>
              </w:rPr>
              <w:t>85</w:t>
            </w:r>
          </w:p>
        </w:tc>
      </w:tr>
      <w:tr w:rsidR="00C87A37" w:rsidRPr="00145E29" w14:paraId="01650427" w14:textId="77777777" w:rsidTr="00C87A37">
        <w:tc>
          <w:tcPr>
            <w:tcW w:w="863" w:type="dxa"/>
          </w:tcPr>
          <w:p w14:paraId="5861B3CD"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373B9AD0"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История ТС</w:t>
            </w:r>
            <w:r w:rsidRPr="00145E29">
              <w:rPr>
                <w:rFonts w:ascii="Times New Roman" w:hAnsi="Times New Roman" w:cs="Times New Roman"/>
                <w:sz w:val="20"/>
                <w:szCs w:val="20"/>
                <w:vertAlign w:val="superscript"/>
              </w:rPr>
              <w:t>12</w:t>
            </w:r>
          </w:p>
        </w:tc>
        <w:tc>
          <w:tcPr>
            <w:tcW w:w="1353" w:type="dxa"/>
          </w:tcPr>
          <w:p w14:paraId="04AEE127" w14:textId="28465382" w:rsidR="00C87A37" w:rsidRPr="00145E29" w:rsidRDefault="00C87A37" w:rsidP="00C87A37">
            <w:pPr>
              <w:jc w:val="center"/>
              <w:rPr>
                <w:rFonts w:ascii="Times New Roman" w:hAnsi="Times New Roman" w:cs="Times New Roman"/>
                <w:sz w:val="20"/>
                <w:szCs w:val="20"/>
                <w:vertAlign w:val="superscript"/>
              </w:rPr>
            </w:pPr>
            <w:r w:rsidRPr="00145E29">
              <w:rPr>
                <w:rFonts w:ascii="Times New Roman" w:hAnsi="Times New Roman" w:cs="Times New Roman"/>
                <w:sz w:val="20"/>
                <w:szCs w:val="20"/>
              </w:rPr>
              <w:t>-----------</w:t>
            </w:r>
            <w:r w:rsidR="00580D4D" w:rsidRPr="00145E29">
              <w:rPr>
                <w:rFonts w:ascii="Times New Roman" w:hAnsi="Times New Roman" w:cs="Times New Roman"/>
                <w:sz w:val="20"/>
                <w:szCs w:val="20"/>
                <w:vertAlign w:val="superscript"/>
              </w:rPr>
              <w:t>6</w:t>
            </w:r>
          </w:p>
        </w:tc>
      </w:tr>
      <w:tr w:rsidR="00C87A37" w:rsidRPr="00145E29" w14:paraId="4F215CA0" w14:textId="77777777" w:rsidTr="00C87A37">
        <w:tc>
          <w:tcPr>
            <w:tcW w:w="863" w:type="dxa"/>
          </w:tcPr>
          <w:p w14:paraId="18FE2F6A" w14:textId="77777777" w:rsidR="00C87A37" w:rsidRPr="00145E29" w:rsidRDefault="00C87A37" w:rsidP="00B60DD5">
            <w:pPr>
              <w:ind w:left="360"/>
              <w:jc w:val="center"/>
              <w:rPr>
                <w:rFonts w:ascii="Times New Roman" w:hAnsi="Times New Roman" w:cs="Times New Roman"/>
                <w:sz w:val="20"/>
                <w:szCs w:val="20"/>
              </w:rPr>
            </w:pPr>
          </w:p>
        </w:tc>
        <w:tc>
          <w:tcPr>
            <w:tcW w:w="7201" w:type="dxa"/>
          </w:tcPr>
          <w:p w14:paraId="6A6DB292" w14:textId="55A870E7" w:rsidR="00C87A37" w:rsidRPr="00145E29" w:rsidRDefault="00C87A37" w:rsidP="00C87A37">
            <w:pPr>
              <w:jc w:val="center"/>
              <w:rPr>
                <w:rFonts w:ascii="Times New Roman" w:hAnsi="Times New Roman" w:cs="Times New Roman"/>
                <w:sz w:val="20"/>
                <w:szCs w:val="20"/>
              </w:rPr>
            </w:pPr>
            <w:r w:rsidRPr="00145E29">
              <w:rPr>
                <w:rFonts w:ascii="Times New Roman" w:hAnsi="Times New Roman" w:cs="Times New Roman"/>
                <w:b/>
                <w:bCs/>
                <w:sz w:val="20"/>
                <w:szCs w:val="20"/>
              </w:rPr>
              <w:t>Стоимость дополнительных функциональных возможностей (опций)</w:t>
            </w:r>
          </w:p>
        </w:tc>
        <w:tc>
          <w:tcPr>
            <w:tcW w:w="1353" w:type="dxa"/>
          </w:tcPr>
          <w:p w14:paraId="0D688CAB" w14:textId="77777777" w:rsidR="00C87A37" w:rsidRPr="00145E29" w:rsidRDefault="00C87A37" w:rsidP="00C87A37">
            <w:pPr>
              <w:jc w:val="center"/>
              <w:rPr>
                <w:rFonts w:ascii="Times New Roman" w:hAnsi="Times New Roman" w:cs="Times New Roman"/>
                <w:sz w:val="20"/>
                <w:szCs w:val="20"/>
              </w:rPr>
            </w:pPr>
          </w:p>
        </w:tc>
      </w:tr>
      <w:tr w:rsidR="00C87A37" w:rsidRPr="00145E29" w14:paraId="05814B14" w14:textId="77777777" w:rsidTr="00C87A37">
        <w:tc>
          <w:tcPr>
            <w:tcW w:w="863" w:type="dxa"/>
          </w:tcPr>
          <w:p w14:paraId="27221FA4"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63249D29"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Автоматизатор</w:t>
            </w:r>
            <w:r w:rsidRPr="00145E29">
              <w:rPr>
                <w:rFonts w:ascii="Times New Roman" w:hAnsi="Times New Roman" w:cs="Times New Roman"/>
                <w:sz w:val="20"/>
                <w:szCs w:val="20"/>
                <w:vertAlign w:val="superscript"/>
              </w:rPr>
              <w:t>13</w:t>
            </w:r>
          </w:p>
        </w:tc>
        <w:tc>
          <w:tcPr>
            <w:tcW w:w="1353" w:type="dxa"/>
          </w:tcPr>
          <w:p w14:paraId="0EAE0BC8" w14:textId="7B098912" w:rsidR="00C87A37" w:rsidRPr="00145E29" w:rsidRDefault="00580D4D" w:rsidP="00C87A37">
            <w:pPr>
              <w:jc w:val="center"/>
              <w:rPr>
                <w:rFonts w:ascii="Times New Roman" w:hAnsi="Times New Roman" w:cs="Times New Roman"/>
                <w:bCs/>
                <w:sz w:val="20"/>
                <w:szCs w:val="20"/>
              </w:rPr>
            </w:pPr>
            <w:r w:rsidRPr="00145E29">
              <w:rPr>
                <w:rFonts w:ascii="Times New Roman" w:hAnsi="Times New Roman" w:cs="Times New Roman"/>
                <w:sz w:val="20"/>
                <w:szCs w:val="20"/>
              </w:rPr>
              <w:t>-----------</w:t>
            </w:r>
            <w:r w:rsidRPr="00145E29">
              <w:rPr>
                <w:rFonts w:ascii="Times New Roman" w:hAnsi="Times New Roman" w:cs="Times New Roman"/>
                <w:sz w:val="20"/>
                <w:szCs w:val="20"/>
                <w:vertAlign w:val="superscript"/>
              </w:rPr>
              <w:t>6</w:t>
            </w:r>
          </w:p>
        </w:tc>
      </w:tr>
      <w:tr w:rsidR="00C87A37" w:rsidRPr="00145E29" w14:paraId="6D923308" w14:textId="77777777" w:rsidTr="00C87A37">
        <w:tc>
          <w:tcPr>
            <w:tcW w:w="863" w:type="dxa"/>
          </w:tcPr>
          <w:p w14:paraId="4C29F1E4"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00319771"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ВИН</w:t>
            </w:r>
            <w:r w:rsidRPr="00145E29">
              <w:rPr>
                <w:rFonts w:ascii="Times New Roman" w:hAnsi="Times New Roman" w:cs="Times New Roman"/>
                <w:sz w:val="20"/>
                <w:szCs w:val="20"/>
                <w:vertAlign w:val="superscript"/>
              </w:rPr>
              <w:t>14</w:t>
            </w:r>
          </w:p>
        </w:tc>
        <w:tc>
          <w:tcPr>
            <w:tcW w:w="1353" w:type="dxa"/>
          </w:tcPr>
          <w:p w14:paraId="098B74D7" w14:textId="77777777" w:rsidR="00C87A37" w:rsidRPr="00145E29" w:rsidRDefault="00C87A37" w:rsidP="00C87A37">
            <w:pPr>
              <w:jc w:val="center"/>
              <w:rPr>
                <w:rFonts w:ascii="Times New Roman" w:hAnsi="Times New Roman" w:cs="Times New Roman"/>
                <w:bCs/>
                <w:sz w:val="20"/>
                <w:szCs w:val="20"/>
              </w:rPr>
            </w:pPr>
            <w:r w:rsidRPr="00145E29">
              <w:rPr>
                <w:rFonts w:ascii="Times New Roman" w:hAnsi="Times New Roman" w:cs="Times New Roman"/>
                <w:bCs/>
                <w:sz w:val="20"/>
                <w:szCs w:val="20"/>
              </w:rPr>
              <w:t>170</w:t>
            </w:r>
          </w:p>
        </w:tc>
      </w:tr>
      <w:tr w:rsidR="00C87A37" w:rsidRPr="00145E29" w14:paraId="4EDF0FB4" w14:textId="77777777" w:rsidTr="00C87A37">
        <w:tc>
          <w:tcPr>
            <w:tcW w:w="863" w:type="dxa"/>
          </w:tcPr>
          <w:p w14:paraId="1CBCB65D"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0EACDC63"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ВИН Лайт</w:t>
            </w:r>
            <w:r w:rsidRPr="00145E29">
              <w:rPr>
                <w:rFonts w:ascii="Times New Roman" w:hAnsi="Times New Roman" w:cs="Times New Roman"/>
                <w:sz w:val="20"/>
                <w:szCs w:val="20"/>
                <w:vertAlign w:val="superscript"/>
              </w:rPr>
              <w:t>15</w:t>
            </w:r>
          </w:p>
        </w:tc>
        <w:tc>
          <w:tcPr>
            <w:tcW w:w="1353" w:type="dxa"/>
          </w:tcPr>
          <w:p w14:paraId="188F8A33" w14:textId="77777777" w:rsidR="00C87A37" w:rsidRPr="00145E29" w:rsidRDefault="00C87A37" w:rsidP="00C87A37">
            <w:pPr>
              <w:jc w:val="center"/>
              <w:rPr>
                <w:rFonts w:ascii="Times New Roman" w:hAnsi="Times New Roman" w:cs="Times New Roman"/>
                <w:bCs/>
                <w:sz w:val="20"/>
                <w:szCs w:val="20"/>
              </w:rPr>
            </w:pPr>
            <w:r w:rsidRPr="00145E29">
              <w:rPr>
                <w:rFonts w:ascii="Times New Roman" w:hAnsi="Times New Roman" w:cs="Times New Roman"/>
                <w:bCs/>
                <w:sz w:val="20"/>
                <w:szCs w:val="20"/>
              </w:rPr>
              <w:t>45</w:t>
            </w:r>
          </w:p>
        </w:tc>
      </w:tr>
      <w:tr w:rsidR="00C87A37" w:rsidRPr="00145E29" w14:paraId="2141537D" w14:textId="77777777" w:rsidTr="00C87A37">
        <w:tc>
          <w:tcPr>
            <w:tcW w:w="863" w:type="dxa"/>
          </w:tcPr>
          <w:p w14:paraId="5E6A3B10"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2C68CA60"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История ТС</w:t>
            </w:r>
            <w:r w:rsidRPr="00145E29">
              <w:rPr>
                <w:rFonts w:ascii="Times New Roman" w:hAnsi="Times New Roman" w:cs="Times New Roman"/>
                <w:sz w:val="20"/>
                <w:szCs w:val="20"/>
                <w:vertAlign w:val="superscript"/>
              </w:rPr>
              <w:t>16</w:t>
            </w:r>
          </w:p>
        </w:tc>
        <w:tc>
          <w:tcPr>
            <w:tcW w:w="1353" w:type="dxa"/>
          </w:tcPr>
          <w:p w14:paraId="4B289E7D" w14:textId="77777777" w:rsidR="00C87A37" w:rsidRPr="00145E29" w:rsidRDefault="00C87A37" w:rsidP="00C87A37">
            <w:pPr>
              <w:jc w:val="center"/>
              <w:rPr>
                <w:rFonts w:ascii="Times New Roman" w:hAnsi="Times New Roman" w:cs="Times New Roman"/>
                <w:bCs/>
                <w:sz w:val="20"/>
                <w:szCs w:val="20"/>
              </w:rPr>
            </w:pPr>
            <w:r w:rsidRPr="00145E29">
              <w:rPr>
                <w:rFonts w:ascii="Times New Roman" w:hAnsi="Times New Roman" w:cs="Times New Roman"/>
                <w:bCs/>
                <w:sz w:val="20"/>
                <w:szCs w:val="20"/>
              </w:rPr>
              <w:t>160</w:t>
            </w:r>
          </w:p>
        </w:tc>
      </w:tr>
      <w:tr w:rsidR="00C87A37" w:rsidRPr="00145E29" w14:paraId="7722FCAA" w14:textId="77777777" w:rsidTr="00C87A37">
        <w:tc>
          <w:tcPr>
            <w:tcW w:w="863" w:type="dxa"/>
          </w:tcPr>
          <w:p w14:paraId="622C980F"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63D25362"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Интеграция B2B</w:t>
            </w:r>
            <w:r w:rsidRPr="00145E29">
              <w:rPr>
                <w:rFonts w:ascii="Times New Roman" w:hAnsi="Times New Roman" w:cs="Times New Roman"/>
                <w:sz w:val="20"/>
                <w:szCs w:val="20"/>
                <w:vertAlign w:val="superscript"/>
              </w:rPr>
              <w:t>17</w:t>
            </w:r>
          </w:p>
        </w:tc>
        <w:tc>
          <w:tcPr>
            <w:tcW w:w="1353" w:type="dxa"/>
          </w:tcPr>
          <w:p w14:paraId="16D5D1F0" w14:textId="77777777" w:rsidR="00C87A37" w:rsidRPr="00145E29" w:rsidRDefault="00C87A37" w:rsidP="00C87A37">
            <w:pPr>
              <w:jc w:val="center"/>
              <w:rPr>
                <w:rFonts w:ascii="Times New Roman" w:hAnsi="Times New Roman" w:cs="Times New Roman"/>
                <w:bCs/>
                <w:sz w:val="20"/>
                <w:szCs w:val="20"/>
              </w:rPr>
            </w:pPr>
            <w:r w:rsidRPr="00145E29">
              <w:rPr>
                <w:rFonts w:ascii="Times New Roman" w:hAnsi="Times New Roman" w:cs="Times New Roman"/>
                <w:bCs/>
                <w:sz w:val="20"/>
                <w:szCs w:val="20"/>
              </w:rPr>
              <w:t>0</w:t>
            </w:r>
          </w:p>
        </w:tc>
      </w:tr>
      <w:tr w:rsidR="00C87A37" w:rsidRPr="00145E29" w14:paraId="34608E96" w14:textId="77777777" w:rsidTr="00C87A37">
        <w:tc>
          <w:tcPr>
            <w:tcW w:w="863" w:type="dxa"/>
          </w:tcPr>
          <w:p w14:paraId="14440237"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1015C695" w14:textId="77777777" w:rsidR="00C87A37" w:rsidRPr="00145E29" w:rsidRDefault="00C87A37" w:rsidP="00C87A37">
            <w:pPr>
              <w:jc w:val="center"/>
              <w:rPr>
                <w:rFonts w:ascii="Times New Roman" w:hAnsi="Times New Roman" w:cs="Times New Roman"/>
                <w:b/>
                <w:bCs/>
                <w:sz w:val="20"/>
                <w:szCs w:val="20"/>
                <w:vertAlign w:val="superscript"/>
              </w:rPr>
            </w:pPr>
            <w:r w:rsidRPr="00145E29">
              <w:rPr>
                <w:rFonts w:ascii="Times New Roman" w:hAnsi="Times New Roman" w:cs="Times New Roman"/>
                <w:sz w:val="20"/>
                <w:szCs w:val="20"/>
              </w:rPr>
              <w:t>КаптерМи</w:t>
            </w:r>
            <w:r w:rsidRPr="00145E29">
              <w:rPr>
                <w:rFonts w:ascii="Times New Roman" w:hAnsi="Times New Roman" w:cs="Times New Roman"/>
                <w:sz w:val="20"/>
                <w:szCs w:val="20"/>
                <w:vertAlign w:val="superscript"/>
              </w:rPr>
              <w:t>18</w:t>
            </w:r>
            <w:r w:rsidRPr="00145E29">
              <w:rPr>
                <w:rFonts w:ascii="Times New Roman" w:hAnsi="Times New Roman" w:cs="Times New Roman"/>
                <w:sz w:val="20"/>
                <w:szCs w:val="20"/>
              </w:rPr>
              <w:t xml:space="preserve"> (подписка)</w:t>
            </w:r>
            <w:r w:rsidRPr="00145E29">
              <w:rPr>
                <w:rFonts w:ascii="Times New Roman" w:hAnsi="Times New Roman" w:cs="Times New Roman"/>
                <w:sz w:val="20"/>
                <w:szCs w:val="20"/>
                <w:vertAlign w:val="superscript"/>
              </w:rPr>
              <w:t>19</w:t>
            </w:r>
          </w:p>
        </w:tc>
        <w:tc>
          <w:tcPr>
            <w:tcW w:w="1353" w:type="dxa"/>
          </w:tcPr>
          <w:p w14:paraId="2E700A5C" w14:textId="77777777" w:rsidR="00C87A37" w:rsidRPr="00145E29" w:rsidRDefault="00C87A37" w:rsidP="00C87A37">
            <w:pPr>
              <w:jc w:val="center"/>
              <w:rPr>
                <w:rFonts w:ascii="Times New Roman" w:hAnsi="Times New Roman" w:cs="Times New Roman"/>
                <w:b/>
                <w:bCs/>
                <w:sz w:val="20"/>
                <w:szCs w:val="20"/>
              </w:rPr>
            </w:pPr>
            <w:r w:rsidRPr="00145E29">
              <w:rPr>
                <w:rFonts w:ascii="Times New Roman" w:hAnsi="Times New Roman" w:cs="Times New Roman"/>
                <w:sz w:val="20"/>
                <w:szCs w:val="20"/>
              </w:rPr>
              <w:t>1450 / 13900</w:t>
            </w:r>
          </w:p>
        </w:tc>
      </w:tr>
      <w:tr w:rsidR="00C87A37" w:rsidRPr="00145E29" w14:paraId="212C3EBF" w14:textId="77777777" w:rsidTr="00C87A37">
        <w:tc>
          <w:tcPr>
            <w:tcW w:w="863" w:type="dxa"/>
          </w:tcPr>
          <w:p w14:paraId="774ADF2A" w14:textId="77777777" w:rsidR="00C87A37" w:rsidRPr="00145E29" w:rsidRDefault="00C87A37" w:rsidP="00C87A37">
            <w:pPr>
              <w:pStyle w:val="a4"/>
              <w:numPr>
                <w:ilvl w:val="0"/>
                <w:numId w:val="1"/>
              </w:numPr>
              <w:jc w:val="center"/>
              <w:rPr>
                <w:rFonts w:ascii="Times New Roman" w:hAnsi="Times New Roman" w:cs="Times New Roman"/>
                <w:sz w:val="20"/>
                <w:szCs w:val="20"/>
              </w:rPr>
            </w:pPr>
          </w:p>
        </w:tc>
        <w:tc>
          <w:tcPr>
            <w:tcW w:w="7201" w:type="dxa"/>
          </w:tcPr>
          <w:p w14:paraId="0E6043D3" w14:textId="77777777" w:rsidR="00C87A37" w:rsidRPr="00145E29" w:rsidRDefault="00C87A37" w:rsidP="00C87A37">
            <w:pPr>
              <w:jc w:val="center"/>
              <w:rPr>
                <w:rFonts w:ascii="Times New Roman" w:hAnsi="Times New Roman" w:cs="Times New Roman"/>
                <w:b/>
                <w:bCs/>
                <w:sz w:val="20"/>
                <w:szCs w:val="20"/>
              </w:rPr>
            </w:pPr>
            <w:r w:rsidRPr="00145E29">
              <w:rPr>
                <w:rFonts w:ascii="Times New Roman" w:hAnsi="Times New Roman" w:cs="Times New Roman"/>
                <w:sz w:val="20"/>
                <w:szCs w:val="20"/>
              </w:rPr>
              <w:t>Стоимость запасных частей</w:t>
            </w:r>
            <w:r w:rsidRPr="00145E29">
              <w:rPr>
                <w:rFonts w:ascii="Times New Roman" w:hAnsi="Times New Roman" w:cs="Times New Roman"/>
                <w:sz w:val="20"/>
                <w:szCs w:val="20"/>
                <w:vertAlign w:val="superscript"/>
              </w:rPr>
              <w:t>20</w:t>
            </w:r>
            <w:r w:rsidRPr="00145E29">
              <w:rPr>
                <w:rFonts w:ascii="Times New Roman" w:hAnsi="Times New Roman" w:cs="Times New Roman"/>
                <w:sz w:val="20"/>
                <w:szCs w:val="20"/>
              </w:rPr>
              <w:t xml:space="preserve"> (подписка)</w:t>
            </w:r>
          </w:p>
        </w:tc>
        <w:tc>
          <w:tcPr>
            <w:tcW w:w="1353" w:type="dxa"/>
          </w:tcPr>
          <w:p w14:paraId="1E16A8FB" w14:textId="77777777" w:rsidR="00C87A37" w:rsidRPr="00145E29" w:rsidRDefault="00C87A37" w:rsidP="00C87A37">
            <w:pPr>
              <w:jc w:val="center"/>
              <w:rPr>
                <w:rFonts w:ascii="Times New Roman" w:hAnsi="Times New Roman" w:cs="Times New Roman"/>
                <w:b/>
                <w:bCs/>
                <w:sz w:val="20"/>
                <w:szCs w:val="20"/>
              </w:rPr>
            </w:pPr>
            <w:r w:rsidRPr="00145E29">
              <w:rPr>
                <w:rFonts w:ascii="Times New Roman" w:hAnsi="Times New Roman" w:cs="Times New Roman"/>
                <w:sz w:val="20"/>
                <w:szCs w:val="20"/>
              </w:rPr>
              <w:t>5450/ 54 600</w:t>
            </w:r>
          </w:p>
        </w:tc>
      </w:tr>
    </w:tbl>
    <w:p w14:paraId="396FDC29" w14:textId="77777777" w:rsidR="007C0278" w:rsidRPr="00145E29" w:rsidRDefault="007C0278" w:rsidP="007C0278">
      <w:pPr>
        <w:jc w:val="center"/>
        <w:rPr>
          <w:rFonts w:ascii="Times New Roman" w:hAnsi="Times New Roman" w:cs="Times New Roman"/>
          <w:b/>
          <w:bCs/>
          <w:sz w:val="24"/>
          <w:szCs w:val="24"/>
        </w:rPr>
      </w:pPr>
    </w:p>
    <w:p w14:paraId="135DE245" w14:textId="77777777" w:rsidR="008663CB" w:rsidRPr="00145E29" w:rsidRDefault="008663CB" w:rsidP="008663CB">
      <w:pPr>
        <w:spacing w:after="0" w:line="240" w:lineRule="auto"/>
        <w:rPr>
          <w:rFonts w:ascii="Times New Roman" w:hAnsi="Times New Roman" w:cs="Times New Roman"/>
          <w:sz w:val="24"/>
          <w:szCs w:val="24"/>
        </w:rPr>
      </w:pPr>
      <w:r w:rsidRPr="00145E29">
        <w:rPr>
          <w:rFonts w:ascii="Times New Roman" w:hAnsi="Times New Roman" w:cs="Times New Roman"/>
          <w:sz w:val="24"/>
          <w:szCs w:val="24"/>
        </w:rPr>
        <w:lastRenderedPageBreak/>
        <w:t xml:space="preserve">ПОЯСНЕНИЯ: </w:t>
      </w:r>
    </w:p>
    <w:p w14:paraId="13BE2E96" w14:textId="77777777" w:rsidR="008663CB" w:rsidRPr="00145E29" w:rsidRDefault="008663CB" w:rsidP="008663CB">
      <w:pPr>
        <w:spacing w:after="0" w:line="240" w:lineRule="auto"/>
        <w:rPr>
          <w:rFonts w:ascii="Times New Roman" w:hAnsi="Times New Roman" w:cs="Times New Roman"/>
          <w:sz w:val="24"/>
          <w:szCs w:val="24"/>
        </w:rPr>
      </w:pPr>
      <w:r w:rsidRPr="00145E29">
        <w:rPr>
          <w:rFonts w:ascii="Times New Roman" w:hAnsi="Times New Roman" w:cs="Times New Roman"/>
          <w:sz w:val="24"/>
          <w:szCs w:val="24"/>
        </w:rPr>
        <w:t xml:space="preserve">--------------------------------------------------- </w:t>
      </w:r>
    </w:p>
    <w:p w14:paraId="020DE8D8" w14:textId="77777777" w:rsidR="008663CB" w:rsidRPr="00145E29" w:rsidRDefault="008663CB" w:rsidP="0066270C">
      <w:pPr>
        <w:spacing w:after="0" w:line="240" w:lineRule="auto"/>
        <w:jc w:val="both"/>
        <w:rPr>
          <w:rFonts w:ascii="Times New Roman" w:hAnsi="Times New Roman" w:cs="Times New Roman"/>
          <w:sz w:val="24"/>
          <w:szCs w:val="24"/>
        </w:rPr>
      </w:pPr>
      <w:r w:rsidRPr="00145E29">
        <w:rPr>
          <w:rFonts w:ascii="Times New Roman" w:hAnsi="Times New Roman" w:cs="Times New Roman"/>
          <w:sz w:val="16"/>
          <w:szCs w:val="16"/>
        </w:rPr>
        <w:t>1</w:t>
      </w:r>
      <w:r w:rsidRPr="00145E29">
        <w:rPr>
          <w:rFonts w:ascii="Times New Roman" w:hAnsi="Times New Roman" w:cs="Times New Roman"/>
          <w:sz w:val="24"/>
          <w:szCs w:val="24"/>
        </w:rPr>
        <w:t xml:space="preserve"> Применимый тариф см. в пункте 2.4 настоящего Приложения</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6AAA4A5B" w14:textId="77777777" w:rsidR="008663CB" w:rsidRPr="00145E29" w:rsidRDefault="008663CB" w:rsidP="0066270C">
      <w:pPr>
        <w:spacing w:after="0" w:line="240" w:lineRule="auto"/>
        <w:jc w:val="both"/>
        <w:rPr>
          <w:rFonts w:ascii="Times New Roman" w:hAnsi="Times New Roman" w:cs="Times New Roman"/>
          <w:sz w:val="24"/>
          <w:szCs w:val="24"/>
        </w:rPr>
      </w:pPr>
      <w:r w:rsidRPr="00145E29">
        <w:rPr>
          <w:rFonts w:ascii="Times New Roman" w:hAnsi="Times New Roman" w:cs="Times New Roman"/>
          <w:sz w:val="16"/>
          <w:szCs w:val="16"/>
        </w:rPr>
        <w:t>2</w:t>
      </w:r>
      <w:r w:rsidRPr="00145E29">
        <w:rPr>
          <w:rFonts w:ascii="Times New Roman" w:hAnsi="Times New Roman" w:cs="Times New Roman"/>
          <w:sz w:val="24"/>
          <w:szCs w:val="24"/>
        </w:rPr>
        <w:t xml:space="preserve"> За 1 (одну) Учетную запись; оплачивается ежегодно</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21F3857D" w14:textId="77777777" w:rsidR="008663CB" w:rsidRPr="00145E29" w:rsidRDefault="008663CB" w:rsidP="0066270C">
      <w:pPr>
        <w:spacing w:after="0" w:line="240" w:lineRule="auto"/>
        <w:jc w:val="both"/>
        <w:rPr>
          <w:rFonts w:ascii="Times New Roman" w:hAnsi="Times New Roman" w:cs="Times New Roman"/>
          <w:sz w:val="24"/>
          <w:szCs w:val="24"/>
        </w:rPr>
      </w:pPr>
      <w:r w:rsidRPr="00145E29">
        <w:rPr>
          <w:rFonts w:ascii="Times New Roman" w:hAnsi="Times New Roman" w:cs="Times New Roman"/>
          <w:sz w:val="16"/>
          <w:szCs w:val="16"/>
        </w:rPr>
        <w:t>3</w:t>
      </w:r>
      <w:r w:rsidRPr="00145E29">
        <w:rPr>
          <w:rFonts w:ascii="Times New Roman" w:hAnsi="Times New Roman" w:cs="Times New Roman"/>
          <w:sz w:val="24"/>
          <w:szCs w:val="24"/>
        </w:rPr>
        <w:t xml:space="preserve"> Обязательный ежемесячный платеж взимается по каждой Учетной записи независимо от того, была ли использована возможность создания ЭД, выполнения операций в Базе данных. Обязательный ежемесячный платеж взимается в том числе при отсутствии ЭД, операций. При создании ЭД в расчетный период на сумму большую, чем обязательный ежемесячный платеж, обязательный ежемесячный платеж не выставляется и не выделяется в счете на оплату отдельной строкой. Обязательный ежемесячный платеж начисляется с текущего календарного месяца в случае предоставления Учетных записей до 15-го числа текущего месяца включительно, со следующего календарного месяца в случае предоставления Учетных записей после 15-го числа. </w:t>
      </w:r>
    </w:p>
    <w:p w14:paraId="1654E3A1" w14:textId="77777777" w:rsidR="008663CB" w:rsidRPr="00145E29" w:rsidRDefault="008663CB" w:rsidP="0066270C">
      <w:pPr>
        <w:spacing w:after="0" w:line="240" w:lineRule="auto"/>
        <w:jc w:val="both"/>
        <w:rPr>
          <w:rFonts w:ascii="Times New Roman" w:hAnsi="Times New Roman" w:cs="Times New Roman"/>
          <w:sz w:val="24"/>
          <w:szCs w:val="24"/>
        </w:rPr>
      </w:pPr>
      <w:r w:rsidRPr="00145E29">
        <w:rPr>
          <w:rFonts w:ascii="Times New Roman" w:hAnsi="Times New Roman" w:cs="Times New Roman"/>
          <w:sz w:val="20"/>
          <w:szCs w:val="20"/>
        </w:rPr>
        <w:t>4</w:t>
      </w:r>
      <w:r w:rsidRPr="00145E29">
        <w:rPr>
          <w:rFonts w:ascii="Times New Roman" w:hAnsi="Times New Roman" w:cs="Times New Roman"/>
          <w:sz w:val="24"/>
          <w:szCs w:val="24"/>
        </w:rPr>
        <w:t xml:space="preserve"> Включены ЭД стандартное, ЭД с пересылкой, ЭД Калькуляция Ретро (если доступны в тарифе) нарастающим итогом в пределах размера обязательного ежемесячного платежа. </w:t>
      </w:r>
    </w:p>
    <w:p w14:paraId="51AD5B73" w14:textId="77777777" w:rsidR="008663CB" w:rsidRPr="00145E29" w:rsidRDefault="008663CB" w:rsidP="0066270C">
      <w:pPr>
        <w:spacing w:after="0" w:line="240" w:lineRule="auto"/>
        <w:jc w:val="both"/>
        <w:rPr>
          <w:rFonts w:ascii="Times New Roman" w:hAnsi="Times New Roman" w:cs="Times New Roman"/>
          <w:sz w:val="24"/>
          <w:szCs w:val="24"/>
        </w:rPr>
      </w:pPr>
      <w:r w:rsidRPr="00145E29">
        <w:rPr>
          <w:rFonts w:ascii="Times New Roman" w:hAnsi="Times New Roman" w:cs="Times New Roman"/>
          <w:sz w:val="20"/>
          <w:szCs w:val="20"/>
        </w:rPr>
        <w:t>5</w:t>
      </w:r>
      <w:r w:rsidRPr="00145E29">
        <w:rPr>
          <w:rFonts w:ascii="Times New Roman" w:hAnsi="Times New Roman" w:cs="Times New Roman"/>
          <w:sz w:val="24"/>
          <w:szCs w:val="24"/>
        </w:rPr>
        <w:t xml:space="preserve"> Стандартное ЭД тарифицируется (подлежит оплате) по факту создания или по факту получения каждого ЭД от другого пользователя Базы данных посредством коммуникации. </w:t>
      </w:r>
    </w:p>
    <w:p w14:paraId="029A1AF4" w14:textId="77777777" w:rsidR="008663CB" w:rsidRPr="00145E29" w:rsidRDefault="008663CB" w:rsidP="008663CB">
      <w:pPr>
        <w:jc w:val="both"/>
        <w:rPr>
          <w:rFonts w:ascii="Times New Roman" w:hAnsi="Times New Roman" w:cs="Times New Roman"/>
          <w:sz w:val="24"/>
          <w:szCs w:val="24"/>
        </w:rPr>
      </w:pPr>
      <w:r w:rsidRPr="00145E29">
        <w:rPr>
          <w:rFonts w:ascii="Times New Roman" w:hAnsi="Times New Roman" w:cs="Times New Roman"/>
          <w:b/>
          <w:bCs/>
          <w:sz w:val="24"/>
          <w:szCs w:val="24"/>
        </w:rPr>
        <w:t>Применяются следующие правила тарификации:</w:t>
      </w:r>
      <w:r w:rsidRPr="00145E29">
        <w:rPr>
          <w:rFonts w:ascii="Times New Roman" w:hAnsi="Times New Roman" w:cs="Times New Roman"/>
          <w:sz w:val="24"/>
          <w:szCs w:val="24"/>
        </w:rPr>
        <w:t xml:space="preserve"> </w:t>
      </w:r>
    </w:p>
    <w:p w14:paraId="6D08C3C0" w14:textId="77777777" w:rsidR="008663CB" w:rsidRPr="00145E29" w:rsidRDefault="008663CB" w:rsidP="008663CB">
      <w:pPr>
        <w:pStyle w:val="a4"/>
        <w:numPr>
          <w:ilvl w:val="0"/>
          <w:numId w:val="2"/>
        </w:numPr>
        <w:jc w:val="both"/>
        <w:rPr>
          <w:rFonts w:ascii="Times New Roman" w:hAnsi="Times New Roman" w:cs="Times New Roman"/>
          <w:sz w:val="24"/>
          <w:szCs w:val="24"/>
        </w:rPr>
      </w:pPr>
      <w:r w:rsidRPr="00145E29">
        <w:rPr>
          <w:rFonts w:ascii="Times New Roman" w:hAnsi="Times New Roman" w:cs="Times New Roman"/>
          <w:sz w:val="24"/>
          <w:szCs w:val="24"/>
        </w:rPr>
        <w:t>Не тарифицируется получение ЭД с других Учетных записей того же Пользователя или от другого пользователя в составе группы пользователей, которые по особым соглашениям с Правообладателем используют Базу данных на основании одного лицензионного соглашения (далее – Группа пользователей)</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044A970A"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Не тарифицируется изменение типа ЭД из КАСКО в ОСАГО и наоборот</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3C910F9C"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Каждое ЭД Пользователя, которое отправлено/получено посредством коммуникации, может включать до 10 (десяти) отдельно не тарифицируемых стандартных калькуляций (расчетов) стоимости ремонта ТС в порядке КАСКО и/или ОСАГО. Каждое ЭД Пользователя, которое не отправлено/получено посредством коммуникации, может включать до 5 (пяти) отдельно не тарифицируемых стандартных калькуляций (расчетов) стоимости ремонта ТС в порядке КАСКО и/или ОСАГО. В любом случае стандартные калькуляции выполняются Пользователем в течение предусмотренного настоящим Приложением срока</w:t>
      </w:r>
      <w:r w:rsidR="0066270C" w:rsidRPr="00145E29">
        <w:rPr>
          <w:rFonts w:ascii="Times New Roman" w:hAnsi="Times New Roman" w:cs="Times New Roman"/>
          <w:sz w:val="24"/>
          <w:szCs w:val="24"/>
        </w:rPr>
        <w:t>.</w:t>
      </w:r>
    </w:p>
    <w:p w14:paraId="24109742"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Отдельно не тарифицируемые стандартные калькуляции (расчеты) в составе ЭД выполняются Пользователем, являющимся страховой компанией, в течение 90 (девяносто) календарных дней с даты создания/получения ЭД включительно; Пользователем, не являющимся страховой компанией, - в течение 30 (тридцати) календарных дней с даты создания/получения ЭД включительно</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2B8792AC"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Любая специальная калькуляция (расчет) стоимости ремонта ТС, операция по опциям тарифицируется дополнительно, т.е. не покрывается ценой ЭД</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0B12A635"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При определении исчерпания Пользователем в составе Группы пользователей вышеуказанного количества стандартных калькуляций и сроков учитывается совокупное количество выполненных всеми пользователями в составе Группы пользователей стандартных калькуляций, при этом сроки отсчитываются с даты создания ЭД любым пользователем в составе Группы пользователей или получения ЭД от пользователя за пределами Группы пользователей. Вариант применимого количества и сроков (т.е. для Пользователя – страховой компании или Пользователя – не страховой компании) определяется по пользователю, который подписал лицензионное соглашение с Правообладателем и по запросу которого к лицензионному соглашению присоединились другие пользователи (головной пользователь)</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657EEAEF"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lastRenderedPageBreak/>
        <w:t>Каждая стандартная калькуляция, выполненная свыше вышеуказанного количества или за пределами вышеуказанных сроков, тарифицируется как одно ЭД</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5107CF0E"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Предварительный просмотр калькуляции приравнивается к выполненной калькуляции</w:t>
      </w:r>
      <w:r w:rsidR="0066270C" w:rsidRPr="00145E29">
        <w:rPr>
          <w:rFonts w:ascii="Times New Roman" w:hAnsi="Times New Roman" w:cs="Times New Roman"/>
          <w:sz w:val="24"/>
          <w:szCs w:val="24"/>
        </w:rPr>
        <w:t>.</w:t>
      </w:r>
    </w:p>
    <w:p w14:paraId="339F2C12"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Любое изменение указанных в ЭД сведений о ТС тарифицируется как одно ЭД, при этом ЭД с измененными сведениями не признается новым ЭД, т.е. ранее выполненные стандартные калькуляции учитываются при определении исчерпания вышеуказанного количества и сроков</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7C6A7C29" w14:textId="77777777" w:rsidR="008663CB" w:rsidRPr="00145E29" w:rsidRDefault="008663CB" w:rsidP="008663CB">
      <w:pPr>
        <w:pStyle w:val="a4"/>
        <w:numPr>
          <w:ilvl w:val="0"/>
          <w:numId w:val="2"/>
        </w:numPr>
        <w:jc w:val="both"/>
        <w:rPr>
          <w:rFonts w:ascii="Times New Roman" w:hAnsi="Times New Roman" w:cs="Times New Roman"/>
          <w:b/>
          <w:bCs/>
          <w:sz w:val="24"/>
          <w:szCs w:val="24"/>
        </w:rPr>
      </w:pPr>
      <w:r w:rsidRPr="00145E29">
        <w:rPr>
          <w:rFonts w:ascii="Times New Roman" w:hAnsi="Times New Roman" w:cs="Times New Roman"/>
          <w:sz w:val="24"/>
          <w:szCs w:val="24"/>
        </w:rPr>
        <w:t>Правила тарификации Стандартного ЭД применяются к прочим ЭД, если иное не предусмотрено настоящим Приложением или не следует из функциональных особенностей такого ЭД</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1C2A37FE"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6</w:t>
      </w:r>
      <w:r w:rsidRPr="00145E29">
        <w:rPr>
          <w:rFonts w:ascii="Times New Roman" w:hAnsi="Times New Roman" w:cs="Times New Roman"/>
          <w:sz w:val="24"/>
          <w:szCs w:val="24"/>
        </w:rPr>
        <w:t xml:space="preserve"> Прочерк («----------») означает недоступность соответствующей функциональной возможности Базы данных </w:t>
      </w:r>
    </w:p>
    <w:p w14:paraId="1AB2D1EF"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24"/>
          <w:szCs w:val="24"/>
        </w:rPr>
        <w:t xml:space="preserve">7 Тарификация по факту создания/получения ЭД вместо стоимости Стандартного ЭД при условии, что коммуникация завершилась (ЭД принято получателем) до 25 числа текущего месяца (включительно) для ЭД, созданных начиная с 20 числа предыдущего месяца. </w:t>
      </w:r>
    </w:p>
    <w:p w14:paraId="592C7C50"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8</w:t>
      </w:r>
      <w:r w:rsidRPr="00145E29">
        <w:rPr>
          <w:rFonts w:ascii="Times New Roman" w:hAnsi="Times New Roman" w:cs="Times New Roman"/>
          <w:sz w:val="24"/>
          <w:szCs w:val="24"/>
        </w:rPr>
        <w:t xml:space="preserve"> Стоимость в скобках применяется к пользователям Базы данных, являющихся экспертами (независимыми экспертами), экспертными организациями, и только при выполнении стандартной калькуляции в порядке ОСАГО. </w:t>
      </w:r>
    </w:p>
    <w:p w14:paraId="1AA9F5A3"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9</w:t>
      </w:r>
      <w:r w:rsidRPr="00145E29">
        <w:rPr>
          <w:rFonts w:ascii="Times New Roman" w:hAnsi="Times New Roman" w:cs="Times New Roman"/>
          <w:sz w:val="24"/>
          <w:szCs w:val="24"/>
        </w:rPr>
        <w:t xml:space="preserve"> Тарификация по факту выполнения калькуляции Ретро, при этом последующие калькуляции Ретро в пределах 10 (десяти) штук в течение 30 (тридцати) дней не тарифицируются. </w:t>
      </w:r>
    </w:p>
    <w:p w14:paraId="05412943"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10</w:t>
      </w:r>
      <w:r w:rsidRPr="00145E29">
        <w:rPr>
          <w:rFonts w:ascii="Times New Roman" w:hAnsi="Times New Roman" w:cs="Times New Roman"/>
          <w:sz w:val="24"/>
          <w:szCs w:val="24"/>
        </w:rPr>
        <w:t xml:space="preserve"> Тарификация по факту выполнения слесарной калькуляции, при этом последующие слесарные калькуляции в пределах 10 (десяти) штук в течение 30 (тридцати) дней не тарифицируются. </w:t>
      </w:r>
    </w:p>
    <w:p w14:paraId="2FD8A7E9"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11</w:t>
      </w:r>
      <w:r w:rsidRPr="00145E29">
        <w:rPr>
          <w:rFonts w:ascii="Times New Roman" w:hAnsi="Times New Roman" w:cs="Times New Roman"/>
          <w:sz w:val="24"/>
          <w:szCs w:val="24"/>
        </w:rPr>
        <w:t xml:space="preserve"> Тарификация по факту создания каждого ЭД Акт осмотра, включает 1 (один) акт осмотра. </w:t>
      </w:r>
    </w:p>
    <w:p w14:paraId="25AE74CE"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12</w:t>
      </w:r>
      <w:r w:rsidRPr="00145E29">
        <w:rPr>
          <w:rFonts w:ascii="Times New Roman" w:hAnsi="Times New Roman" w:cs="Times New Roman"/>
          <w:sz w:val="24"/>
          <w:szCs w:val="24"/>
        </w:rPr>
        <w:t xml:space="preserve"> Стоимость 1 (одного) запроса по опции История ТС, который тарифицируется по факту направления запроса, т.е. независимо от результата запроса, в том числе при отсутствии запрошенных сведений</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30C3D08A"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13</w:t>
      </w:r>
      <w:r w:rsidRPr="00145E29">
        <w:rPr>
          <w:rFonts w:ascii="Times New Roman" w:hAnsi="Times New Roman" w:cs="Times New Roman"/>
          <w:sz w:val="24"/>
          <w:szCs w:val="24"/>
        </w:rPr>
        <w:t xml:space="preserve"> Стоимость выполнения 1 (одной) автоматизированной проверки. Дополнительно, стоимость конфигурации одного правила составляет 29 475 руб. </w:t>
      </w:r>
    </w:p>
    <w:p w14:paraId="6323FF78"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14</w:t>
      </w:r>
      <w:r w:rsidRPr="00145E29">
        <w:rPr>
          <w:rFonts w:ascii="Times New Roman" w:hAnsi="Times New Roman" w:cs="Times New Roman"/>
          <w:sz w:val="24"/>
          <w:szCs w:val="24"/>
        </w:rPr>
        <w:t xml:space="preserve"> Стоимость 1 (одного) запроса по опции ВИН, тарификация по факту направления запроса, т.е. независимо от результата запроса, в том числе при отсутствии запрошенных сведений</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770C876A"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15</w:t>
      </w:r>
      <w:r w:rsidRPr="00145E29">
        <w:rPr>
          <w:rFonts w:ascii="Times New Roman" w:hAnsi="Times New Roman" w:cs="Times New Roman"/>
          <w:sz w:val="24"/>
          <w:szCs w:val="24"/>
        </w:rPr>
        <w:t xml:space="preserve"> Стоимость 1 (одного) запроса по опции ВИН Лайт, тарификация по факту направления запроса, т.е. независимо от результата запроса, в том числе при отсутствии запрошенных сведений</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36B3F222"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16</w:t>
      </w:r>
      <w:r w:rsidRPr="00145E29">
        <w:rPr>
          <w:rFonts w:ascii="Times New Roman" w:hAnsi="Times New Roman" w:cs="Times New Roman"/>
          <w:sz w:val="24"/>
          <w:szCs w:val="24"/>
        </w:rPr>
        <w:t xml:space="preserve"> Стоимость 1 (одного) запроса по опции История ТС, который тарифицируется по факту направления запроса, т.е. независимо от результата запроса, в том числе при </w:t>
      </w:r>
      <w:r w:rsidR="0066270C" w:rsidRPr="00145E29">
        <w:rPr>
          <w:rFonts w:ascii="Times New Roman" w:hAnsi="Times New Roman" w:cs="Times New Roman"/>
          <w:sz w:val="24"/>
          <w:szCs w:val="24"/>
        </w:rPr>
        <w:t>отсутствии запрошенных сведений.</w:t>
      </w:r>
    </w:p>
    <w:p w14:paraId="305CC94F"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17</w:t>
      </w:r>
      <w:r w:rsidRPr="00145E29">
        <w:rPr>
          <w:rFonts w:ascii="Times New Roman" w:hAnsi="Times New Roman" w:cs="Times New Roman"/>
          <w:sz w:val="24"/>
          <w:szCs w:val="24"/>
        </w:rPr>
        <w:t xml:space="preserve"> Стоимость функционального использования опции Интеграция B2B</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72A3B60F"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18</w:t>
      </w:r>
      <w:r w:rsidRPr="00145E29">
        <w:rPr>
          <w:rFonts w:ascii="Times New Roman" w:hAnsi="Times New Roman" w:cs="Times New Roman"/>
          <w:sz w:val="24"/>
          <w:szCs w:val="24"/>
        </w:rPr>
        <w:t xml:space="preserve"> Стоимость функционального использования в течение расчетного периода / года по одной Учетной записи.</w:t>
      </w:r>
    </w:p>
    <w:p w14:paraId="0D8C5FE7"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t>19</w:t>
      </w:r>
      <w:r w:rsidRPr="00145E29">
        <w:rPr>
          <w:rFonts w:ascii="Times New Roman" w:hAnsi="Times New Roman" w:cs="Times New Roman"/>
          <w:sz w:val="24"/>
          <w:szCs w:val="24"/>
        </w:rPr>
        <w:t xml:space="preserve"> Здесь и далее: «подписка» означает вариант оплаты использования соответствующей опции Базы данных, при котором указанный фиксированный платеж по одной Учетной записи за период оплачивается авансом и не зависит от фактического объема использования</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5D47DD89" w14:textId="77777777" w:rsidR="008663CB" w:rsidRPr="00145E29" w:rsidRDefault="008663CB" w:rsidP="008663CB">
      <w:pPr>
        <w:pStyle w:val="a4"/>
        <w:ind w:left="1080"/>
        <w:jc w:val="both"/>
        <w:rPr>
          <w:rFonts w:ascii="Times New Roman" w:hAnsi="Times New Roman" w:cs="Times New Roman"/>
          <w:sz w:val="24"/>
          <w:szCs w:val="24"/>
        </w:rPr>
      </w:pPr>
      <w:r w:rsidRPr="00145E29">
        <w:rPr>
          <w:rFonts w:ascii="Times New Roman" w:hAnsi="Times New Roman" w:cs="Times New Roman"/>
          <w:sz w:val="16"/>
          <w:szCs w:val="16"/>
        </w:rPr>
        <w:lastRenderedPageBreak/>
        <w:t>20</w:t>
      </w:r>
      <w:r w:rsidRPr="00145E29">
        <w:rPr>
          <w:rFonts w:ascii="Times New Roman" w:hAnsi="Times New Roman" w:cs="Times New Roman"/>
          <w:sz w:val="24"/>
          <w:szCs w:val="24"/>
        </w:rPr>
        <w:t xml:space="preserve"> Стоимость функционального использования в течение расчетного периода по одной Учетной записи ---------------------------------------------------</w:t>
      </w:r>
      <w:r w:rsidR="0066270C" w:rsidRPr="00145E29">
        <w:rPr>
          <w:rFonts w:ascii="Times New Roman" w:hAnsi="Times New Roman" w:cs="Times New Roman"/>
          <w:sz w:val="24"/>
          <w:szCs w:val="24"/>
        </w:rPr>
        <w:t>.</w:t>
      </w:r>
      <w:r w:rsidRPr="00145E29">
        <w:rPr>
          <w:rFonts w:ascii="Times New Roman" w:hAnsi="Times New Roman" w:cs="Times New Roman"/>
          <w:sz w:val="24"/>
          <w:szCs w:val="24"/>
        </w:rPr>
        <w:t xml:space="preserve"> </w:t>
      </w:r>
    </w:p>
    <w:p w14:paraId="290AA896" w14:textId="77777777" w:rsidR="008663CB" w:rsidRPr="00145E29" w:rsidRDefault="008663CB" w:rsidP="008663CB">
      <w:pPr>
        <w:pStyle w:val="a4"/>
        <w:ind w:left="1080"/>
        <w:jc w:val="both"/>
        <w:rPr>
          <w:rFonts w:ascii="Times New Roman" w:hAnsi="Times New Roman" w:cs="Times New Roman"/>
          <w:sz w:val="24"/>
          <w:szCs w:val="24"/>
        </w:rPr>
      </w:pPr>
    </w:p>
    <w:p w14:paraId="18F257D7" w14:textId="77777777" w:rsidR="008663CB" w:rsidRPr="00145E29" w:rsidRDefault="008663CB" w:rsidP="008663CB">
      <w:pPr>
        <w:pStyle w:val="a4"/>
        <w:ind w:left="1080"/>
        <w:jc w:val="center"/>
        <w:rPr>
          <w:rFonts w:ascii="Times New Roman" w:hAnsi="Times New Roman" w:cs="Times New Roman"/>
          <w:b/>
          <w:bCs/>
          <w:sz w:val="24"/>
          <w:szCs w:val="24"/>
        </w:rPr>
      </w:pPr>
      <w:r w:rsidRPr="00145E29">
        <w:rPr>
          <w:rFonts w:ascii="Times New Roman" w:hAnsi="Times New Roman" w:cs="Times New Roman"/>
          <w:b/>
          <w:bCs/>
          <w:sz w:val="24"/>
          <w:szCs w:val="24"/>
        </w:rPr>
        <w:t>4. Описание основных функциональных возможностей</w:t>
      </w:r>
    </w:p>
    <w:tbl>
      <w:tblPr>
        <w:tblStyle w:val="a3"/>
        <w:tblW w:w="9781" w:type="dxa"/>
        <w:tblInd w:w="137" w:type="dxa"/>
        <w:tblLook w:val="04A0" w:firstRow="1" w:lastRow="0" w:firstColumn="1" w:lastColumn="0" w:noHBand="0" w:noVBand="1"/>
      </w:tblPr>
      <w:tblGrid>
        <w:gridCol w:w="731"/>
        <w:gridCol w:w="1923"/>
        <w:gridCol w:w="3596"/>
        <w:gridCol w:w="3531"/>
      </w:tblGrid>
      <w:tr w:rsidR="008663CB" w:rsidRPr="00145E29" w14:paraId="50582D62" w14:textId="77777777" w:rsidTr="00773DFB">
        <w:tc>
          <w:tcPr>
            <w:tcW w:w="731" w:type="dxa"/>
          </w:tcPr>
          <w:p w14:paraId="24208250" w14:textId="77777777" w:rsidR="008663CB" w:rsidRPr="00145E29" w:rsidRDefault="000D2EAD" w:rsidP="008663CB">
            <w:pPr>
              <w:pStyle w:val="a4"/>
              <w:ind w:left="0"/>
              <w:jc w:val="center"/>
              <w:rPr>
                <w:rFonts w:ascii="Times New Roman" w:hAnsi="Times New Roman" w:cs="Times New Roman"/>
                <w:b/>
                <w:bCs/>
                <w:sz w:val="20"/>
                <w:szCs w:val="20"/>
              </w:rPr>
            </w:pPr>
            <w:r w:rsidRPr="00145E29">
              <w:rPr>
                <w:rFonts w:ascii="Times New Roman" w:hAnsi="Times New Roman" w:cs="Times New Roman"/>
                <w:b/>
                <w:bCs/>
                <w:sz w:val="20"/>
                <w:szCs w:val="20"/>
              </w:rPr>
              <w:t>№ п/п</w:t>
            </w:r>
          </w:p>
        </w:tc>
        <w:tc>
          <w:tcPr>
            <w:tcW w:w="1923" w:type="dxa"/>
          </w:tcPr>
          <w:p w14:paraId="0E33FB2D" w14:textId="77777777" w:rsidR="008663CB" w:rsidRPr="00145E29" w:rsidRDefault="000D2EAD" w:rsidP="008663CB">
            <w:pPr>
              <w:pStyle w:val="a4"/>
              <w:ind w:left="0"/>
              <w:jc w:val="center"/>
              <w:rPr>
                <w:rFonts w:ascii="Times New Roman" w:hAnsi="Times New Roman" w:cs="Times New Roman"/>
                <w:b/>
                <w:bCs/>
                <w:sz w:val="20"/>
                <w:szCs w:val="20"/>
              </w:rPr>
            </w:pPr>
            <w:r w:rsidRPr="00145E29">
              <w:rPr>
                <w:rFonts w:ascii="Times New Roman" w:hAnsi="Times New Roman" w:cs="Times New Roman"/>
                <w:b/>
                <w:sz w:val="20"/>
                <w:szCs w:val="20"/>
              </w:rPr>
              <w:t>Основная функциональная возможность</w:t>
            </w:r>
          </w:p>
        </w:tc>
        <w:tc>
          <w:tcPr>
            <w:tcW w:w="3596" w:type="dxa"/>
          </w:tcPr>
          <w:p w14:paraId="7B37A517" w14:textId="77777777" w:rsidR="008663CB" w:rsidRPr="00145E29" w:rsidRDefault="000D2EAD" w:rsidP="008663CB">
            <w:pPr>
              <w:pStyle w:val="a4"/>
              <w:ind w:left="0"/>
              <w:jc w:val="center"/>
              <w:rPr>
                <w:rFonts w:ascii="Times New Roman" w:hAnsi="Times New Roman" w:cs="Times New Roman"/>
                <w:b/>
                <w:bCs/>
                <w:sz w:val="20"/>
                <w:szCs w:val="20"/>
              </w:rPr>
            </w:pPr>
            <w:r w:rsidRPr="00145E29">
              <w:rPr>
                <w:rFonts w:ascii="Times New Roman" w:hAnsi="Times New Roman" w:cs="Times New Roman"/>
                <w:b/>
                <w:sz w:val="20"/>
                <w:szCs w:val="20"/>
              </w:rPr>
              <w:t>Краткое описание</w:t>
            </w:r>
          </w:p>
        </w:tc>
        <w:tc>
          <w:tcPr>
            <w:tcW w:w="3531" w:type="dxa"/>
          </w:tcPr>
          <w:p w14:paraId="20C568F4" w14:textId="77777777" w:rsidR="008663CB" w:rsidRPr="00145E29" w:rsidRDefault="000D2EAD" w:rsidP="008663CB">
            <w:pPr>
              <w:pStyle w:val="a4"/>
              <w:ind w:left="0"/>
              <w:jc w:val="center"/>
              <w:rPr>
                <w:rFonts w:ascii="Times New Roman" w:hAnsi="Times New Roman" w:cs="Times New Roman"/>
                <w:b/>
                <w:bCs/>
                <w:sz w:val="20"/>
                <w:szCs w:val="20"/>
              </w:rPr>
            </w:pPr>
            <w:r w:rsidRPr="00145E29">
              <w:rPr>
                <w:rFonts w:ascii="Times New Roman" w:hAnsi="Times New Roman" w:cs="Times New Roman"/>
                <w:b/>
                <w:sz w:val="20"/>
                <w:szCs w:val="20"/>
              </w:rPr>
              <w:t>Дополнение</w:t>
            </w:r>
          </w:p>
        </w:tc>
      </w:tr>
      <w:tr w:rsidR="008663CB" w:rsidRPr="00145E29" w14:paraId="59304187" w14:textId="77777777" w:rsidTr="00773DFB">
        <w:tc>
          <w:tcPr>
            <w:tcW w:w="731" w:type="dxa"/>
          </w:tcPr>
          <w:p w14:paraId="61D1F326" w14:textId="77777777" w:rsidR="008663CB" w:rsidRPr="00145E29" w:rsidRDefault="008663CB" w:rsidP="0066270C">
            <w:pPr>
              <w:pStyle w:val="a4"/>
              <w:numPr>
                <w:ilvl w:val="0"/>
                <w:numId w:val="4"/>
              </w:numPr>
              <w:ind w:left="720"/>
              <w:jc w:val="center"/>
              <w:rPr>
                <w:rFonts w:ascii="Times New Roman" w:hAnsi="Times New Roman" w:cs="Times New Roman"/>
                <w:sz w:val="20"/>
                <w:szCs w:val="20"/>
              </w:rPr>
            </w:pPr>
          </w:p>
        </w:tc>
        <w:tc>
          <w:tcPr>
            <w:tcW w:w="1923" w:type="dxa"/>
          </w:tcPr>
          <w:p w14:paraId="4E69DDE2"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ЭД (электронное дело)</w:t>
            </w:r>
          </w:p>
        </w:tc>
        <w:tc>
          <w:tcPr>
            <w:tcW w:w="3596" w:type="dxa"/>
          </w:tcPr>
          <w:p w14:paraId="4E720237" w14:textId="77777777" w:rsidR="000A03BA" w:rsidRPr="00145E29" w:rsidRDefault="000D2EAD" w:rsidP="000A03BA">
            <w:pPr>
              <w:pStyle w:val="a4"/>
              <w:ind w:left="0"/>
              <w:jc w:val="both"/>
              <w:rPr>
                <w:rFonts w:ascii="Times New Roman" w:hAnsi="Times New Roman" w:cs="Times New Roman"/>
                <w:sz w:val="20"/>
                <w:szCs w:val="20"/>
              </w:rPr>
            </w:pPr>
            <w:r w:rsidRPr="00145E29">
              <w:rPr>
                <w:rFonts w:ascii="Times New Roman" w:hAnsi="Times New Roman" w:cs="Times New Roman"/>
                <w:sz w:val="20"/>
                <w:szCs w:val="20"/>
              </w:rPr>
              <w:t>Электронная папка данных, объединяющая все действия (операции) Пользователя в Базе данных в отношении одного транспортного средства (ТС) в соответствие с функционалом соответствующего ЭД:</w:t>
            </w:r>
          </w:p>
          <w:p w14:paraId="06CBCD07" w14:textId="77777777" w:rsidR="000A03BA" w:rsidRPr="00145E29" w:rsidRDefault="000D2EAD" w:rsidP="000A03BA">
            <w:pPr>
              <w:pStyle w:val="a4"/>
              <w:ind w:left="0"/>
              <w:jc w:val="both"/>
              <w:rPr>
                <w:rFonts w:ascii="Times New Roman" w:hAnsi="Times New Roman" w:cs="Times New Roman"/>
                <w:sz w:val="20"/>
                <w:szCs w:val="20"/>
              </w:rPr>
            </w:pPr>
            <w:r w:rsidRPr="00145E29">
              <w:rPr>
                <w:rFonts w:ascii="Times New Roman" w:hAnsi="Times New Roman" w:cs="Times New Roman"/>
                <w:sz w:val="20"/>
                <w:szCs w:val="20"/>
              </w:rPr>
              <w:t xml:space="preserve"> i. стандартные калькуляции (расчеты) стоимости ремонта ТС в порядке КАСКО и/или ОСАГО, и/или </w:t>
            </w:r>
          </w:p>
          <w:p w14:paraId="53853F3D" w14:textId="77777777" w:rsidR="000A03BA" w:rsidRPr="00145E29" w:rsidRDefault="000D2EAD" w:rsidP="000A03BA">
            <w:pPr>
              <w:pStyle w:val="a4"/>
              <w:ind w:left="0"/>
              <w:jc w:val="both"/>
              <w:rPr>
                <w:rFonts w:ascii="Times New Roman" w:hAnsi="Times New Roman" w:cs="Times New Roman"/>
                <w:sz w:val="20"/>
                <w:szCs w:val="20"/>
              </w:rPr>
            </w:pPr>
            <w:r w:rsidRPr="00145E29">
              <w:rPr>
                <w:rFonts w:ascii="Times New Roman" w:hAnsi="Times New Roman" w:cs="Times New Roman"/>
                <w:sz w:val="20"/>
                <w:szCs w:val="20"/>
              </w:rPr>
              <w:t xml:space="preserve">ii. прочие калькуляции (расчеты) стоимости ремонта ТС (специальные калькуляции), и/или </w:t>
            </w:r>
          </w:p>
          <w:p w14:paraId="39D7DBC1"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iii. операции по опциям Базы данных.</w:t>
            </w:r>
          </w:p>
        </w:tc>
        <w:tc>
          <w:tcPr>
            <w:tcW w:w="3531" w:type="dxa"/>
          </w:tcPr>
          <w:p w14:paraId="291657BA"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ЭД специально создается Пользователем или автоматически создается при выполнении Пользователем расчета или иной операции в Базе данных. Дополнительно к любому указанному Пользователем номеру ЭД каждому ЭД автоматически присваивается особый уникальный номер (ID электронного дела).</w:t>
            </w:r>
          </w:p>
        </w:tc>
      </w:tr>
      <w:tr w:rsidR="008663CB" w:rsidRPr="00145E29" w14:paraId="370B0824" w14:textId="77777777" w:rsidTr="00773DFB">
        <w:tc>
          <w:tcPr>
            <w:tcW w:w="731" w:type="dxa"/>
          </w:tcPr>
          <w:p w14:paraId="2B4EB268" w14:textId="77777777" w:rsidR="008663CB" w:rsidRPr="00145E29" w:rsidRDefault="008663CB" w:rsidP="0066270C">
            <w:pPr>
              <w:pStyle w:val="a4"/>
              <w:numPr>
                <w:ilvl w:val="0"/>
                <w:numId w:val="4"/>
              </w:numPr>
              <w:ind w:left="720"/>
              <w:jc w:val="center"/>
              <w:rPr>
                <w:rFonts w:ascii="Times New Roman" w:hAnsi="Times New Roman" w:cs="Times New Roman"/>
                <w:sz w:val="20"/>
                <w:szCs w:val="20"/>
              </w:rPr>
            </w:pPr>
          </w:p>
        </w:tc>
        <w:tc>
          <w:tcPr>
            <w:tcW w:w="1923" w:type="dxa"/>
          </w:tcPr>
          <w:p w14:paraId="051F1BDF"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Стандартное ЭД</w:t>
            </w:r>
          </w:p>
        </w:tc>
        <w:tc>
          <w:tcPr>
            <w:tcW w:w="3596" w:type="dxa"/>
          </w:tcPr>
          <w:p w14:paraId="157CF68F" w14:textId="77777777" w:rsidR="000D2EAD" w:rsidRPr="00145E29" w:rsidRDefault="000D2EAD" w:rsidP="000D2EAD">
            <w:pPr>
              <w:pStyle w:val="a4"/>
              <w:numPr>
                <w:ilvl w:val="0"/>
                <w:numId w:val="5"/>
              </w:numPr>
              <w:tabs>
                <w:tab w:val="left" w:pos="381"/>
              </w:tabs>
              <w:ind w:left="97" w:firstLine="10"/>
              <w:rPr>
                <w:rFonts w:ascii="Times New Roman" w:hAnsi="Times New Roman" w:cs="Times New Roman"/>
                <w:sz w:val="20"/>
                <w:szCs w:val="20"/>
              </w:rPr>
            </w:pPr>
            <w:r w:rsidRPr="00145E29">
              <w:rPr>
                <w:rFonts w:ascii="Times New Roman" w:hAnsi="Times New Roman" w:cs="Times New Roman"/>
                <w:sz w:val="20"/>
                <w:szCs w:val="20"/>
              </w:rPr>
              <w:t xml:space="preserve">Стандартная калькуляция КАСКО и/или ОСАГО </w:t>
            </w:r>
          </w:p>
          <w:p w14:paraId="760B766E" w14:textId="77777777" w:rsidR="000D2EAD" w:rsidRPr="00145E29" w:rsidRDefault="000D2EAD" w:rsidP="000D2EAD">
            <w:pPr>
              <w:pStyle w:val="a4"/>
              <w:numPr>
                <w:ilvl w:val="0"/>
                <w:numId w:val="5"/>
              </w:numPr>
              <w:tabs>
                <w:tab w:val="left" w:pos="381"/>
              </w:tabs>
              <w:ind w:left="97" w:firstLine="10"/>
              <w:rPr>
                <w:rFonts w:ascii="Times New Roman" w:hAnsi="Times New Roman" w:cs="Times New Roman"/>
                <w:b/>
                <w:bCs/>
                <w:sz w:val="20"/>
                <w:szCs w:val="20"/>
              </w:rPr>
            </w:pPr>
            <w:r w:rsidRPr="00145E29">
              <w:rPr>
                <w:rFonts w:ascii="Times New Roman" w:hAnsi="Times New Roman" w:cs="Times New Roman"/>
                <w:sz w:val="20"/>
                <w:szCs w:val="20"/>
              </w:rPr>
              <w:t xml:space="preserve">Специальные калькуляции и операции по опциям, доступные согласно применимому тарифу </w:t>
            </w:r>
          </w:p>
          <w:p w14:paraId="30CB59CA" w14:textId="77777777" w:rsidR="008663CB" w:rsidRPr="00145E29" w:rsidRDefault="000D2EAD" w:rsidP="000D2EAD">
            <w:pPr>
              <w:pStyle w:val="a4"/>
              <w:numPr>
                <w:ilvl w:val="0"/>
                <w:numId w:val="5"/>
              </w:numPr>
              <w:tabs>
                <w:tab w:val="left" w:pos="381"/>
              </w:tabs>
              <w:ind w:left="97" w:firstLine="10"/>
              <w:rPr>
                <w:rFonts w:ascii="Times New Roman" w:hAnsi="Times New Roman" w:cs="Times New Roman"/>
                <w:b/>
                <w:bCs/>
                <w:sz w:val="20"/>
                <w:szCs w:val="20"/>
              </w:rPr>
            </w:pPr>
            <w:r w:rsidRPr="00145E29">
              <w:rPr>
                <w:rFonts w:ascii="Times New Roman" w:hAnsi="Times New Roman" w:cs="Times New Roman"/>
                <w:sz w:val="20"/>
                <w:szCs w:val="20"/>
              </w:rPr>
              <w:t>Возможности интерфейса согласно технической электронной документации</w:t>
            </w:r>
          </w:p>
        </w:tc>
        <w:tc>
          <w:tcPr>
            <w:tcW w:w="3531" w:type="dxa"/>
          </w:tcPr>
          <w:p w14:paraId="04406FBB" w14:textId="77777777" w:rsidR="008663CB" w:rsidRPr="00145E29" w:rsidRDefault="000D2EAD" w:rsidP="008663CB">
            <w:pPr>
              <w:pStyle w:val="a4"/>
              <w:ind w:left="0"/>
              <w:jc w:val="center"/>
              <w:rPr>
                <w:rFonts w:ascii="Times New Roman" w:hAnsi="Times New Roman" w:cs="Times New Roman"/>
                <w:b/>
                <w:bCs/>
                <w:sz w:val="20"/>
                <w:szCs w:val="20"/>
              </w:rPr>
            </w:pPr>
            <w:r w:rsidRPr="00145E29">
              <w:rPr>
                <w:rFonts w:ascii="Times New Roman" w:hAnsi="Times New Roman" w:cs="Times New Roman"/>
                <w:sz w:val="20"/>
                <w:szCs w:val="20"/>
              </w:rPr>
              <w:t>Расчетный модуль для расчетов (калькуляций) стоимости ремонта ТС</w:t>
            </w:r>
          </w:p>
        </w:tc>
      </w:tr>
      <w:tr w:rsidR="008663CB" w:rsidRPr="00145E29" w14:paraId="694F887D" w14:textId="77777777" w:rsidTr="00773DFB">
        <w:tc>
          <w:tcPr>
            <w:tcW w:w="731" w:type="dxa"/>
          </w:tcPr>
          <w:p w14:paraId="3D441130" w14:textId="77777777" w:rsidR="008663CB" w:rsidRPr="00145E29" w:rsidRDefault="008663CB" w:rsidP="0066270C">
            <w:pPr>
              <w:pStyle w:val="a4"/>
              <w:numPr>
                <w:ilvl w:val="0"/>
                <w:numId w:val="4"/>
              </w:numPr>
              <w:ind w:left="720"/>
              <w:jc w:val="center"/>
              <w:rPr>
                <w:rFonts w:ascii="Times New Roman" w:hAnsi="Times New Roman" w:cs="Times New Roman"/>
                <w:sz w:val="20"/>
                <w:szCs w:val="20"/>
              </w:rPr>
            </w:pPr>
          </w:p>
        </w:tc>
        <w:tc>
          <w:tcPr>
            <w:tcW w:w="1923" w:type="dxa"/>
          </w:tcPr>
          <w:p w14:paraId="77543C8B"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ЭД с пересылкой</w:t>
            </w:r>
          </w:p>
        </w:tc>
        <w:tc>
          <w:tcPr>
            <w:tcW w:w="3596" w:type="dxa"/>
          </w:tcPr>
          <w:p w14:paraId="75A3A617"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Стандартное ЭД с коммуникацией (пересылкой на учетную запись другого пользователя)</w:t>
            </w:r>
          </w:p>
        </w:tc>
        <w:tc>
          <w:tcPr>
            <w:tcW w:w="3531" w:type="dxa"/>
          </w:tcPr>
          <w:p w14:paraId="2227BB77"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Не применяется при коммуникации в составе Группы пользователей</w:t>
            </w:r>
          </w:p>
        </w:tc>
      </w:tr>
      <w:tr w:rsidR="008663CB" w:rsidRPr="00145E29" w14:paraId="63573E9D" w14:textId="77777777" w:rsidTr="00773DFB">
        <w:tc>
          <w:tcPr>
            <w:tcW w:w="731" w:type="dxa"/>
          </w:tcPr>
          <w:p w14:paraId="2B340F75" w14:textId="77777777" w:rsidR="008663CB" w:rsidRPr="00145E29" w:rsidRDefault="008663CB" w:rsidP="0066270C">
            <w:pPr>
              <w:pStyle w:val="a4"/>
              <w:numPr>
                <w:ilvl w:val="0"/>
                <w:numId w:val="4"/>
              </w:numPr>
              <w:ind w:left="720"/>
              <w:jc w:val="center"/>
              <w:rPr>
                <w:rFonts w:ascii="Times New Roman" w:hAnsi="Times New Roman" w:cs="Times New Roman"/>
                <w:sz w:val="20"/>
                <w:szCs w:val="20"/>
              </w:rPr>
            </w:pPr>
          </w:p>
        </w:tc>
        <w:tc>
          <w:tcPr>
            <w:tcW w:w="1923" w:type="dxa"/>
          </w:tcPr>
          <w:p w14:paraId="0741D280"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ЭД Калькуляция Ретро</w:t>
            </w:r>
          </w:p>
        </w:tc>
        <w:tc>
          <w:tcPr>
            <w:tcW w:w="3596" w:type="dxa"/>
          </w:tcPr>
          <w:p w14:paraId="0335278F"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Расчет на предыдущую дату на основе содержащихся в Базе данных сведений о розничных ценах запчастей для Российской Федерации.</w:t>
            </w:r>
          </w:p>
        </w:tc>
        <w:tc>
          <w:tcPr>
            <w:tcW w:w="3531" w:type="dxa"/>
          </w:tcPr>
          <w:p w14:paraId="293B4F20"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Стандартная калькуляция КАСКО или ОСАГО не доступна</w:t>
            </w:r>
          </w:p>
        </w:tc>
      </w:tr>
      <w:tr w:rsidR="008663CB" w:rsidRPr="00145E29" w14:paraId="33245ABC" w14:textId="77777777" w:rsidTr="00773DFB">
        <w:tc>
          <w:tcPr>
            <w:tcW w:w="731" w:type="dxa"/>
          </w:tcPr>
          <w:p w14:paraId="250A0286" w14:textId="77777777" w:rsidR="008663CB" w:rsidRPr="00145E29" w:rsidRDefault="008663CB" w:rsidP="0066270C">
            <w:pPr>
              <w:pStyle w:val="a4"/>
              <w:numPr>
                <w:ilvl w:val="0"/>
                <w:numId w:val="4"/>
              </w:numPr>
              <w:ind w:left="720"/>
              <w:jc w:val="center"/>
              <w:rPr>
                <w:rFonts w:ascii="Times New Roman" w:hAnsi="Times New Roman" w:cs="Times New Roman"/>
                <w:sz w:val="20"/>
                <w:szCs w:val="20"/>
              </w:rPr>
            </w:pPr>
          </w:p>
        </w:tc>
        <w:tc>
          <w:tcPr>
            <w:tcW w:w="1923" w:type="dxa"/>
          </w:tcPr>
          <w:p w14:paraId="0C0FA154"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ЭД Слесарный ремонт (SMR)</w:t>
            </w:r>
          </w:p>
        </w:tc>
        <w:tc>
          <w:tcPr>
            <w:tcW w:w="3596" w:type="dxa"/>
          </w:tcPr>
          <w:p w14:paraId="4EACD467"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Расчет стоимости слесарного ремонта и технического обслуживания ТС</w:t>
            </w:r>
          </w:p>
        </w:tc>
        <w:tc>
          <w:tcPr>
            <w:tcW w:w="3531" w:type="dxa"/>
          </w:tcPr>
          <w:p w14:paraId="575D58CB"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Отсутствуют зоны кузовных элементов, присутствует дополнительная зона стандартных позиций технического обслуживания. Стандартная калькуляция КАСКО или ОСАГО не доступна</w:t>
            </w:r>
          </w:p>
        </w:tc>
      </w:tr>
      <w:tr w:rsidR="008663CB" w:rsidRPr="00145E29" w14:paraId="487ACB7A" w14:textId="77777777" w:rsidTr="00773DFB">
        <w:tc>
          <w:tcPr>
            <w:tcW w:w="731" w:type="dxa"/>
          </w:tcPr>
          <w:p w14:paraId="14B9A2DC" w14:textId="77777777" w:rsidR="008663CB" w:rsidRPr="00145E29" w:rsidRDefault="008663CB" w:rsidP="0066270C">
            <w:pPr>
              <w:pStyle w:val="a4"/>
              <w:numPr>
                <w:ilvl w:val="0"/>
                <w:numId w:val="4"/>
              </w:numPr>
              <w:ind w:left="720"/>
              <w:jc w:val="center"/>
              <w:rPr>
                <w:rFonts w:ascii="Times New Roman" w:hAnsi="Times New Roman" w:cs="Times New Roman"/>
                <w:sz w:val="20"/>
                <w:szCs w:val="20"/>
              </w:rPr>
            </w:pPr>
          </w:p>
        </w:tc>
        <w:tc>
          <w:tcPr>
            <w:tcW w:w="1923" w:type="dxa"/>
          </w:tcPr>
          <w:p w14:paraId="30A98D1E"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ЭД Акт осмотра</w:t>
            </w:r>
          </w:p>
        </w:tc>
        <w:tc>
          <w:tcPr>
            <w:tcW w:w="3596" w:type="dxa"/>
          </w:tcPr>
          <w:p w14:paraId="73977E67"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Описание повреждений ТС с использованием графического модуля и пересылка ЭД на другие учетные записи для дальнейшего расчета. Печатная форма.</w:t>
            </w:r>
          </w:p>
        </w:tc>
        <w:tc>
          <w:tcPr>
            <w:tcW w:w="3531" w:type="dxa"/>
          </w:tcPr>
          <w:p w14:paraId="15D932B3" w14:textId="77777777" w:rsidR="008663CB" w:rsidRPr="00145E29" w:rsidRDefault="000D2EAD"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Стандартная калькуляция КАСКО или ОСАГО не входит в стоимость</w:t>
            </w:r>
          </w:p>
        </w:tc>
      </w:tr>
    </w:tbl>
    <w:p w14:paraId="29DCE7FB" w14:textId="77777777" w:rsidR="008663CB" w:rsidRPr="00145E29" w:rsidRDefault="008663CB" w:rsidP="008663CB">
      <w:pPr>
        <w:pStyle w:val="a4"/>
        <w:ind w:left="1080"/>
        <w:jc w:val="center"/>
        <w:rPr>
          <w:rFonts w:ascii="Times New Roman" w:hAnsi="Times New Roman" w:cs="Times New Roman"/>
          <w:b/>
          <w:bCs/>
          <w:sz w:val="24"/>
          <w:szCs w:val="24"/>
        </w:rPr>
      </w:pPr>
    </w:p>
    <w:p w14:paraId="1ABC47CD" w14:textId="77777777" w:rsidR="00D100CE" w:rsidRPr="00145E29" w:rsidRDefault="00D100CE" w:rsidP="008663CB">
      <w:pPr>
        <w:pStyle w:val="a4"/>
        <w:ind w:left="1080"/>
        <w:jc w:val="center"/>
        <w:rPr>
          <w:rFonts w:ascii="Times New Roman" w:hAnsi="Times New Roman" w:cs="Times New Roman"/>
          <w:b/>
          <w:bCs/>
          <w:sz w:val="24"/>
          <w:szCs w:val="24"/>
        </w:rPr>
      </w:pPr>
      <w:r w:rsidRPr="00145E29">
        <w:rPr>
          <w:rFonts w:ascii="Times New Roman" w:hAnsi="Times New Roman" w:cs="Times New Roman"/>
          <w:b/>
          <w:bCs/>
          <w:sz w:val="24"/>
          <w:szCs w:val="24"/>
        </w:rPr>
        <w:t>5. Описание дополнительных функциональных возможностей (опций)</w:t>
      </w:r>
    </w:p>
    <w:tbl>
      <w:tblPr>
        <w:tblStyle w:val="a3"/>
        <w:tblW w:w="9923" w:type="dxa"/>
        <w:tblInd w:w="-5" w:type="dxa"/>
        <w:tblLook w:val="04A0" w:firstRow="1" w:lastRow="0" w:firstColumn="1" w:lastColumn="0" w:noHBand="0" w:noVBand="1"/>
      </w:tblPr>
      <w:tblGrid>
        <w:gridCol w:w="758"/>
        <w:gridCol w:w="1936"/>
        <w:gridCol w:w="3827"/>
        <w:gridCol w:w="3402"/>
      </w:tblGrid>
      <w:tr w:rsidR="00D100CE" w:rsidRPr="00145E29" w14:paraId="2003A34F" w14:textId="77777777" w:rsidTr="00773DFB">
        <w:tc>
          <w:tcPr>
            <w:tcW w:w="758" w:type="dxa"/>
          </w:tcPr>
          <w:p w14:paraId="441B3F1E" w14:textId="77777777" w:rsidR="00D100CE" w:rsidRPr="00145E29" w:rsidRDefault="00D100CE" w:rsidP="008663CB">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 п/п</w:t>
            </w:r>
          </w:p>
        </w:tc>
        <w:tc>
          <w:tcPr>
            <w:tcW w:w="1936" w:type="dxa"/>
          </w:tcPr>
          <w:p w14:paraId="64512BDA" w14:textId="77777777" w:rsidR="00D100CE" w:rsidRPr="00145E29" w:rsidRDefault="00D100CE" w:rsidP="008663CB">
            <w:pPr>
              <w:pStyle w:val="a4"/>
              <w:ind w:left="0"/>
              <w:jc w:val="center"/>
              <w:rPr>
                <w:rFonts w:ascii="Times New Roman" w:hAnsi="Times New Roman" w:cs="Times New Roman"/>
                <w:b/>
                <w:bCs/>
                <w:sz w:val="24"/>
                <w:szCs w:val="24"/>
              </w:rPr>
            </w:pPr>
            <w:r w:rsidRPr="00145E29">
              <w:rPr>
                <w:rFonts w:ascii="Times New Roman" w:hAnsi="Times New Roman" w:cs="Times New Roman"/>
                <w:b/>
                <w:sz w:val="24"/>
                <w:szCs w:val="24"/>
              </w:rPr>
              <w:t>Опция</w:t>
            </w:r>
          </w:p>
        </w:tc>
        <w:tc>
          <w:tcPr>
            <w:tcW w:w="3827" w:type="dxa"/>
          </w:tcPr>
          <w:p w14:paraId="190C2EC0" w14:textId="77777777" w:rsidR="00D100CE" w:rsidRPr="00145E29" w:rsidRDefault="00D100CE" w:rsidP="008663CB">
            <w:pPr>
              <w:pStyle w:val="a4"/>
              <w:ind w:left="0"/>
              <w:jc w:val="center"/>
              <w:rPr>
                <w:rFonts w:ascii="Times New Roman" w:hAnsi="Times New Roman" w:cs="Times New Roman"/>
                <w:b/>
                <w:bCs/>
                <w:sz w:val="24"/>
                <w:szCs w:val="24"/>
              </w:rPr>
            </w:pPr>
            <w:r w:rsidRPr="00145E29">
              <w:rPr>
                <w:rFonts w:ascii="Times New Roman" w:hAnsi="Times New Roman" w:cs="Times New Roman"/>
                <w:b/>
                <w:sz w:val="24"/>
                <w:szCs w:val="24"/>
              </w:rPr>
              <w:t>Описание</w:t>
            </w:r>
          </w:p>
        </w:tc>
        <w:tc>
          <w:tcPr>
            <w:tcW w:w="3402" w:type="dxa"/>
          </w:tcPr>
          <w:p w14:paraId="036A4C74" w14:textId="77777777" w:rsidR="00D100CE" w:rsidRPr="00145E29" w:rsidRDefault="00D100CE" w:rsidP="008663CB">
            <w:pPr>
              <w:pStyle w:val="a4"/>
              <w:ind w:left="0"/>
              <w:jc w:val="center"/>
              <w:rPr>
                <w:rFonts w:ascii="Times New Roman" w:hAnsi="Times New Roman" w:cs="Times New Roman"/>
                <w:b/>
                <w:bCs/>
                <w:sz w:val="24"/>
                <w:szCs w:val="24"/>
              </w:rPr>
            </w:pPr>
            <w:r w:rsidRPr="00145E29">
              <w:rPr>
                <w:rFonts w:ascii="Times New Roman" w:hAnsi="Times New Roman" w:cs="Times New Roman"/>
                <w:b/>
                <w:sz w:val="24"/>
                <w:szCs w:val="24"/>
              </w:rPr>
              <w:t>Пояснение</w:t>
            </w:r>
          </w:p>
        </w:tc>
      </w:tr>
      <w:tr w:rsidR="00D100CE" w:rsidRPr="00145E29" w14:paraId="0A4F8127" w14:textId="77777777" w:rsidTr="00773DFB">
        <w:tc>
          <w:tcPr>
            <w:tcW w:w="758" w:type="dxa"/>
          </w:tcPr>
          <w:p w14:paraId="469CC4C5" w14:textId="77777777" w:rsidR="00D100CE" w:rsidRPr="00145E29" w:rsidRDefault="00D100CE" w:rsidP="00D100CE">
            <w:pPr>
              <w:pStyle w:val="a4"/>
              <w:numPr>
                <w:ilvl w:val="0"/>
                <w:numId w:val="7"/>
              </w:numPr>
              <w:ind w:left="720"/>
              <w:jc w:val="center"/>
              <w:rPr>
                <w:rFonts w:ascii="Times New Roman" w:hAnsi="Times New Roman" w:cs="Times New Roman"/>
                <w:sz w:val="20"/>
                <w:szCs w:val="20"/>
              </w:rPr>
            </w:pPr>
          </w:p>
        </w:tc>
        <w:tc>
          <w:tcPr>
            <w:tcW w:w="1936" w:type="dxa"/>
          </w:tcPr>
          <w:p w14:paraId="0735A6D1"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Автоматизатор (Compliance Check)</w:t>
            </w:r>
          </w:p>
        </w:tc>
        <w:tc>
          <w:tcPr>
            <w:tcW w:w="3827" w:type="dxa"/>
          </w:tcPr>
          <w:p w14:paraId="304D4CF5"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Автоматизированная проверка соблюдения заданных правил при использовании Базы данных</w:t>
            </w:r>
          </w:p>
        </w:tc>
        <w:tc>
          <w:tcPr>
            <w:tcW w:w="3402" w:type="dxa"/>
          </w:tcPr>
          <w:p w14:paraId="208E3337" w14:textId="23C26474" w:rsidR="00D100CE" w:rsidRPr="00145E29" w:rsidRDefault="00D100CE" w:rsidP="000A03BA">
            <w:pPr>
              <w:pStyle w:val="a4"/>
              <w:ind w:left="0"/>
              <w:jc w:val="both"/>
              <w:rPr>
                <w:rFonts w:ascii="Times New Roman" w:hAnsi="Times New Roman" w:cs="Times New Roman"/>
                <w:b/>
                <w:bCs/>
                <w:sz w:val="20"/>
                <w:szCs w:val="20"/>
                <w:vertAlign w:val="superscript"/>
              </w:rPr>
            </w:pPr>
            <w:r w:rsidRPr="00145E29">
              <w:rPr>
                <w:rFonts w:ascii="Times New Roman" w:hAnsi="Times New Roman" w:cs="Times New Roman"/>
                <w:sz w:val="20"/>
                <w:szCs w:val="20"/>
              </w:rPr>
              <w:t>Подключается по заявке</w:t>
            </w:r>
            <w:r w:rsidR="003D2621" w:rsidRPr="00145E29">
              <w:rPr>
                <w:rFonts w:ascii="Times New Roman" w:hAnsi="Times New Roman" w:cs="Times New Roman"/>
                <w:sz w:val="20"/>
                <w:szCs w:val="20"/>
                <w:vertAlign w:val="superscript"/>
              </w:rPr>
              <w:t>1</w:t>
            </w:r>
          </w:p>
        </w:tc>
      </w:tr>
      <w:tr w:rsidR="00D100CE" w:rsidRPr="00145E29" w14:paraId="2840B678" w14:textId="77777777" w:rsidTr="00773DFB">
        <w:tc>
          <w:tcPr>
            <w:tcW w:w="758" w:type="dxa"/>
          </w:tcPr>
          <w:p w14:paraId="271A632D" w14:textId="77777777" w:rsidR="00D100CE" w:rsidRPr="00145E29" w:rsidRDefault="00D100CE" w:rsidP="00D100CE">
            <w:pPr>
              <w:pStyle w:val="a4"/>
              <w:numPr>
                <w:ilvl w:val="0"/>
                <w:numId w:val="7"/>
              </w:numPr>
              <w:ind w:left="720"/>
              <w:jc w:val="center"/>
              <w:rPr>
                <w:rFonts w:ascii="Times New Roman" w:hAnsi="Times New Roman" w:cs="Times New Roman"/>
                <w:sz w:val="20"/>
                <w:szCs w:val="20"/>
              </w:rPr>
            </w:pPr>
          </w:p>
        </w:tc>
        <w:tc>
          <w:tcPr>
            <w:tcW w:w="1936" w:type="dxa"/>
          </w:tcPr>
          <w:p w14:paraId="3A5B7D0E"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ВИН (AudaVIN)</w:t>
            </w:r>
          </w:p>
        </w:tc>
        <w:tc>
          <w:tcPr>
            <w:tcW w:w="3827" w:type="dxa"/>
          </w:tcPr>
          <w:p w14:paraId="62D95568"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Идентификация транспортного средства по номеру VIN: автоматизированное определение марки, модели, подтипа и комплектации ТС на основе данных заводаизготовителя.</w:t>
            </w:r>
          </w:p>
        </w:tc>
        <w:tc>
          <w:tcPr>
            <w:tcW w:w="3402" w:type="dxa"/>
          </w:tcPr>
          <w:p w14:paraId="46AE5005" w14:textId="77777777" w:rsidR="00D100CE"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Подключается автоматически, отключение по заявке в течение 3 (трех) рабочих дней</w:t>
            </w:r>
          </w:p>
        </w:tc>
      </w:tr>
      <w:tr w:rsidR="00D100CE" w:rsidRPr="00145E29" w14:paraId="724F1689" w14:textId="77777777" w:rsidTr="00773DFB">
        <w:tc>
          <w:tcPr>
            <w:tcW w:w="758" w:type="dxa"/>
          </w:tcPr>
          <w:p w14:paraId="55A4ED96" w14:textId="77777777" w:rsidR="00D100CE" w:rsidRPr="00145E29" w:rsidRDefault="00D100CE" w:rsidP="00D100CE">
            <w:pPr>
              <w:pStyle w:val="a4"/>
              <w:numPr>
                <w:ilvl w:val="0"/>
                <w:numId w:val="7"/>
              </w:numPr>
              <w:ind w:left="720"/>
              <w:jc w:val="center"/>
              <w:rPr>
                <w:rFonts w:ascii="Times New Roman" w:hAnsi="Times New Roman" w:cs="Times New Roman"/>
                <w:sz w:val="20"/>
                <w:szCs w:val="20"/>
              </w:rPr>
            </w:pPr>
          </w:p>
        </w:tc>
        <w:tc>
          <w:tcPr>
            <w:tcW w:w="1936" w:type="dxa"/>
          </w:tcPr>
          <w:p w14:paraId="333B8516"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ВИН Лайт (AudaVIN Lite)</w:t>
            </w:r>
          </w:p>
        </w:tc>
        <w:tc>
          <w:tcPr>
            <w:tcW w:w="3827" w:type="dxa"/>
          </w:tcPr>
          <w:p w14:paraId="0D6D5E8F"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 xml:space="preserve">Расшифровка марки и модели по номеру VIN в отношении ТС, полная </w:t>
            </w:r>
            <w:r w:rsidRPr="00145E29">
              <w:rPr>
                <w:rFonts w:ascii="Times New Roman" w:hAnsi="Times New Roman" w:cs="Times New Roman"/>
                <w:sz w:val="20"/>
                <w:szCs w:val="20"/>
              </w:rPr>
              <w:lastRenderedPageBreak/>
              <w:t>идентификация которых не производится через опцию ВИН</w:t>
            </w:r>
          </w:p>
        </w:tc>
        <w:tc>
          <w:tcPr>
            <w:tcW w:w="3402" w:type="dxa"/>
          </w:tcPr>
          <w:p w14:paraId="37D144F4" w14:textId="77777777" w:rsidR="00D100CE"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lastRenderedPageBreak/>
              <w:t xml:space="preserve">Подключается автоматически, отключение по заявке в течение 3 </w:t>
            </w:r>
            <w:r w:rsidRPr="00145E29">
              <w:rPr>
                <w:rFonts w:ascii="Times New Roman" w:hAnsi="Times New Roman" w:cs="Times New Roman"/>
                <w:sz w:val="20"/>
                <w:szCs w:val="20"/>
              </w:rPr>
              <w:lastRenderedPageBreak/>
              <w:t>(трех) рабочих дней</w:t>
            </w:r>
          </w:p>
        </w:tc>
      </w:tr>
      <w:tr w:rsidR="00D100CE" w:rsidRPr="00145E29" w14:paraId="43458C89" w14:textId="77777777" w:rsidTr="00773DFB">
        <w:tc>
          <w:tcPr>
            <w:tcW w:w="758" w:type="dxa"/>
          </w:tcPr>
          <w:p w14:paraId="5F207410" w14:textId="77777777" w:rsidR="00D100CE" w:rsidRPr="00145E29" w:rsidRDefault="00D100CE" w:rsidP="00D100CE">
            <w:pPr>
              <w:pStyle w:val="a4"/>
              <w:numPr>
                <w:ilvl w:val="0"/>
                <w:numId w:val="7"/>
              </w:numPr>
              <w:ind w:left="720"/>
              <w:jc w:val="center"/>
              <w:rPr>
                <w:rFonts w:ascii="Times New Roman" w:hAnsi="Times New Roman" w:cs="Times New Roman"/>
                <w:sz w:val="20"/>
                <w:szCs w:val="20"/>
              </w:rPr>
            </w:pPr>
          </w:p>
        </w:tc>
        <w:tc>
          <w:tcPr>
            <w:tcW w:w="1936" w:type="dxa"/>
          </w:tcPr>
          <w:p w14:paraId="7B117209"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История ТС (AudaHistory Pro)</w:t>
            </w:r>
          </w:p>
        </w:tc>
        <w:tc>
          <w:tcPr>
            <w:tcW w:w="3827" w:type="dxa"/>
          </w:tcPr>
          <w:p w14:paraId="6750B682" w14:textId="77777777" w:rsidR="00D100CE" w:rsidRPr="00145E29" w:rsidRDefault="00D100CE"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Получение сведений по истории расчетов стоимости ремонта ТС в Базе данных, по истории продаж ТС на программной платформе AUTOonline – отдельный программный продукт, по настоящему Соглашению не предоставляется</w:t>
            </w:r>
          </w:p>
        </w:tc>
        <w:tc>
          <w:tcPr>
            <w:tcW w:w="3402" w:type="dxa"/>
          </w:tcPr>
          <w:p w14:paraId="1E768128" w14:textId="77777777" w:rsidR="00D100CE"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Подключается автоматически, отключение по заявке в течение 3 (трех) рабочих дней</w:t>
            </w:r>
          </w:p>
        </w:tc>
      </w:tr>
      <w:tr w:rsidR="00CE3C6A" w:rsidRPr="00145E29" w14:paraId="19F431F2" w14:textId="77777777" w:rsidTr="00773DFB">
        <w:tc>
          <w:tcPr>
            <w:tcW w:w="758" w:type="dxa"/>
          </w:tcPr>
          <w:p w14:paraId="5E2D35AA" w14:textId="77777777" w:rsidR="00CE3C6A" w:rsidRPr="00145E29" w:rsidRDefault="00CE3C6A" w:rsidP="00CE3C6A">
            <w:pPr>
              <w:pStyle w:val="a4"/>
              <w:numPr>
                <w:ilvl w:val="0"/>
                <w:numId w:val="7"/>
              </w:numPr>
              <w:ind w:left="720"/>
              <w:jc w:val="center"/>
              <w:rPr>
                <w:rFonts w:ascii="Times New Roman" w:hAnsi="Times New Roman" w:cs="Times New Roman"/>
                <w:sz w:val="20"/>
                <w:szCs w:val="20"/>
              </w:rPr>
            </w:pPr>
          </w:p>
        </w:tc>
        <w:tc>
          <w:tcPr>
            <w:tcW w:w="1936" w:type="dxa"/>
          </w:tcPr>
          <w:p w14:paraId="0770A90E"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Интеграция B2B (AudaBridge)</w:t>
            </w:r>
          </w:p>
        </w:tc>
        <w:tc>
          <w:tcPr>
            <w:tcW w:w="3827" w:type="dxa"/>
          </w:tcPr>
          <w:p w14:paraId="08123FF4"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Интерфейсинг с внутренними клиентскими системами, построенными на базе платформы 1С и других поставщиков</w:t>
            </w:r>
          </w:p>
        </w:tc>
        <w:tc>
          <w:tcPr>
            <w:tcW w:w="3402" w:type="dxa"/>
          </w:tcPr>
          <w:p w14:paraId="3F2C1A27"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Подключается по заявке</w:t>
            </w:r>
          </w:p>
        </w:tc>
      </w:tr>
      <w:tr w:rsidR="00CE3C6A" w:rsidRPr="00145E29" w14:paraId="44811F32" w14:textId="77777777" w:rsidTr="00773DFB">
        <w:tc>
          <w:tcPr>
            <w:tcW w:w="758" w:type="dxa"/>
          </w:tcPr>
          <w:p w14:paraId="482CDA58" w14:textId="77777777" w:rsidR="00CE3C6A" w:rsidRPr="00145E29" w:rsidRDefault="00CE3C6A" w:rsidP="00CE3C6A">
            <w:pPr>
              <w:pStyle w:val="a4"/>
              <w:numPr>
                <w:ilvl w:val="0"/>
                <w:numId w:val="7"/>
              </w:numPr>
              <w:ind w:left="720"/>
              <w:jc w:val="center"/>
              <w:rPr>
                <w:rFonts w:ascii="Times New Roman" w:hAnsi="Times New Roman" w:cs="Times New Roman"/>
                <w:sz w:val="20"/>
                <w:szCs w:val="20"/>
              </w:rPr>
            </w:pPr>
          </w:p>
        </w:tc>
        <w:tc>
          <w:tcPr>
            <w:tcW w:w="1936" w:type="dxa"/>
          </w:tcPr>
          <w:p w14:paraId="7BC13C1B"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КаптерМи (Qapter Me)</w:t>
            </w:r>
          </w:p>
        </w:tc>
        <w:tc>
          <w:tcPr>
            <w:tcW w:w="3827" w:type="dxa"/>
          </w:tcPr>
          <w:p w14:paraId="3F2BC55B"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Мобильное приложение для создания фотоматериалов о повреждениях ТС</w:t>
            </w:r>
          </w:p>
        </w:tc>
        <w:tc>
          <w:tcPr>
            <w:tcW w:w="3402" w:type="dxa"/>
          </w:tcPr>
          <w:p w14:paraId="0D3EFD1E"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Подключается по заявке</w:t>
            </w:r>
          </w:p>
        </w:tc>
      </w:tr>
      <w:tr w:rsidR="00CE3C6A" w:rsidRPr="00145E29" w14:paraId="009C211D" w14:textId="77777777" w:rsidTr="00773DFB">
        <w:tc>
          <w:tcPr>
            <w:tcW w:w="758" w:type="dxa"/>
          </w:tcPr>
          <w:p w14:paraId="28969CF4" w14:textId="77777777" w:rsidR="00CE3C6A" w:rsidRPr="00145E29" w:rsidRDefault="00CE3C6A" w:rsidP="00CE3C6A">
            <w:pPr>
              <w:pStyle w:val="a4"/>
              <w:numPr>
                <w:ilvl w:val="0"/>
                <w:numId w:val="7"/>
              </w:numPr>
              <w:ind w:left="720"/>
              <w:jc w:val="center"/>
              <w:rPr>
                <w:rFonts w:ascii="Times New Roman" w:hAnsi="Times New Roman" w:cs="Times New Roman"/>
                <w:sz w:val="20"/>
                <w:szCs w:val="20"/>
              </w:rPr>
            </w:pPr>
          </w:p>
        </w:tc>
        <w:tc>
          <w:tcPr>
            <w:tcW w:w="1936" w:type="dxa"/>
          </w:tcPr>
          <w:p w14:paraId="351003AC"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Стоимость запасных частей (AudaOptima)</w:t>
            </w:r>
          </w:p>
        </w:tc>
        <w:tc>
          <w:tcPr>
            <w:tcW w:w="3827" w:type="dxa"/>
          </w:tcPr>
          <w:p w14:paraId="4269BED1"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Проценка и подбор запасных частей для ремонта автомобиля</w:t>
            </w:r>
          </w:p>
        </w:tc>
        <w:tc>
          <w:tcPr>
            <w:tcW w:w="3402" w:type="dxa"/>
          </w:tcPr>
          <w:p w14:paraId="6DCA2FE4" w14:textId="77777777" w:rsidR="00CE3C6A" w:rsidRPr="00145E29" w:rsidRDefault="00CE3C6A" w:rsidP="000A03BA">
            <w:pPr>
              <w:pStyle w:val="a4"/>
              <w:ind w:left="0"/>
              <w:jc w:val="both"/>
              <w:rPr>
                <w:rFonts w:ascii="Times New Roman" w:hAnsi="Times New Roman" w:cs="Times New Roman"/>
                <w:b/>
                <w:bCs/>
                <w:sz w:val="20"/>
                <w:szCs w:val="20"/>
              </w:rPr>
            </w:pPr>
            <w:r w:rsidRPr="00145E29">
              <w:rPr>
                <w:rFonts w:ascii="Times New Roman" w:hAnsi="Times New Roman" w:cs="Times New Roman"/>
                <w:sz w:val="20"/>
                <w:szCs w:val="20"/>
              </w:rPr>
              <w:t>Подключается по заявке</w:t>
            </w:r>
          </w:p>
        </w:tc>
      </w:tr>
    </w:tbl>
    <w:p w14:paraId="00AEFC94" w14:textId="77777777" w:rsidR="00CE3C6A" w:rsidRPr="00145E29" w:rsidRDefault="00CE3C6A" w:rsidP="00773DFB">
      <w:pPr>
        <w:pStyle w:val="a4"/>
        <w:spacing w:after="0" w:line="240" w:lineRule="auto"/>
        <w:ind w:left="0"/>
        <w:rPr>
          <w:rFonts w:ascii="Times New Roman" w:hAnsi="Times New Roman" w:cs="Times New Roman"/>
          <w:sz w:val="24"/>
          <w:szCs w:val="24"/>
        </w:rPr>
      </w:pPr>
      <w:r w:rsidRPr="00145E29">
        <w:rPr>
          <w:rFonts w:ascii="Times New Roman" w:hAnsi="Times New Roman" w:cs="Times New Roman"/>
          <w:sz w:val="24"/>
          <w:szCs w:val="24"/>
        </w:rPr>
        <w:t xml:space="preserve">ПОЯСНЕНИЯ: </w:t>
      </w:r>
    </w:p>
    <w:p w14:paraId="541C5F3B" w14:textId="77777777" w:rsidR="00CE3C6A" w:rsidRPr="00145E29" w:rsidRDefault="00CE3C6A" w:rsidP="00773DFB">
      <w:pPr>
        <w:pStyle w:val="a4"/>
        <w:spacing w:after="0" w:line="240" w:lineRule="auto"/>
        <w:ind w:left="0"/>
        <w:rPr>
          <w:rFonts w:ascii="Times New Roman" w:hAnsi="Times New Roman" w:cs="Times New Roman"/>
          <w:sz w:val="24"/>
          <w:szCs w:val="24"/>
        </w:rPr>
      </w:pPr>
      <w:r w:rsidRPr="00145E29">
        <w:rPr>
          <w:rFonts w:ascii="Times New Roman" w:hAnsi="Times New Roman" w:cs="Times New Roman"/>
          <w:sz w:val="24"/>
          <w:szCs w:val="24"/>
        </w:rPr>
        <w:t xml:space="preserve">--------------------------------------------------- </w:t>
      </w:r>
    </w:p>
    <w:p w14:paraId="5F7E38E0" w14:textId="77777777" w:rsidR="00CE3C6A" w:rsidRPr="00145E29" w:rsidRDefault="000A03BA" w:rsidP="000A03BA">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vertAlign w:val="superscript"/>
        </w:rPr>
        <w:t>1</w:t>
      </w:r>
      <w:r w:rsidR="00CE3C6A" w:rsidRPr="00145E29">
        <w:rPr>
          <w:rFonts w:ascii="Times New Roman" w:hAnsi="Times New Roman" w:cs="Times New Roman"/>
          <w:sz w:val="24"/>
          <w:szCs w:val="24"/>
        </w:rPr>
        <w:t>Здесь и далее: возможность подключения дополнительных функциональных возможностей зависит от тарифа, см. таблицу в ст. 3</w:t>
      </w:r>
    </w:p>
    <w:p w14:paraId="0858E430" w14:textId="77777777" w:rsidR="00D100CE" w:rsidRPr="00145E29" w:rsidRDefault="00CE3C6A" w:rsidP="00773DFB">
      <w:pPr>
        <w:pStyle w:val="a4"/>
        <w:spacing w:after="0" w:line="240" w:lineRule="auto"/>
        <w:ind w:left="0"/>
        <w:rPr>
          <w:rFonts w:ascii="Times New Roman" w:hAnsi="Times New Roman" w:cs="Times New Roman"/>
          <w:sz w:val="24"/>
          <w:szCs w:val="24"/>
        </w:rPr>
      </w:pPr>
      <w:r w:rsidRPr="00145E29">
        <w:rPr>
          <w:rFonts w:ascii="Times New Roman" w:hAnsi="Times New Roman" w:cs="Times New Roman"/>
          <w:sz w:val="24"/>
          <w:szCs w:val="24"/>
        </w:rPr>
        <w:t xml:space="preserve"> ---------------------------------------------------</w:t>
      </w:r>
    </w:p>
    <w:p w14:paraId="5536ADBF" w14:textId="77777777" w:rsidR="00CE3C6A" w:rsidRPr="00145E29" w:rsidRDefault="00CE3C6A" w:rsidP="00CE3C6A">
      <w:pPr>
        <w:pStyle w:val="a4"/>
        <w:spacing w:after="0" w:line="240" w:lineRule="auto"/>
        <w:ind w:left="1077"/>
        <w:rPr>
          <w:rFonts w:ascii="Times New Roman" w:hAnsi="Times New Roman" w:cs="Times New Roman"/>
          <w:sz w:val="24"/>
          <w:szCs w:val="24"/>
        </w:rPr>
      </w:pPr>
    </w:p>
    <w:p w14:paraId="2DB46DF3" w14:textId="77777777" w:rsidR="00CE3C6A" w:rsidRPr="00145E29" w:rsidRDefault="00CE3C6A" w:rsidP="00CE3C6A">
      <w:pPr>
        <w:pStyle w:val="a4"/>
        <w:spacing w:after="0" w:line="240" w:lineRule="auto"/>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6. Тарификация на стороне страховой компании</w:t>
      </w:r>
    </w:p>
    <w:p w14:paraId="7DEADCE3" w14:textId="77777777" w:rsidR="00CE3C6A"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 xml:space="preserve">Правила настоящего статьи применяются только к Пользователю, производящему с помощью Базы данных калькуляции (расчеты) в интересах страховой компании (страховщика), которая заключила отдельное лицензионное соглашение с Правообладателем об использовании Базы данных. </w:t>
      </w:r>
    </w:p>
    <w:p w14:paraId="3628F9F6" w14:textId="77777777" w:rsidR="00CE3C6A"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 xml:space="preserve">6.1. С учетом п. 6.2 ниже, Пользователь не оплачивает или оплачивает частично предусмотренные ст. 3 настоящего Приложения платежи за выполненные Пользователем операции в любом ЭД (в том числе в случае, когда операция приравнивается к ЭД для целей тарификации), созданном или полученном Пользователем от страховой компании, а затем направленным Пользователем в страховую компанию и принятом последней посредством коммуникации, если в соответствии с соглашением между страховой компанией и Правообладателем страховая компания производит оплату выполненных Пользователем операций. При этом создание или получение Пользователем ЭД, последующая отправка и получение данного ЭД страховой компанией должны состояться в одном расчетном периоде. </w:t>
      </w:r>
    </w:p>
    <w:p w14:paraId="217C0EDD" w14:textId="77777777" w:rsidR="003D2621"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 xml:space="preserve">6.2. Создание и/или получение ЭД оплачивается Пользователем по правилам ст. 3 настоящего Приложения. </w:t>
      </w:r>
    </w:p>
    <w:p w14:paraId="5D0A11D4" w14:textId="739475E7" w:rsidR="00CE3C6A"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 xml:space="preserve">6.3. Любые расчеты между Пользователем и страховой компанией в связи с оплатой страховой компанией выполненных Пользователем операций осуществляются непосредственно между страховой компанией и Пользователем, без участия Правообладателя. </w:t>
      </w:r>
    </w:p>
    <w:p w14:paraId="665AEC72" w14:textId="1CB9DCAF" w:rsidR="00CE3C6A"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6.</w:t>
      </w:r>
      <w:r w:rsidR="003D2621" w:rsidRPr="00145E29">
        <w:rPr>
          <w:rFonts w:ascii="Times New Roman" w:hAnsi="Times New Roman" w:cs="Times New Roman"/>
          <w:sz w:val="24"/>
          <w:szCs w:val="24"/>
        </w:rPr>
        <w:t>4</w:t>
      </w:r>
      <w:r w:rsidRPr="00145E29">
        <w:rPr>
          <w:rFonts w:ascii="Times New Roman" w:hAnsi="Times New Roman" w:cs="Times New Roman"/>
          <w:sz w:val="24"/>
          <w:szCs w:val="24"/>
        </w:rPr>
        <w:t xml:space="preserve">. Соглашение между страховой компанией и Правообладателем об оплате страховой компанией выполненных Пользователем операций не является договором в пользу третьего лица (Пользователя), может быть изменено или прекращено в любое время по усмотрению страховой компании и Правообладателя независимо от предварительного уведомления или согласия Пользователя. В случае изменения соглашения с даты вступления такого изменения в силу применяется измененное соглашение. При прекращении соглашения с даты прекращения Пользователь обязан в полном объеме оплачивать предусмотренные ст. 3 настоящего Приложения платежи. </w:t>
      </w:r>
    </w:p>
    <w:p w14:paraId="492DC9F9" w14:textId="2AD14157" w:rsidR="00CE3C6A"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6.</w:t>
      </w:r>
      <w:r w:rsidR="003D2621" w:rsidRPr="00145E29">
        <w:rPr>
          <w:rFonts w:ascii="Times New Roman" w:hAnsi="Times New Roman" w:cs="Times New Roman"/>
          <w:sz w:val="24"/>
          <w:szCs w:val="24"/>
        </w:rPr>
        <w:t>5</w:t>
      </w:r>
      <w:r w:rsidRPr="00145E29">
        <w:rPr>
          <w:rFonts w:ascii="Times New Roman" w:hAnsi="Times New Roman" w:cs="Times New Roman"/>
          <w:sz w:val="24"/>
          <w:szCs w:val="24"/>
        </w:rPr>
        <w:t xml:space="preserve">. Пользователь вправе отказаться от применения настоящей ст. 6 Приложения. В этом случае Пользователь обязан в полном объеме оплачивать предусмотренные ст. 3 настоящего Приложения платежи. Если прямо не установлено иное, такой отказ распространяется на все страховые компании. </w:t>
      </w:r>
    </w:p>
    <w:p w14:paraId="7CAA3942" w14:textId="658BE691" w:rsidR="00CE3C6A" w:rsidRPr="00145E29" w:rsidRDefault="00CE3C6A" w:rsidP="005A0331">
      <w:pPr>
        <w:pStyle w:val="a4"/>
        <w:spacing w:after="0" w:line="240" w:lineRule="auto"/>
        <w:ind w:left="0"/>
        <w:jc w:val="both"/>
        <w:rPr>
          <w:rFonts w:ascii="Times New Roman" w:hAnsi="Times New Roman" w:cs="Times New Roman"/>
          <w:sz w:val="24"/>
          <w:szCs w:val="24"/>
        </w:rPr>
      </w:pPr>
      <w:r w:rsidRPr="00145E29">
        <w:rPr>
          <w:rFonts w:ascii="Times New Roman" w:hAnsi="Times New Roman" w:cs="Times New Roman"/>
          <w:sz w:val="24"/>
          <w:szCs w:val="24"/>
        </w:rPr>
        <w:t>6.</w:t>
      </w:r>
      <w:r w:rsidR="003D2621" w:rsidRPr="00145E29">
        <w:rPr>
          <w:rFonts w:ascii="Times New Roman" w:hAnsi="Times New Roman" w:cs="Times New Roman"/>
          <w:sz w:val="24"/>
          <w:szCs w:val="24"/>
        </w:rPr>
        <w:t>6</w:t>
      </w:r>
      <w:r w:rsidRPr="00145E29">
        <w:rPr>
          <w:rFonts w:ascii="Times New Roman" w:hAnsi="Times New Roman" w:cs="Times New Roman"/>
          <w:sz w:val="24"/>
          <w:szCs w:val="24"/>
        </w:rPr>
        <w:t xml:space="preserve">. При несоблюдении Пользователем установленного пунктом 6.1. настоящего Приложения срока тарификация операций, выполненных Пользователем в таком ЭД, производится </w:t>
      </w:r>
      <w:r w:rsidRPr="00145E29">
        <w:rPr>
          <w:rFonts w:ascii="Times New Roman" w:hAnsi="Times New Roman" w:cs="Times New Roman"/>
          <w:sz w:val="24"/>
          <w:szCs w:val="24"/>
        </w:rPr>
        <w:lastRenderedPageBreak/>
        <w:t>Правообладателем на стороне Пользователя, а не страховой компании, т.е. причитающиеся платежи в полном объеме включаются Правообладателем в счет на оплату за расчетный период, выставляемый в адрес Пользователя. Однако после выставления счета на оплату Правообладатель вправе (но не обязан) по письменному запросу Пользователя выполнить перерасчет в сторону уменьшения причитающихся с Пользователя платежей. Для такого перерасчета, который отражается в подписанном сторонами акте по итогам расчетного периода, Пользователь обязан частично оплатить стоимость операций в ЭД согласно нижеследующим правилам: (а) 10% от первоначально выставленной суммы – при первом перерасчете; (б) 30% от первоначально выставленной суммы – при втором перерасчете; (в) 50% от первоначально выставленной суммы – при третьем перерасчете. Дальнейшие перерасчеты не производятся, соответственно, Пользователь обязан полностью оплачивать выставленные счета на оплату. Количество случаев перерасчета определяется нарастающим итогом по всем Учетным записям Пользователя за текущий и любой истекший Срок действия Лицензионного соглашения вместе. Запрос Пользователя на перерасчет должен быть оформлен письменно за подписью руководителя Пользователя с приложением печати, содержать объяснение причин нарушения срока отправки ЭД; такой запрос должен быть передан Правообладателю в оригинале.</w:t>
      </w:r>
    </w:p>
    <w:p w14:paraId="29639715" w14:textId="1AAFA22C" w:rsidR="00CE3C6A" w:rsidRPr="00145E29" w:rsidRDefault="00CE3C6A" w:rsidP="005A0331">
      <w:pPr>
        <w:pStyle w:val="a4"/>
        <w:spacing w:after="0" w:line="240" w:lineRule="auto"/>
        <w:ind w:left="0"/>
        <w:jc w:val="both"/>
        <w:rPr>
          <w:rFonts w:ascii="Times New Roman" w:hAnsi="Times New Roman" w:cs="Times New Roman"/>
          <w:sz w:val="24"/>
          <w:szCs w:val="24"/>
        </w:rPr>
      </w:pPr>
    </w:p>
    <w:p w14:paraId="6CA7CF14" w14:textId="77777777" w:rsidR="00CE3C6A" w:rsidRPr="00145E29" w:rsidRDefault="00CE3C6A" w:rsidP="00CE3C6A">
      <w:pPr>
        <w:pStyle w:val="a4"/>
        <w:spacing w:after="0" w:line="240" w:lineRule="auto"/>
        <w:ind w:left="0"/>
        <w:rPr>
          <w:rFonts w:ascii="Times New Roman" w:hAnsi="Times New Roman" w:cs="Times New Roman"/>
          <w:sz w:val="24"/>
          <w:szCs w:val="24"/>
        </w:rPr>
      </w:pPr>
    </w:p>
    <w:p w14:paraId="7CC012EB" w14:textId="77777777" w:rsidR="00CE3C6A" w:rsidRPr="00145E29" w:rsidRDefault="00CE3C6A" w:rsidP="00CE3C6A">
      <w:pPr>
        <w:pStyle w:val="a4"/>
        <w:spacing w:after="0" w:line="240" w:lineRule="auto"/>
        <w:ind w:left="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E3C6A" w:rsidRPr="00145E29" w14:paraId="1653C64F" w14:textId="77777777" w:rsidTr="000652D6">
        <w:tc>
          <w:tcPr>
            <w:tcW w:w="4955" w:type="dxa"/>
          </w:tcPr>
          <w:p w14:paraId="6FA2CDDC" w14:textId="77777777" w:rsidR="00CE3C6A" w:rsidRPr="00145E29" w:rsidRDefault="00CE3C6A" w:rsidP="000652D6">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Правообладатель</w:t>
            </w:r>
          </w:p>
        </w:tc>
        <w:tc>
          <w:tcPr>
            <w:tcW w:w="4956" w:type="dxa"/>
          </w:tcPr>
          <w:p w14:paraId="53C060F0" w14:textId="77777777" w:rsidR="00CE3C6A" w:rsidRPr="00145E29" w:rsidRDefault="00CE3C6A" w:rsidP="000652D6">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Пользователь</w:t>
            </w:r>
          </w:p>
        </w:tc>
      </w:tr>
    </w:tbl>
    <w:p w14:paraId="26EB867D"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34932F52"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0D8B2253"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2DB09335"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6A0C35E9"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717D2DCB"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6A52B224"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0188F06A"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7D7BC41B"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101F4975"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1B51C015"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2A42B069"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5B766A42" w14:textId="77777777" w:rsidR="00CE3C6A" w:rsidRPr="00145E29" w:rsidRDefault="00CE3C6A" w:rsidP="00CE3C6A">
      <w:pPr>
        <w:pStyle w:val="a4"/>
        <w:spacing w:after="0" w:line="240" w:lineRule="auto"/>
        <w:ind w:left="0"/>
        <w:rPr>
          <w:rFonts w:ascii="Times New Roman" w:hAnsi="Times New Roman" w:cs="Times New Roman"/>
          <w:b/>
          <w:bCs/>
          <w:sz w:val="24"/>
          <w:szCs w:val="24"/>
        </w:rPr>
      </w:pPr>
    </w:p>
    <w:p w14:paraId="68D75611"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280DC031"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3292CE80" w14:textId="72077861" w:rsidR="005A0331" w:rsidRPr="00145E29" w:rsidRDefault="005A0331" w:rsidP="00CE3C6A">
      <w:pPr>
        <w:pStyle w:val="a4"/>
        <w:spacing w:after="0" w:line="240" w:lineRule="auto"/>
        <w:ind w:left="0"/>
        <w:rPr>
          <w:rFonts w:ascii="Times New Roman" w:hAnsi="Times New Roman" w:cs="Times New Roman"/>
          <w:b/>
          <w:bCs/>
          <w:sz w:val="24"/>
          <w:szCs w:val="24"/>
        </w:rPr>
      </w:pPr>
    </w:p>
    <w:p w14:paraId="23A224E4" w14:textId="1E6DF7DA" w:rsidR="008A4C47" w:rsidRPr="00145E29" w:rsidRDefault="008A4C47" w:rsidP="00CE3C6A">
      <w:pPr>
        <w:pStyle w:val="a4"/>
        <w:spacing w:after="0" w:line="240" w:lineRule="auto"/>
        <w:ind w:left="0"/>
        <w:rPr>
          <w:rFonts w:ascii="Times New Roman" w:hAnsi="Times New Roman" w:cs="Times New Roman"/>
          <w:b/>
          <w:bCs/>
          <w:sz w:val="24"/>
          <w:szCs w:val="24"/>
        </w:rPr>
      </w:pPr>
    </w:p>
    <w:p w14:paraId="7BCA226F" w14:textId="1497FE07" w:rsidR="008A4C47" w:rsidRPr="00145E29" w:rsidRDefault="008A4C47" w:rsidP="00CE3C6A">
      <w:pPr>
        <w:pStyle w:val="a4"/>
        <w:spacing w:after="0" w:line="240" w:lineRule="auto"/>
        <w:ind w:left="0"/>
        <w:rPr>
          <w:rFonts w:ascii="Times New Roman" w:hAnsi="Times New Roman" w:cs="Times New Roman"/>
          <w:b/>
          <w:bCs/>
          <w:sz w:val="24"/>
          <w:szCs w:val="24"/>
        </w:rPr>
      </w:pPr>
    </w:p>
    <w:p w14:paraId="25F91635" w14:textId="5FD5A38D" w:rsidR="008A4C47" w:rsidRPr="00145E29" w:rsidRDefault="008A4C47" w:rsidP="00CE3C6A">
      <w:pPr>
        <w:pStyle w:val="a4"/>
        <w:spacing w:after="0" w:line="240" w:lineRule="auto"/>
        <w:ind w:left="0"/>
        <w:rPr>
          <w:rFonts w:ascii="Times New Roman" w:hAnsi="Times New Roman" w:cs="Times New Roman"/>
          <w:b/>
          <w:bCs/>
          <w:sz w:val="24"/>
          <w:szCs w:val="24"/>
        </w:rPr>
      </w:pPr>
    </w:p>
    <w:p w14:paraId="21F0502F" w14:textId="1B40ED7F" w:rsidR="008A4C47" w:rsidRPr="00145E29" w:rsidRDefault="008A4C47" w:rsidP="00CE3C6A">
      <w:pPr>
        <w:pStyle w:val="a4"/>
        <w:spacing w:after="0" w:line="240" w:lineRule="auto"/>
        <w:ind w:left="0"/>
        <w:rPr>
          <w:rFonts w:ascii="Times New Roman" w:hAnsi="Times New Roman" w:cs="Times New Roman"/>
          <w:b/>
          <w:bCs/>
          <w:sz w:val="24"/>
          <w:szCs w:val="24"/>
        </w:rPr>
      </w:pPr>
    </w:p>
    <w:p w14:paraId="24E3F37C" w14:textId="77777777" w:rsidR="008A4C47" w:rsidRPr="00145E29" w:rsidRDefault="008A4C47" w:rsidP="00CE3C6A">
      <w:pPr>
        <w:pStyle w:val="a4"/>
        <w:spacing w:after="0" w:line="240" w:lineRule="auto"/>
        <w:ind w:left="0"/>
        <w:rPr>
          <w:rFonts w:ascii="Times New Roman" w:hAnsi="Times New Roman" w:cs="Times New Roman"/>
          <w:b/>
          <w:bCs/>
          <w:sz w:val="24"/>
          <w:szCs w:val="24"/>
        </w:rPr>
      </w:pPr>
    </w:p>
    <w:p w14:paraId="4508CEE7"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7DF65BEA"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6F3124B4"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4B5A019B"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56FC66A8"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2BFB2295"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5C6A8904"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7E1744F4"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5DBD310F"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3E10065C"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07D0BF35" w14:textId="77777777" w:rsidR="005A0331" w:rsidRPr="00145E29" w:rsidRDefault="005A0331" w:rsidP="00CE3C6A">
      <w:pPr>
        <w:pStyle w:val="a4"/>
        <w:spacing w:after="0" w:line="240" w:lineRule="auto"/>
        <w:ind w:left="0"/>
        <w:rPr>
          <w:rFonts w:ascii="Times New Roman" w:hAnsi="Times New Roman" w:cs="Times New Roman"/>
          <w:b/>
          <w:bCs/>
          <w:sz w:val="24"/>
          <w:szCs w:val="24"/>
        </w:rPr>
      </w:pPr>
    </w:p>
    <w:p w14:paraId="6E44082D" w14:textId="77777777" w:rsidR="000F216F" w:rsidRPr="00145E29" w:rsidRDefault="00CE3C6A" w:rsidP="000F216F">
      <w:pPr>
        <w:pStyle w:val="a4"/>
        <w:spacing w:after="0" w:line="240" w:lineRule="auto"/>
        <w:ind w:left="0"/>
        <w:jc w:val="right"/>
        <w:rPr>
          <w:rFonts w:ascii="Times New Roman" w:hAnsi="Times New Roman" w:cs="Times New Roman"/>
          <w:b/>
          <w:bCs/>
          <w:sz w:val="24"/>
          <w:szCs w:val="24"/>
        </w:rPr>
      </w:pPr>
      <w:r w:rsidRPr="00145E29">
        <w:rPr>
          <w:rFonts w:ascii="Times New Roman" w:hAnsi="Times New Roman" w:cs="Times New Roman"/>
          <w:b/>
          <w:bCs/>
          <w:sz w:val="24"/>
          <w:szCs w:val="24"/>
        </w:rPr>
        <w:t>Приложение № 2</w:t>
      </w:r>
    </w:p>
    <w:p w14:paraId="42FAA1D4" w14:textId="77777777" w:rsidR="000F216F" w:rsidRPr="00145E29" w:rsidRDefault="00CE3C6A" w:rsidP="000F216F">
      <w:pPr>
        <w:pStyle w:val="a4"/>
        <w:spacing w:after="0" w:line="240" w:lineRule="auto"/>
        <w:ind w:left="0"/>
        <w:jc w:val="right"/>
        <w:rPr>
          <w:rFonts w:ascii="Times New Roman" w:hAnsi="Times New Roman" w:cs="Times New Roman"/>
          <w:sz w:val="24"/>
          <w:szCs w:val="24"/>
        </w:rPr>
      </w:pPr>
      <w:r w:rsidRPr="00145E29">
        <w:rPr>
          <w:rFonts w:ascii="Times New Roman" w:hAnsi="Times New Roman" w:cs="Times New Roman"/>
          <w:sz w:val="24"/>
          <w:szCs w:val="24"/>
        </w:rPr>
        <w:lastRenderedPageBreak/>
        <w:t xml:space="preserve"> к Лицензионному Соглашению № </w:t>
      </w:r>
      <w:r w:rsidR="000F216F" w:rsidRPr="00145E29">
        <w:rPr>
          <w:rFonts w:ascii="Times New Roman" w:hAnsi="Times New Roman" w:cs="Times New Roman"/>
          <w:sz w:val="24"/>
          <w:szCs w:val="24"/>
        </w:rPr>
        <w:t>_________</w:t>
      </w:r>
      <w:r w:rsidRPr="00145E29">
        <w:rPr>
          <w:rFonts w:ascii="Times New Roman" w:hAnsi="Times New Roman" w:cs="Times New Roman"/>
          <w:sz w:val="24"/>
          <w:szCs w:val="24"/>
        </w:rPr>
        <w:t xml:space="preserve"> от ___ </w:t>
      </w:r>
    </w:p>
    <w:p w14:paraId="241F290B" w14:textId="77777777" w:rsidR="000F216F" w:rsidRPr="00145E29" w:rsidRDefault="000F216F" w:rsidP="00CE3C6A">
      <w:pPr>
        <w:pStyle w:val="a4"/>
        <w:spacing w:after="0" w:line="240" w:lineRule="auto"/>
        <w:ind w:left="0"/>
        <w:rPr>
          <w:rFonts w:ascii="Times New Roman" w:hAnsi="Times New Roman" w:cs="Times New Roman"/>
          <w:sz w:val="24"/>
          <w:szCs w:val="24"/>
        </w:rPr>
      </w:pPr>
    </w:p>
    <w:p w14:paraId="5A765B78" w14:textId="77777777" w:rsidR="000F216F" w:rsidRPr="00145E29" w:rsidRDefault="000F216F" w:rsidP="005A0331">
      <w:pPr>
        <w:spacing w:after="0" w:line="240" w:lineRule="auto"/>
        <w:jc w:val="both"/>
        <w:rPr>
          <w:rFonts w:ascii="Times New Roman" w:hAnsi="Times New Roman" w:cs="Times New Roman"/>
        </w:rPr>
      </w:pPr>
      <w:r w:rsidRPr="00145E29">
        <w:rPr>
          <w:rFonts w:ascii="Times New Roman" w:hAnsi="Times New Roman" w:cs="Times New Roman"/>
          <w:b/>
          <w:bCs/>
          <w:sz w:val="24"/>
          <w:szCs w:val="24"/>
        </w:rPr>
        <w:t xml:space="preserve">1. </w:t>
      </w:r>
      <w:r w:rsidR="00CE3C6A" w:rsidRPr="00145E29">
        <w:rPr>
          <w:rFonts w:ascii="Times New Roman" w:hAnsi="Times New Roman" w:cs="Times New Roman"/>
          <w:b/>
          <w:bCs/>
        </w:rPr>
        <w:t>Вопросы технической поддержки:</w:t>
      </w:r>
      <w:r w:rsidR="00CE3C6A" w:rsidRPr="00145E29">
        <w:rPr>
          <w:rFonts w:ascii="Times New Roman" w:hAnsi="Times New Roman" w:cs="Times New Roman"/>
        </w:rPr>
        <w:t xml:space="preserve"> </w:t>
      </w:r>
    </w:p>
    <w:p w14:paraId="099FE795"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За исключением вопросов, указанных в статье 2 ниже, в рамках технической поддержки Пользователю предоставляется консультационная помощь по вопросам, относящимся к:</w:t>
      </w:r>
    </w:p>
    <w:p w14:paraId="56840290"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 • функционированию Базы данных,</w:t>
      </w:r>
    </w:p>
    <w:p w14:paraId="21633A70"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 • изменениям Базы данных, </w:t>
      </w:r>
    </w:p>
    <w:p w14:paraId="76C59248"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использованию Базы данных с момента запуска до момента завершения. </w:t>
      </w:r>
    </w:p>
    <w:p w14:paraId="1489CBD2"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2. В рамках технической поддержки Правообладатель не консультирует по следующим вопросам: </w:t>
      </w:r>
    </w:p>
    <w:p w14:paraId="055CEDEA"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2.1. Вопросам, связанным с настройкой прокси-серверов, защитных экранов и прочему программному обеспечению сторонних производителей, препятствующих нормальной работе Базы данных. </w:t>
      </w:r>
    </w:p>
    <w:p w14:paraId="591FED71"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2.2. Вопросам, связанным с работой антивирусного программного обеспечения, блокирующего установку или использование Базы данных. </w:t>
      </w:r>
    </w:p>
    <w:p w14:paraId="38E4F42C"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2.3. Вопросам, касающимся настройки доступа в интернет, подключения к внутренним серверам и аналогичным вопросам, находящимся в компетенции системного администратора Пользователя. </w:t>
      </w:r>
    </w:p>
    <w:p w14:paraId="427819F2"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2.4. Вопросам, касающимся программных продуктов, приобретенных у третьих лиц. </w:t>
      </w:r>
    </w:p>
    <w:p w14:paraId="14882A37"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2.5. Вопросам, связанным с интеграцией Базы данных в корпоративную информационную систему Пользователя. </w:t>
      </w:r>
    </w:p>
    <w:p w14:paraId="46C83687"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 Порядок оказания технической поддержки: </w:t>
      </w:r>
    </w:p>
    <w:p w14:paraId="09E0BBE1"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3.1.Для оказания технической поддержки Правообладатель может запросить у Пользователя сведения о выданном Правообладателем сертификате. </w:t>
      </w:r>
    </w:p>
    <w:p w14:paraId="0D944A42"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3.2. Техническая поддержка предоставляется для коммерческой версии Базы данных. По усмотрению Правообладателя техническая поддержка может в ограниченном объеме предоставляться для тестовых (beta), пробных (trial) версий или версий с ограниченными функциональными возможностями. </w:t>
      </w:r>
    </w:p>
    <w:p w14:paraId="0CF17D34"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3.3. Техническая поддержка оказывается техническими специалистами по факту обращения (запроса) при наличии действующего Лицензионного соглашения, а также при условии сообщения сотрудником Пользователя, обратившимся за технической поддержкой, следующих сведений: имя сотрудника Пользователя, номер и дату Лицензионного соглашения, номер сертификата. В случае необоснованного отказа от предоставления этой информации, техническая поддержка не оказывается. </w:t>
      </w:r>
    </w:p>
    <w:p w14:paraId="275CE259"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3.4. Техническая поддержка оказывается следующим образом: (а) устно по телефону (б) по электронной почте (в) устно по телефону или по электронной почте – при обращении через интернет-сайт Правообладателя. (г) c помощью факсимильной или почтовой связи – при письменном обращении за подписью уполномоченного представителя и печатью Пользователя </w:t>
      </w:r>
    </w:p>
    <w:p w14:paraId="31643B7C"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3.5. Техническая поддержка не предполагает посещение специалистами Пользователя офиса Правообладателя, а также посещение техническими специалистами Правообладателя офиса Пользователя. </w:t>
      </w:r>
    </w:p>
    <w:p w14:paraId="6D4AE500"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3.6. Как правило, время ответа на запрос не превышает 2 (двух) рабочих дней. </w:t>
      </w:r>
    </w:p>
    <w:p w14:paraId="6D4032D9"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3.7. Правообладатель не гарантирует исправление или устранение возможных неисправностей или недостатков Базы данных в рамках технической поддержки. </w:t>
      </w:r>
    </w:p>
    <w:p w14:paraId="52EBA6CB"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3.8. В случае возникновения спора относительно устного оказания Правообладателем технической поддержки, Правообладатель оставляет за собой право впредь принимать обращения и оказывать техническую поддержку только в письменной форме. </w:t>
      </w:r>
    </w:p>
    <w:p w14:paraId="356A8C3E" w14:textId="77777777" w:rsidR="000F216F"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 xml:space="preserve">3.9. Язык поддержки: русский </w:t>
      </w:r>
    </w:p>
    <w:p w14:paraId="5392FFD6" w14:textId="77777777" w:rsidR="00CE3C6A" w:rsidRPr="00145E29" w:rsidRDefault="00CE3C6A" w:rsidP="005A0331">
      <w:pPr>
        <w:spacing w:after="0" w:line="240" w:lineRule="auto"/>
        <w:jc w:val="both"/>
        <w:rPr>
          <w:rFonts w:ascii="Times New Roman" w:hAnsi="Times New Roman" w:cs="Times New Roman"/>
        </w:rPr>
      </w:pPr>
      <w:r w:rsidRPr="00145E29">
        <w:rPr>
          <w:rFonts w:ascii="Times New Roman" w:hAnsi="Times New Roman" w:cs="Times New Roman"/>
        </w:rPr>
        <w:t>3.10. Контактная информация: понедельник – четверг с 08:00 до 19:00 часов по московскому времени (мск), пятница с 08:00 до 17:45 мск по телефонам +7 499 490 0770, 8 800 555 91 37. Адрес электронной почты; интернет-сайт: ___________</w:t>
      </w:r>
    </w:p>
    <w:p w14:paraId="496DA25D" w14:textId="77777777" w:rsidR="00CE3C6A" w:rsidRPr="00145E29" w:rsidRDefault="00CE3C6A" w:rsidP="00CE3C6A">
      <w:pPr>
        <w:pStyle w:val="a4"/>
        <w:spacing w:after="0" w:line="240" w:lineRule="auto"/>
        <w:ind w:left="0"/>
        <w:rPr>
          <w:rFonts w:ascii="Times New Roman" w:hAnsi="Times New Roman" w:cs="Times New Roman"/>
          <w:sz w:val="24"/>
          <w:szCs w:val="24"/>
        </w:rPr>
      </w:pPr>
    </w:p>
    <w:p w14:paraId="0DFA99A9" w14:textId="77777777" w:rsidR="00CE3C6A" w:rsidRPr="00145E29" w:rsidRDefault="00CE3C6A" w:rsidP="00CE3C6A">
      <w:pPr>
        <w:pStyle w:val="a4"/>
        <w:spacing w:after="0" w:line="240" w:lineRule="auto"/>
        <w:ind w:left="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E3C6A" w:rsidRPr="00145E29" w14:paraId="1221C2C3" w14:textId="77777777" w:rsidTr="000652D6">
        <w:tc>
          <w:tcPr>
            <w:tcW w:w="4955" w:type="dxa"/>
          </w:tcPr>
          <w:p w14:paraId="61E5B3FF" w14:textId="77777777" w:rsidR="00CE3C6A" w:rsidRPr="00145E29" w:rsidRDefault="00CE3C6A" w:rsidP="00CE3C6A">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Правообладатель</w:t>
            </w:r>
          </w:p>
        </w:tc>
        <w:tc>
          <w:tcPr>
            <w:tcW w:w="4956" w:type="dxa"/>
          </w:tcPr>
          <w:p w14:paraId="4437220A" w14:textId="77777777" w:rsidR="00CE3C6A" w:rsidRPr="00145E29" w:rsidRDefault="00CE3C6A" w:rsidP="00CE3C6A">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Пользователь</w:t>
            </w:r>
          </w:p>
        </w:tc>
      </w:tr>
    </w:tbl>
    <w:p w14:paraId="3439603F" w14:textId="77777777" w:rsidR="00CE3C6A" w:rsidRPr="00145E29" w:rsidRDefault="00CE3C6A" w:rsidP="00CE3C6A">
      <w:pPr>
        <w:pStyle w:val="a4"/>
        <w:spacing w:after="0" w:line="240" w:lineRule="auto"/>
        <w:ind w:left="0"/>
        <w:rPr>
          <w:rFonts w:ascii="Times New Roman" w:hAnsi="Times New Roman" w:cs="Times New Roman"/>
          <w:sz w:val="24"/>
          <w:szCs w:val="24"/>
        </w:rPr>
      </w:pPr>
    </w:p>
    <w:p w14:paraId="182E2D93" w14:textId="77777777" w:rsidR="00211AD5" w:rsidRPr="00145E29" w:rsidRDefault="00211AD5" w:rsidP="00CE3C6A">
      <w:pPr>
        <w:pStyle w:val="a4"/>
        <w:spacing w:after="0" w:line="240" w:lineRule="auto"/>
        <w:ind w:left="0"/>
        <w:rPr>
          <w:rFonts w:ascii="Times New Roman" w:hAnsi="Times New Roman" w:cs="Times New Roman"/>
          <w:sz w:val="24"/>
          <w:szCs w:val="24"/>
        </w:rPr>
      </w:pPr>
    </w:p>
    <w:p w14:paraId="3E972E54" w14:textId="77777777" w:rsidR="00211AD5" w:rsidRPr="00145E29" w:rsidRDefault="00211AD5" w:rsidP="00CE3C6A">
      <w:pPr>
        <w:pStyle w:val="a4"/>
        <w:spacing w:after="0" w:line="240" w:lineRule="auto"/>
        <w:ind w:left="0"/>
        <w:rPr>
          <w:rFonts w:ascii="Times New Roman" w:hAnsi="Times New Roman" w:cs="Times New Roman"/>
          <w:sz w:val="24"/>
          <w:szCs w:val="24"/>
        </w:rPr>
      </w:pPr>
    </w:p>
    <w:p w14:paraId="48D922C2" w14:textId="77777777" w:rsidR="005A0331" w:rsidRPr="00145E29" w:rsidRDefault="005A0331" w:rsidP="00CE3C6A">
      <w:pPr>
        <w:pStyle w:val="a4"/>
        <w:spacing w:after="0" w:line="240" w:lineRule="auto"/>
        <w:ind w:left="0"/>
        <w:rPr>
          <w:rFonts w:ascii="Times New Roman" w:hAnsi="Times New Roman" w:cs="Times New Roman"/>
          <w:sz w:val="24"/>
          <w:szCs w:val="24"/>
        </w:rPr>
      </w:pPr>
    </w:p>
    <w:p w14:paraId="4D1748F0" w14:textId="77777777" w:rsidR="005A0331" w:rsidRPr="00145E29" w:rsidRDefault="005A0331" w:rsidP="00CE3C6A">
      <w:pPr>
        <w:pStyle w:val="a4"/>
        <w:spacing w:after="0" w:line="240" w:lineRule="auto"/>
        <w:ind w:left="0"/>
        <w:rPr>
          <w:rFonts w:ascii="Times New Roman" w:hAnsi="Times New Roman" w:cs="Times New Roman"/>
          <w:sz w:val="24"/>
          <w:szCs w:val="24"/>
        </w:rPr>
      </w:pPr>
    </w:p>
    <w:p w14:paraId="1155FE93" w14:textId="77777777" w:rsidR="005A0331" w:rsidRPr="00145E29" w:rsidRDefault="005A0331" w:rsidP="00CE3C6A">
      <w:pPr>
        <w:pStyle w:val="a4"/>
        <w:spacing w:after="0" w:line="240" w:lineRule="auto"/>
        <w:ind w:left="0"/>
        <w:rPr>
          <w:rFonts w:ascii="Times New Roman" w:hAnsi="Times New Roman" w:cs="Times New Roman"/>
          <w:sz w:val="24"/>
          <w:szCs w:val="24"/>
        </w:rPr>
      </w:pPr>
    </w:p>
    <w:p w14:paraId="2B1409A5" w14:textId="77777777" w:rsidR="000A03BA" w:rsidRPr="00145E29" w:rsidRDefault="000A03BA" w:rsidP="00211AD5">
      <w:pPr>
        <w:pStyle w:val="a4"/>
        <w:spacing w:after="0" w:line="240" w:lineRule="auto"/>
        <w:ind w:left="0"/>
        <w:jc w:val="right"/>
        <w:rPr>
          <w:rFonts w:ascii="Times New Roman" w:hAnsi="Times New Roman" w:cs="Times New Roman"/>
          <w:b/>
          <w:bCs/>
          <w:sz w:val="24"/>
          <w:szCs w:val="24"/>
        </w:rPr>
      </w:pPr>
    </w:p>
    <w:p w14:paraId="3AC2DA48" w14:textId="77777777" w:rsidR="00211AD5" w:rsidRPr="00145E29" w:rsidRDefault="00211AD5" w:rsidP="00211AD5">
      <w:pPr>
        <w:pStyle w:val="a4"/>
        <w:spacing w:after="0" w:line="240" w:lineRule="auto"/>
        <w:ind w:left="0"/>
        <w:jc w:val="right"/>
        <w:rPr>
          <w:rFonts w:ascii="Times New Roman" w:hAnsi="Times New Roman" w:cs="Times New Roman"/>
          <w:b/>
          <w:bCs/>
          <w:sz w:val="24"/>
          <w:szCs w:val="24"/>
        </w:rPr>
      </w:pPr>
      <w:r w:rsidRPr="00145E29">
        <w:rPr>
          <w:rFonts w:ascii="Times New Roman" w:hAnsi="Times New Roman" w:cs="Times New Roman"/>
          <w:b/>
          <w:bCs/>
          <w:sz w:val="24"/>
          <w:szCs w:val="24"/>
        </w:rPr>
        <w:t>Приложение № 3</w:t>
      </w:r>
    </w:p>
    <w:p w14:paraId="603CBFBD" w14:textId="77777777" w:rsidR="00211AD5" w:rsidRPr="00145E29" w:rsidRDefault="00211AD5" w:rsidP="00211AD5">
      <w:pPr>
        <w:pStyle w:val="a4"/>
        <w:spacing w:after="0" w:line="240" w:lineRule="auto"/>
        <w:ind w:left="0"/>
        <w:jc w:val="right"/>
        <w:rPr>
          <w:rFonts w:ascii="Times New Roman" w:hAnsi="Times New Roman" w:cs="Times New Roman"/>
          <w:sz w:val="24"/>
          <w:szCs w:val="24"/>
        </w:rPr>
      </w:pPr>
      <w:r w:rsidRPr="00145E29">
        <w:rPr>
          <w:rFonts w:ascii="Times New Roman" w:hAnsi="Times New Roman" w:cs="Times New Roman"/>
          <w:sz w:val="24"/>
          <w:szCs w:val="24"/>
        </w:rPr>
        <w:lastRenderedPageBreak/>
        <w:t xml:space="preserve"> к Лицензионному Соглашению № __________ от ___</w:t>
      </w:r>
    </w:p>
    <w:p w14:paraId="1594AFB9" w14:textId="77777777" w:rsidR="00211AD5" w:rsidRPr="00145E29" w:rsidRDefault="00211AD5" w:rsidP="00211AD5">
      <w:pPr>
        <w:pStyle w:val="a4"/>
        <w:spacing w:after="0" w:line="240" w:lineRule="auto"/>
        <w:ind w:left="0"/>
        <w:jc w:val="center"/>
        <w:rPr>
          <w:rFonts w:ascii="Times New Roman" w:hAnsi="Times New Roman" w:cs="Times New Roman"/>
          <w:sz w:val="24"/>
          <w:szCs w:val="24"/>
        </w:rPr>
      </w:pPr>
    </w:p>
    <w:p w14:paraId="0425FB91" w14:textId="77777777" w:rsidR="00211AD5" w:rsidRPr="00145E29" w:rsidRDefault="00211AD5" w:rsidP="00211AD5">
      <w:pPr>
        <w:pStyle w:val="a4"/>
        <w:spacing w:after="0" w:line="240" w:lineRule="auto"/>
        <w:ind w:left="0"/>
        <w:jc w:val="center"/>
        <w:rPr>
          <w:rFonts w:ascii="Times New Roman" w:hAnsi="Times New Roman" w:cs="Times New Roman"/>
          <w:b/>
          <w:sz w:val="24"/>
          <w:szCs w:val="24"/>
        </w:rPr>
      </w:pPr>
      <w:r w:rsidRPr="00145E29">
        <w:rPr>
          <w:rFonts w:ascii="Times New Roman" w:hAnsi="Times New Roman" w:cs="Times New Roman"/>
          <w:b/>
          <w:sz w:val="24"/>
          <w:szCs w:val="24"/>
        </w:rPr>
        <w:t>ДОПОЛНИТЕЛЬНЫЕ ПРАВИЛА ИСПОЛЬЗОВАНИЯ БАЗЫ ДАННЫХ</w:t>
      </w:r>
    </w:p>
    <w:p w14:paraId="4030955C" w14:textId="77777777" w:rsidR="00211AD5" w:rsidRPr="00145E29" w:rsidRDefault="00211AD5" w:rsidP="00211AD5">
      <w:pPr>
        <w:pStyle w:val="a4"/>
        <w:spacing w:after="0" w:line="240" w:lineRule="auto"/>
        <w:ind w:left="0"/>
        <w:jc w:val="center"/>
        <w:rPr>
          <w:rFonts w:ascii="Times New Roman" w:hAnsi="Times New Roman" w:cs="Times New Roman"/>
          <w:sz w:val="24"/>
          <w:szCs w:val="24"/>
        </w:rPr>
      </w:pPr>
    </w:p>
    <w:p w14:paraId="22DEC04B" w14:textId="77777777" w:rsidR="00211AD5" w:rsidRPr="00145E29" w:rsidRDefault="00211AD5" w:rsidP="00211AD5">
      <w:pPr>
        <w:spacing w:after="0" w:line="240" w:lineRule="auto"/>
        <w:ind w:left="360"/>
        <w:jc w:val="center"/>
        <w:rPr>
          <w:rFonts w:ascii="Times New Roman" w:hAnsi="Times New Roman" w:cs="Times New Roman"/>
          <w:b/>
          <w:bCs/>
          <w:sz w:val="24"/>
          <w:szCs w:val="24"/>
        </w:rPr>
      </w:pPr>
      <w:r w:rsidRPr="00145E29">
        <w:rPr>
          <w:rFonts w:ascii="Times New Roman" w:hAnsi="Times New Roman" w:cs="Times New Roman"/>
          <w:b/>
          <w:bCs/>
          <w:sz w:val="24"/>
          <w:szCs w:val="24"/>
        </w:rPr>
        <w:t>1.Общие положения</w:t>
      </w:r>
    </w:p>
    <w:p w14:paraId="5683B6DD"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1.1. Правообладатель предоставляет Пользователю Учетные записи и (при наличии) скачиваемые компоненты для доступа к Базе данных. В случае прекращения работы сотрудника Пользователя, использовавшего Учетные записи, Пользователь письменно уведомляет об этом Правообладателя. После получения уведомления Правообладатель блокирует Учетные записи указанного сотрудника Пользователя. Правообладатель отменяет блокировку только на основании письменного запроса Пользователя, содержащего сведения о новом сотруднике (ФИО, адрес электронной почты). </w:t>
      </w:r>
    </w:p>
    <w:p w14:paraId="160B3047"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1.2. Доступ к Базе данных осуществляется Пользователем через интернет. </w:t>
      </w:r>
    </w:p>
    <w:p w14:paraId="4647CE29"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1.3. Доступ к Базе данных осуществляется с любого компьютера Пользователя, который отвечает техническим требованиям, указанным Правообладателем. </w:t>
      </w:r>
    </w:p>
    <w:p w14:paraId="4BBCE7D7"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1.4. Пользователь обязан обеспечить, чтобы работа с Базой данных осуществлялась исключительно путем непосредственного ввода и вывода данных через компьютер, посредством которого в текущий момент осуществляется доступ к Базе данных. </w:t>
      </w:r>
    </w:p>
    <w:p w14:paraId="291700FE"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1.5. Обновления Базы данных производятся автоматически по мере их подготовки, и могут производиться без уведомления Пользователя, а также могут временно ограничивать или приостанавливать доступ к Базе данных. Равным образом, временное ограничение или приостановление доступа может потребоваться в связи с возможными сбоями в работе Базы данных и техническими работами по устранению сбоев. </w:t>
      </w:r>
    </w:p>
    <w:p w14:paraId="728DDA99"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1.6. Учетная запись позволяет сотруднику Пользователя использовать Базу данных одновременно только на 1 (одном) компьютере Пользователя. </w:t>
      </w:r>
    </w:p>
    <w:p w14:paraId="470826FA"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1.7. Использование Базы данных может требовать установки или использования Пользователем программного обеспечение других производителей. Настоящее Лицензионное соглашение не предоставляет Пользователю каких-либо прав в отношении такого программного обеспечения. Получение лицензии, установка и использование программного обеспечения других производителей осуществляется Пользователем в порядке, установленном другими производителями. </w:t>
      </w:r>
    </w:p>
    <w:p w14:paraId="1ECC275A" w14:textId="77777777" w:rsidR="00211AD5" w:rsidRPr="00145E29" w:rsidRDefault="00211AD5" w:rsidP="00211AD5">
      <w:pPr>
        <w:spacing w:after="0" w:line="240" w:lineRule="auto"/>
        <w:ind w:left="360"/>
        <w:jc w:val="both"/>
        <w:rPr>
          <w:rFonts w:ascii="Times New Roman" w:hAnsi="Times New Roman" w:cs="Times New Roman"/>
          <w:sz w:val="24"/>
          <w:szCs w:val="24"/>
        </w:rPr>
      </w:pPr>
    </w:p>
    <w:p w14:paraId="190E7C11" w14:textId="77777777" w:rsidR="00211AD5" w:rsidRPr="00145E29" w:rsidRDefault="00211AD5" w:rsidP="00211AD5">
      <w:pPr>
        <w:spacing w:after="0" w:line="240" w:lineRule="auto"/>
        <w:ind w:left="360"/>
        <w:jc w:val="center"/>
        <w:rPr>
          <w:rFonts w:ascii="Times New Roman" w:hAnsi="Times New Roman" w:cs="Times New Roman"/>
          <w:b/>
          <w:bCs/>
          <w:sz w:val="24"/>
          <w:szCs w:val="24"/>
        </w:rPr>
      </w:pPr>
      <w:r w:rsidRPr="00145E29">
        <w:rPr>
          <w:rFonts w:ascii="Times New Roman" w:hAnsi="Times New Roman" w:cs="Times New Roman"/>
          <w:b/>
          <w:bCs/>
          <w:sz w:val="24"/>
          <w:szCs w:val="24"/>
        </w:rPr>
        <w:t>2. Технические ограничения</w:t>
      </w:r>
    </w:p>
    <w:p w14:paraId="5BBA5FE1"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2.1. Объем информации (вложений), загружаемых Пользователем в Базу данных по одному ЭД (электронное дело) ограничивается 50 (пятьюдесятью) Мб. Кроме того, разрешение загруженных картинок автоматически сжимается до 1600:1200 с уровнем компрессии JPEG 70%. </w:t>
      </w:r>
    </w:p>
    <w:p w14:paraId="17FD346D"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2.2. Срок хранения ЭД (и операций в данном ЭД) составляет 1 (один) год. Затем ЭД подлежит архивации, с сохранением после архивации доступа Пользователя к ЭД для ознакомления в формате .pdf и распечатывания, но не для продолжения работы с ЭД. </w:t>
      </w:r>
    </w:p>
    <w:p w14:paraId="67D0EC79"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2.3 Прочие технические условия и ограничения, а также порядок работы с Базой данных, не противоречащие Лицензионному соглашению, устанавливаются в инструкциях и документации, прилагаемых к Базе данных или дополнительно сообщаемых Правообладателем Пользователю, в том числе системных требованиях AudaPad Web, размещенных на официальном сайте Правообладателя (раздел «Техподдержка»). </w:t>
      </w:r>
    </w:p>
    <w:p w14:paraId="550CC49C" w14:textId="77777777" w:rsidR="00211AD5" w:rsidRPr="00145E29" w:rsidRDefault="00211AD5" w:rsidP="00211AD5">
      <w:pPr>
        <w:spacing w:after="0" w:line="240" w:lineRule="auto"/>
        <w:ind w:left="360"/>
        <w:jc w:val="both"/>
        <w:rPr>
          <w:rFonts w:ascii="Times New Roman" w:hAnsi="Times New Roman" w:cs="Times New Roman"/>
          <w:sz w:val="24"/>
          <w:szCs w:val="24"/>
        </w:rPr>
      </w:pPr>
    </w:p>
    <w:p w14:paraId="65DF68AA" w14:textId="77777777" w:rsidR="00211AD5" w:rsidRPr="00145E29" w:rsidRDefault="00211AD5" w:rsidP="00211AD5">
      <w:pPr>
        <w:spacing w:after="0" w:line="240" w:lineRule="auto"/>
        <w:ind w:left="360"/>
        <w:jc w:val="center"/>
        <w:rPr>
          <w:rFonts w:ascii="Times New Roman" w:hAnsi="Times New Roman" w:cs="Times New Roman"/>
          <w:b/>
          <w:bCs/>
          <w:sz w:val="24"/>
          <w:szCs w:val="24"/>
        </w:rPr>
      </w:pPr>
      <w:r w:rsidRPr="00145E29">
        <w:rPr>
          <w:rFonts w:ascii="Times New Roman" w:hAnsi="Times New Roman" w:cs="Times New Roman"/>
          <w:b/>
          <w:bCs/>
          <w:sz w:val="24"/>
          <w:szCs w:val="24"/>
        </w:rPr>
        <w:t>3. Особенности использования дополнительной опции История ТС</w:t>
      </w:r>
    </w:p>
    <w:p w14:paraId="46BF3359"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3.1. История ТС используются посредством направления соответствующего запроса. Запрос должен включать указания на полный номер VIN транспортного средства, пробег транспортного средства и номер страхового полиса ОСАГО или КАСКО в отношении транспортного средства (далее – Запрос). 3.2. Предусмотрены два варианта доступа к Истории ТС: (а) удаленный доступ через интерфейс по адресу ___ или ___, или (б) B2B </w:t>
      </w:r>
      <w:r w:rsidRPr="00145E29">
        <w:rPr>
          <w:rFonts w:ascii="Times New Roman" w:hAnsi="Times New Roman" w:cs="Times New Roman"/>
          <w:sz w:val="24"/>
          <w:szCs w:val="24"/>
        </w:rPr>
        <w:lastRenderedPageBreak/>
        <w:t xml:space="preserve">интеграция Истории ТС во внутреннюю систему Пользователя (по согласованию и в порядке, установленном Правообладателем). </w:t>
      </w:r>
    </w:p>
    <w:p w14:paraId="3021C542"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3.3. При запросе истории расчетов ремонта транспортного средства ответ на Запрос может либо (а) сообщать об отсутствии сведений о расчетах стоимости ремонтов, либо (б) содержать информацию о расчетах стоимости ремонтов транспортного средства, если сведения о ранее произведенных расчетах стоимости ремонтов данного транспортного средства содержатся в Базе данных. </w:t>
      </w:r>
    </w:p>
    <w:p w14:paraId="1A994C58"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3.4. Отсутствие сведений о расчетах стоимости ремонтов означает, что База данных не содержит сведений о расчетах стоимости ремонтов соответствующего транспортного средства, однако не означает, что транспортное средство никогда ранее не подвергалось ремонту в Российской Федерации или в другом государстве. </w:t>
      </w:r>
    </w:p>
    <w:p w14:paraId="06129DDF"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3.5. Информация о расчетах стоимости ремонтов транспортного средства может включать в себя сведения о дате произведенного расчета восстановительного ремонта, общей стоимости ремонта и частях транспортного средства, подвергающихся ремонтным воздействиям согласно расчету, а также может включать другие сведения. Состав и объем предоставляемой в ответ на Запрос информации может время от времени изменяться по усмотрению Правообладателя. </w:t>
      </w:r>
    </w:p>
    <w:p w14:paraId="133F1595"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3.6. Предоставление информации об истории расчетов стоимости ремонтов означает, что с помощью Базы данных ранее производился расчет (расчеты) стоимости ремонта пользователем (пользователями) Базы данных, использующим Базу данных на основании соглашения с Правообладателем, однако не означает, что соответствующие повреждения транспортного средства действительно имели место или соответствующий ремонт был действительно произведен, а также не означает, что транспортное средство не подвергалось в Российской Федерации или в другом государстве иным ремонтам, помимо ремонтов, к которым относятся выявленные расчеты. </w:t>
      </w:r>
    </w:p>
    <w:p w14:paraId="762BB6FD"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3.7. При запросе истории продаж транспортного средства ответ на Запрос может либо (а) сообщать об отсутствии сведений о транспортном средстве в AUTOonline (EASYonline) – находящаяся под операционным и техническим контролем Правообладателя отдельная программная платформа (площадка) для продажи в основном поврежденных или подержанных транспортных средств, либо 15 Конфиденциально (б) содержать информацию о транспортном средстве, если сведения о данном транспортном средстве и соответствующих повреждениях содержатся в AUTOonline. </w:t>
      </w:r>
    </w:p>
    <w:p w14:paraId="0617FB27"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 xml:space="preserve">3.8. Отсутствие сведений о транспортном средстве означает, что AUTOonline не содержит сведений о транспортном средстве, но не означает, что данное транспортное средство действительно не имеет повреждений. </w:t>
      </w:r>
    </w:p>
    <w:p w14:paraId="610AC8BB" w14:textId="77777777" w:rsidR="00211AD5" w:rsidRPr="00145E29" w:rsidRDefault="00211AD5" w:rsidP="00211AD5">
      <w:pPr>
        <w:spacing w:after="0" w:line="240" w:lineRule="auto"/>
        <w:ind w:left="360"/>
        <w:jc w:val="both"/>
        <w:rPr>
          <w:rFonts w:ascii="Times New Roman" w:hAnsi="Times New Roman" w:cs="Times New Roman"/>
          <w:sz w:val="24"/>
          <w:szCs w:val="24"/>
        </w:rPr>
      </w:pPr>
      <w:r w:rsidRPr="00145E29">
        <w:rPr>
          <w:rFonts w:ascii="Times New Roman" w:hAnsi="Times New Roman" w:cs="Times New Roman"/>
          <w:sz w:val="24"/>
          <w:szCs w:val="24"/>
        </w:rPr>
        <w:t>3.9 Информация о транспортном средстве содержит указание на повреждение данного транспортного средства согласно данным AUTOonline, может также предоставляться информация о характере повреждений. Состав и объем предоставляемой информации может время от времени изменяться по усмотрению Правообладателя. Предоставление информации о повреждениях не означает, что транспортное средство действительно имело указанные повреждения и/или не имело (не имеет) других повреждений, помимо указанных.</w:t>
      </w:r>
    </w:p>
    <w:p w14:paraId="75C3854C" w14:textId="77777777" w:rsidR="000652D6" w:rsidRPr="00145E29" w:rsidRDefault="000652D6" w:rsidP="000652D6">
      <w:pPr>
        <w:pStyle w:val="a4"/>
        <w:spacing w:after="0" w:line="240" w:lineRule="auto"/>
        <w:ind w:left="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652D6" w:rsidRPr="002751B9" w14:paraId="28701BA6" w14:textId="77777777" w:rsidTr="000652D6">
        <w:tc>
          <w:tcPr>
            <w:tcW w:w="4955" w:type="dxa"/>
          </w:tcPr>
          <w:p w14:paraId="68DDACDE" w14:textId="77777777" w:rsidR="000652D6" w:rsidRPr="00145E29" w:rsidRDefault="000652D6" w:rsidP="004679B6">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Правообладатель</w:t>
            </w:r>
          </w:p>
        </w:tc>
        <w:tc>
          <w:tcPr>
            <w:tcW w:w="4956" w:type="dxa"/>
          </w:tcPr>
          <w:p w14:paraId="1B3DAF05" w14:textId="77777777" w:rsidR="000652D6" w:rsidRPr="002751B9" w:rsidRDefault="000652D6" w:rsidP="004679B6">
            <w:pPr>
              <w:pStyle w:val="a4"/>
              <w:ind w:left="0"/>
              <w:jc w:val="center"/>
              <w:rPr>
                <w:rFonts w:ascii="Times New Roman" w:hAnsi="Times New Roman" w:cs="Times New Roman"/>
                <w:b/>
                <w:bCs/>
                <w:sz w:val="24"/>
                <w:szCs w:val="24"/>
              </w:rPr>
            </w:pPr>
            <w:r w:rsidRPr="00145E29">
              <w:rPr>
                <w:rFonts w:ascii="Times New Roman" w:hAnsi="Times New Roman" w:cs="Times New Roman"/>
                <w:b/>
                <w:bCs/>
                <w:sz w:val="24"/>
                <w:szCs w:val="24"/>
              </w:rPr>
              <w:t>Пользователь</w:t>
            </w:r>
          </w:p>
        </w:tc>
      </w:tr>
    </w:tbl>
    <w:p w14:paraId="6FE1780F" w14:textId="77777777" w:rsidR="000652D6" w:rsidRPr="002751B9" w:rsidRDefault="000652D6" w:rsidP="00211AD5">
      <w:pPr>
        <w:spacing w:after="0" w:line="240" w:lineRule="auto"/>
        <w:ind w:left="360"/>
        <w:jc w:val="both"/>
        <w:rPr>
          <w:rFonts w:ascii="Times New Roman" w:hAnsi="Times New Roman" w:cs="Times New Roman"/>
          <w:sz w:val="24"/>
          <w:szCs w:val="24"/>
        </w:rPr>
      </w:pPr>
    </w:p>
    <w:sectPr w:rsidR="000652D6" w:rsidRPr="002751B9" w:rsidSect="000A03BA">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73177"/>
    <w:multiLevelType w:val="hybridMultilevel"/>
    <w:tmpl w:val="48D6B81E"/>
    <w:lvl w:ilvl="0" w:tplc="A13870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92ACC"/>
    <w:multiLevelType w:val="hybridMultilevel"/>
    <w:tmpl w:val="4F0AADC6"/>
    <w:lvl w:ilvl="0" w:tplc="5A4A490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AE33B8"/>
    <w:multiLevelType w:val="hybridMultilevel"/>
    <w:tmpl w:val="DE7A9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5368CB"/>
    <w:multiLevelType w:val="hybridMultilevel"/>
    <w:tmpl w:val="155A6212"/>
    <w:lvl w:ilvl="0" w:tplc="5A4A490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8F6084"/>
    <w:multiLevelType w:val="multilevel"/>
    <w:tmpl w:val="61DCC9F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603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5910A2"/>
    <w:multiLevelType w:val="hybridMultilevel"/>
    <w:tmpl w:val="2B5CC57C"/>
    <w:lvl w:ilvl="0" w:tplc="5A4A490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F677EE"/>
    <w:multiLevelType w:val="hybridMultilevel"/>
    <w:tmpl w:val="D6FAD1B6"/>
    <w:lvl w:ilvl="0" w:tplc="F67215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A674AF"/>
    <w:multiLevelType w:val="hybridMultilevel"/>
    <w:tmpl w:val="69E618AA"/>
    <w:lvl w:ilvl="0" w:tplc="5A4A490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30400B"/>
    <w:multiLevelType w:val="hybridMultilevel"/>
    <w:tmpl w:val="29DA1C4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A077CF"/>
    <w:multiLevelType w:val="hybridMultilevel"/>
    <w:tmpl w:val="1748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952306"/>
    <w:multiLevelType w:val="multilevel"/>
    <w:tmpl w:val="AE0EFB56"/>
    <w:lvl w:ilvl="0">
      <w:start w:val="1"/>
      <w:numFmt w:val="bullet"/>
      <w:lvlText w:val="-"/>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B01612"/>
    <w:multiLevelType w:val="hybridMultilevel"/>
    <w:tmpl w:val="DB0283B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1"/>
  </w:num>
  <w:num w:numId="5">
    <w:abstractNumId w:val="1"/>
  </w:num>
  <w:num w:numId="6">
    <w:abstractNumId w:val="7"/>
  </w:num>
  <w:num w:numId="7">
    <w:abstractNumId w:val="8"/>
  </w:num>
  <w:num w:numId="8">
    <w:abstractNumId w:val="6"/>
  </w:num>
  <w:num w:numId="9">
    <w:abstractNumId w:val="0"/>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4C3E"/>
    <w:rsid w:val="00024160"/>
    <w:rsid w:val="000306CC"/>
    <w:rsid w:val="00054C3E"/>
    <w:rsid w:val="0006261B"/>
    <w:rsid w:val="000652D6"/>
    <w:rsid w:val="000A03BA"/>
    <w:rsid w:val="000D2EAD"/>
    <w:rsid w:val="000E567B"/>
    <w:rsid w:val="000F216F"/>
    <w:rsid w:val="00100348"/>
    <w:rsid w:val="00144C69"/>
    <w:rsid w:val="00145E29"/>
    <w:rsid w:val="00211AD5"/>
    <w:rsid w:val="00262535"/>
    <w:rsid w:val="002751B9"/>
    <w:rsid w:val="003D2621"/>
    <w:rsid w:val="00411860"/>
    <w:rsid w:val="004718D0"/>
    <w:rsid w:val="00494ADF"/>
    <w:rsid w:val="00501B53"/>
    <w:rsid w:val="00537F34"/>
    <w:rsid w:val="00580D4D"/>
    <w:rsid w:val="005A0331"/>
    <w:rsid w:val="005B161E"/>
    <w:rsid w:val="005F00BB"/>
    <w:rsid w:val="0066270C"/>
    <w:rsid w:val="00764542"/>
    <w:rsid w:val="00773DFB"/>
    <w:rsid w:val="007C0278"/>
    <w:rsid w:val="007C4EBD"/>
    <w:rsid w:val="007D0C9E"/>
    <w:rsid w:val="008131A3"/>
    <w:rsid w:val="008663CB"/>
    <w:rsid w:val="00896238"/>
    <w:rsid w:val="008A4C47"/>
    <w:rsid w:val="00B30E21"/>
    <w:rsid w:val="00B60DD5"/>
    <w:rsid w:val="00BE4BCE"/>
    <w:rsid w:val="00C87A37"/>
    <w:rsid w:val="00CB1BFA"/>
    <w:rsid w:val="00CE3C6A"/>
    <w:rsid w:val="00D100CE"/>
    <w:rsid w:val="00D9502C"/>
    <w:rsid w:val="00DF6BF9"/>
    <w:rsid w:val="00F7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3D02"/>
  <w15:docId w15:val="{0463ADBD-BB7D-499A-BA03-05A51008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0278"/>
    <w:pPr>
      <w:ind w:left="720"/>
      <w:contextualSpacing/>
    </w:pPr>
  </w:style>
  <w:style w:type="paragraph" w:customStyle="1" w:styleId="ConsPlusNormal">
    <w:name w:val="ConsPlusNormal"/>
    <w:link w:val="ConsPlusNormal0"/>
    <w:qFormat/>
    <w:rsid w:val="002751B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2751B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8990</Words>
  <Characters>51248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KomissarDD</dc:creator>
  <cp:keywords/>
  <dc:description/>
  <cp:lastModifiedBy>KomissarDD</cp:lastModifiedBy>
  <cp:revision>36</cp:revision>
  <dcterms:created xsi:type="dcterms:W3CDTF">2026-06-02T02:13:00Z</dcterms:created>
  <dcterms:modified xsi:type="dcterms:W3CDTF">2026-06-04T02:57:00Z</dcterms:modified>
</cp:coreProperties>
</file>