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784CAA" w:rsidRDefault="008A5A66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8A5A66">
        <w:rPr>
          <w:b/>
          <w:sz w:val="22"/>
          <w:szCs w:val="22"/>
        </w:rPr>
        <w:t xml:space="preserve">Расходные материалы 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</w:t>
      </w:r>
      <w:r w:rsidR="00F63A8B" w:rsidRPr="008310EB">
        <w:rPr>
          <w:b/>
          <w:bCs/>
          <w:color w:val="000000" w:themeColor="text1"/>
          <w:sz w:val="22"/>
          <w:szCs w:val="22"/>
        </w:rPr>
        <w:t>0</w:t>
      </w:r>
      <w:r w:rsidR="00A07BC1" w:rsidRPr="008310EB">
        <w:rPr>
          <w:b/>
          <w:bCs/>
          <w:color w:val="000000" w:themeColor="text1"/>
          <w:sz w:val="22"/>
          <w:szCs w:val="22"/>
        </w:rPr>
        <w:t>53</w:t>
      </w:r>
      <w:r w:rsidR="008310EB" w:rsidRPr="008310EB">
        <w:rPr>
          <w:b/>
          <w:bCs/>
          <w:color w:val="000000" w:themeColor="text1"/>
          <w:sz w:val="22"/>
          <w:szCs w:val="22"/>
        </w:rPr>
        <w:t>2201724</w:t>
      </w:r>
      <w:r w:rsidR="0062333C" w:rsidRPr="008310EB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8A5A66">
        <w:rPr>
          <w:sz w:val="22"/>
          <w:szCs w:val="22"/>
        </w:rPr>
        <w:t>р</w:t>
      </w:r>
      <w:r w:rsidR="008A5A66" w:rsidRPr="008A5A66">
        <w:rPr>
          <w:sz w:val="22"/>
          <w:szCs w:val="22"/>
        </w:rPr>
        <w:t>асходные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D75F66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D75F66">
        <w:rPr>
          <w:bCs/>
          <w:sz w:val="22"/>
          <w:szCs w:val="22"/>
        </w:rPr>
        <w:t>пя</w:t>
      </w:r>
      <w:r w:rsidR="00E0650F">
        <w:rPr>
          <w:bCs/>
          <w:sz w:val="22"/>
          <w:szCs w:val="22"/>
        </w:rPr>
        <w:t>ти</w:t>
      </w:r>
      <w:r w:rsidR="00F63AC4">
        <w:rPr>
          <w:bCs/>
          <w:sz w:val="22"/>
          <w:szCs w:val="22"/>
        </w:rPr>
        <w:t xml:space="preserve">) </w:t>
      </w:r>
      <w:r w:rsidR="000859BE">
        <w:rPr>
          <w:bCs/>
          <w:sz w:val="22"/>
          <w:szCs w:val="22"/>
        </w:rPr>
        <w:t xml:space="preserve">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>142402 Московская обл., Богородский г.о, д. Жилино, ул. Строителей, ФГКУ «Ногинский спасательный центр МЧС России», КПП №4, автотранспортом Поставщика</w:t>
      </w:r>
      <w:r w:rsidR="00D5048F" w:rsidRPr="00D5048F">
        <w:rPr>
          <w:b/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834"/>
        <w:gridCol w:w="1734"/>
        <w:gridCol w:w="2235"/>
        <w:gridCol w:w="1947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>: в соответствии с действующим законодательством РФ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4" w:name="_Hlk198541964"/>
    </w:p>
    <w:p w:rsidR="00D75F66" w:rsidRDefault="00D75F66" w:rsidP="00F9404C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09"/>
        <w:gridCol w:w="709"/>
        <w:gridCol w:w="567"/>
        <w:gridCol w:w="1847"/>
        <w:gridCol w:w="3119"/>
        <w:gridCol w:w="1984"/>
      </w:tblGrid>
      <w:tr w:rsidR="005C07A6" w:rsidRPr="00D75F66" w:rsidTr="005C07A6">
        <w:tc>
          <w:tcPr>
            <w:tcW w:w="1697" w:type="dxa"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Предмет контракта</w:t>
            </w:r>
          </w:p>
        </w:tc>
        <w:tc>
          <w:tcPr>
            <w:tcW w:w="709" w:type="dxa"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№</w:t>
            </w:r>
          </w:p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п/п</w:t>
            </w:r>
          </w:p>
        </w:tc>
        <w:tc>
          <w:tcPr>
            <w:tcW w:w="709" w:type="dxa"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кол-во</w:t>
            </w:r>
          </w:p>
        </w:tc>
        <w:tc>
          <w:tcPr>
            <w:tcW w:w="567" w:type="dxa"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Ед. изм.</w:t>
            </w:r>
          </w:p>
        </w:tc>
        <w:tc>
          <w:tcPr>
            <w:tcW w:w="1847" w:type="dxa"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Наименование характеристик товара</w:t>
            </w: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 xml:space="preserve">Требования к значению показателя </w:t>
            </w:r>
          </w:p>
        </w:tc>
      </w:tr>
      <w:tr w:rsidR="005C07A6" w:rsidRPr="00D75F66" w:rsidTr="005C07A6">
        <w:trPr>
          <w:trHeight w:val="451"/>
        </w:trPr>
        <w:tc>
          <w:tcPr>
            <w:tcW w:w="1697" w:type="dxa"/>
            <w:vMerge w:val="restart"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Расходные материалы</w:t>
            </w:r>
          </w:p>
        </w:tc>
        <w:tc>
          <w:tcPr>
            <w:tcW w:w="709" w:type="dxa"/>
            <w:vMerge w:val="restart"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м2</w:t>
            </w:r>
          </w:p>
        </w:tc>
        <w:tc>
          <w:tcPr>
            <w:tcW w:w="1847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Обои под покраску</w:t>
            </w: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Длина полотна (номинальная), м.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≥ 25  и  &lt; 30</w:t>
            </w:r>
          </w:p>
        </w:tc>
      </w:tr>
      <w:tr w:rsidR="005C07A6" w:rsidRPr="00D75F66" w:rsidTr="005C07A6">
        <w:trPr>
          <w:trHeight w:val="302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Ширина полотна (полезная), м.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≥ 1  и  &lt; 1,5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Основа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75F66">
              <w:rPr>
                <w:sz w:val="24"/>
                <w:szCs w:val="24"/>
                <w:shd w:val="clear" w:color="auto" w:fill="FFFFFF"/>
              </w:rPr>
              <w:t>Флизелиновая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кг</w:t>
            </w:r>
          </w:p>
        </w:tc>
        <w:tc>
          <w:tcPr>
            <w:tcW w:w="1847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Клей для флизелиновых обоев</w:t>
            </w: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Вид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Обойный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Форма выпуска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Порошок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350</w:t>
            </w:r>
          </w:p>
        </w:tc>
        <w:tc>
          <w:tcPr>
            <w:tcW w:w="567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шт</w:t>
            </w:r>
          </w:p>
        </w:tc>
        <w:tc>
          <w:tcPr>
            <w:tcW w:w="1847" w:type="dxa"/>
            <w:vMerge w:val="restart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Плитка потолочная</w:t>
            </w: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Материал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Минеральное волокно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Длина, мм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600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Ширина, мм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600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Толщина, мм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не менее 10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Цвет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Белый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Фактура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Байкал</w:t>
            </w:r>
          </w:p>
        </w:tc>
      </w:tr>
      <w:tr w:rsidR="005C07A6" w:rsidRPr="00D75F66" w:rsidTr="005C07A6">
        <w:trPr>
          <w:trHeight w:val="64"/>
        </w:trPr>
        <w:tc>
          <w:tcPr>
            <w:tcW w:w="1697" w:type="dxa"/>
            <w:vMerge/>
            <w:vAlign w:val="center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502"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75F66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984" w:type="dxa"/>
          </w:tcPr>
          <w:p w:rsidR="005C07A6" w:rsidRPr="00D75F66" w:rsidRDefault="005C07A6" w:rsidP="00D75F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bookmarkEnd w:id="4"/>
    <w:p w:rsidR="005C07A6" w:rsidRPr="00500E28" w:rsidRDefault="005C07A6" w:rsidP="008310EB">
      <w:pPr>
        <w:widowControl/>
        <w:autoSpaceDE/>
        <w:autoSpaceDN/>
        <w:adjustRightInd/>
        <w:spacing w:line="276" w:lineRule="auto"/>
        <w:ind w:left="-426" w:firstLine="426"/>
        <w:jc w:val="both"/>
      </w:pPr>
      <w:r w:rsidRPr="00500E28"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8310EB" w:rsidRPr="005C07A6" w:rsidRDefault="008310EB" w:rsidP="008310EB">
      <w:pPr>
        <w:widowControl/>
        <w:autoSpaceDE/>
        <w:autoSpaceDN/>
        <w:adjustRightInd/>
        <w:spacing w:line="276" w:lineRule="auto"/>
        <w:ind w:left="-426" w:firstLine="426"/>
        <w:jc w:val="both"/>
        <w:rPr>
          <w:b/>
        </w:rPr>
      </w:pPr>
      <w:r w:rsidRPr="008310EB">
        <w:rPr>
          <w:b/>
        </w:rPr>
        <w:t>Обоснование невозможности соблюдения запрета: В соответствии с пп. «и» п.5 Постановления Правительства РФ от 23.12.2024 года № 1875.</w:t>
      </w:r>
    </w:p>
    <w:p w:rsidR="00F9404C" w:rsidRPr="00F9404C" w:rsidRDefault="00F9404C" w:rsidP="008310EB">
      <w:pPr>
        <w:widowControl/>
        <w:autoSpaceDE/>
        <w:autoSpaceDN/>
        <w:adjustRightInd/>
        <w:spacing w:line="276" w:lineRule="auto"/>
        <w:ind w:left="-426" w:firstLine="426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  м.п.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8310EB">
          <w:footerReference w:type="default" r:id="rId9"/>
          <w:type w:val="continuous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500E28">
      <w:pPr>
        <w:rPr>
          <w:bCs/>
          <w:sz w:val="22"/>
          <w:szCs w:val="22"/>
        </w:rPr>
      </w:pPr>
    </w:p>
    <w:p w:rsidR="00500E28" w:rsidRDefault="00500E28" w:rsidP="00500E28">
      <w:pPr>
        <w:rPr>
          <w:bCs/>
          <w:sz w:val="22"/>
          <w:szCs w:val="22"/>
        </w:rPr>
      </w:pPr>
      <w:bookmarkStart w:id="5" w:name="_GoBack"/>
      <w:bookmarkEnd w:id="5"/>
    </w:p>
    <w:p w:rsidR="008A5A66" w:rsidRDefault="008A5A66" w:rsidP="005C07A6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5C07A6" w:rsidRDefault="005C07A6" w:rsidP="00A13760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3260"/>
        <w:gridCol w:w="709"/>
        <w:gridCol w:w="709"/>
        <w:gridCol w:w="1559"/>
        <w:gridCol w:w="1559"/>
      </w:tblGrid>
      <w:tr w:rsidR="005C07A6" w:rsidRPr="005C07A6" w:rsidTr="005C07A6">
        <w:tc>
          <w:tcPr>
            <w:tcW w:w="2127" w:type="dxa"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C07A6">
              <w:rPr>
                <w:b/>
              </w:rPr>
              <w:t>Предмет контракта</w:t>
            </w:r>
          </w:p>
        </w:tc>
        <w:tc>
          <w:tcPr>
            <w:tcW w:w="709" w:type="dxa"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C07A6">
              <w:rPr>
                <w:b/>
              </w:rPr>
              <w:t>№</w:t>
            </w:r>
          </w:p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C07A6">
              <w:rPr>
                <w:b/>
              </w:rPr>
              <w:t>п/п</w:t>
            </w:r>
          </w:p>
        </w:tc>
        <w:tc>
          <w:tcPr>
            <w:tcW w:w="3260" w:type="dxa"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C07A6">
              <w:rPr>
                <w:b/>
              </w:rPr>
              <w:t xml:space="preserve">Наименование </w:t>
            </w:r>
            <w:r>
              <w:rPr>
                <w:b/>
              </w:rPr>
              <w:t>Т</w:t>
            </w:r>
            <w:r w:rsidRPr="005C07A6">
              <w:rPr>
                <w:b/>
              </w:rPr>
              <w:t>овара</w:t>
            </w:r>
          </w:p>
        </w:tc>
        <w:tc>
          <w:tcPr>
            <w:tcW w:w="709" w:type="dxa"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C07A6">
              <w:rPr>
                <w:b/>
              </w:rPr>
              <w:t>ол-во</w:t>
            </w:r>
          </w:p>
        </w:tc>
        <w:tc>
          <w:tcPr>
            <w:tcW w:w="709" w:type="dxa"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C07A6">
              <w:rPr>
                <w:b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/>
                <w:bCs/>
              </w:rPr>
            </w:pPr>
            <w:r w:rsidRPr="005C07A6">
              <w:rPr>
                <w:b/>
                <w:bCs/>
              </w:rPr>
              <w:t>Цена за ед. изм.</w:t>
            </w:r>
          </w:p>
          <w:p w:rsidR="005C07A6" w:rsidRPr="005C07A6" w:rsidRDefault="005C07A6" w:rsidP="005C07A6">
            <w:pPr>
              <w:jc w:val="center"/>
              <w:rPr>
                <w:b/>
                <w:bCs/>
              </w:rPr>
            </w:pPr>
            <w:r w:rsidRPr="005C07A6">
              <w:rPr>
                <w:b/>
                <w:bCs/>
              </w:rPr>
              <w:t>с НДС (руб.)</w:t>
            </w: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/>
                <w:bCs/>
              </w:rPr>
            </w:pPr>
            <w:r w:rsidRPr="005C07A6">
              <w:rPr>
                <w:b/>
                <w:bCs/>
              </w:rPr>
              <w:t xml:space="preserve">Всего </w:t>
            </w:r>
          </w:p>
          <w:p w:rsidR="005C07A6" w:rsidRPr="005C07A6" w:rsidRDefault="005C07A6" w:rsidP="005C07A6">
            <w:pPr>
              <w:jc w:val="center"/>
              <w:rPr>
                <w:b/>
                <w:bCs/>
              </w:rPr>
            </w:pPr>
            <w:r w:rsidRPr="005C07A6">
              <w:rPr>
                <w:b/>
                <w:bCs/>
              </w:rPr>
              <w:t>с НДС (руб.)</w:t>
            </w:r>
          </w:p>
        </w:tc>
      </w:tr>
      <w:tr w:rsidR="005C07A6" w:rsidRPr="005C07A6" w:rsidTr="005C07A6">
        <w:trPr>
          <w:trHeight w:val="200"/>
        </w:trPr>
        <w:tc>
          <w:tcPr>
            <w:tcW w:w="2127" w:type="dxa"/>
            <w:vMerge w:val="restart"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5C07A6">
              <w:t>Расходные материалы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pStyle w:val="ab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both"/>
            </w:pPr>
          </w:p>
        </w:tc>
        <w:tc>
          <w:tcPr>
            <w:tcW w:w="3260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</w:pPr>
            <w:r w:rsidRPr="005C07A6">
              <w:t>Обои под покраску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</w:pPr>
            <w:r w:rsidRPr="005C07A6">
              <w:t>500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</w:pPr>
            <w:r w:rsidRPr="005C07A6">
              <w:t>м2</w:t>
            </w: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Cs/>
              </w:rPr>
            </w:pPr>
          </w:p>
        </w:tc>
      </w:tr>
      <w:tr w:rsidR="005C07A6" w:rsidRPr="005C07A6" w:rsidTr="005C07A6">
        <w:trPr>
          <w:trHeight w:val="406"/>
        </w:trPr>
        <w:tc>
          <w:tcPr>
            <w:tcW w:w="2127" w:type="dxa"/>
            <w:vMerge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709" w:type="dxa"/>
          </w:tcPr>
          <w:p w:rsidR="005C07A6" w:rsidRPr="005C07A6" w:rsidRDefault="005C07A6" w:rsidP="005C07A6">
            <w:pPr>
              <w:pStyle w:val="ab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both"/>
            </w:pPr>
          </w:p>
        </w:tc>
        <w:tc>
          <w:tcPr>
            <w:tcW w:w="3260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</w:pPr>
            <w:r w:rsidRPr="005C07A6">
              <w:t>Клей для флизелиновых обоев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</w:pPr>
            <w:r w:rsidRPr="005C07A6">
              <w:t>7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</w:pPr>
            <w:r w:rsidRPr="005C07A6">
              <w:t>кг</w:t>
            </w: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Cs/>
              </w:rPr>
            </w:pPr>
          </w:p>
        </w:tc>
      </w:tr>
      <w:tr w:rsidR="005C07A6" w:rsidRPr="005C07A6" w:rsidTr="00500E28">
        <w:trPr>
          <w:trHeight w:val="267"/>
        </w:trPr>
        <w:tc>
          <w:tcPr>
            <w:tcW w:w="2127" w:type="dxa"/>
            <w:vMerge/>
            <w:vAlign w:val="center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709" w:type="dxa"/>
          </w:tcPr>
          <w:p w:rsidR="005C07A6" w:rsidRPr="005C07A6" w:rsidRDefault="005C07A6" w:rsidP="005C07A6">
            <w:pPr>
              <w:pStyle w:val="ab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both"/>
            </w:pPr>
          </w:p>
        </w:tc>
        <w:tc>
          <w:tcPr>
            <w:tcW w:w="3260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</w:pPr>
            <w:r w:rsidRPr="005C07A6">
              <w:t>Плитка потолочная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</w:pPr>
            <w:r w:rsidRPr="005C07A6">
              <w:t>350</w:t>
            </w:r>
          </w:p>
        </w:tc>
        <w:tc>
          <w:tcPr>
            <w:tcW w:w="709" w:type="dxa"/>
          </w:tcPr>
          <w:p w:rsidR="005C07A6" w:rsidRPr="005C07A6" w:rsidRDefault="005C07A6" w:rsidP="005C07A6">
            <w:pPr>
              <w:widowControl/>
              <w:autoSpaceDE/>
              <w:autoSpaceDN/>
              <w:adjustRightInd/>
              <w:jc w:val="center"/>
            </w:pPr>
            <w:r w:rsidRPr="005C07A6">
              <w:t>шт</w:t>
            </w: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5C07A6" w:rsidRPr="005C07A6" w:rsidRDefault="005C07A6" w:rsidP="005C07A6">
            <w:pPr>
              <w:jc w:val="center"/>
              <w:rPr>
                <w:bCs/>
              </w:rPr>
            </w:pPr>
          </w:p>
        </w:tc>
      </w:tr>
    </w:tbl>
    <w:p w:rsidR="005C07A6" w:rsidRPr="00A13760" w:rsidRDefault="005C07A6" w:rsidP="005C07A6">
      <w:pPr>
        <w:rPr>
          <w:b/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A50097">
        <w:rPr>
          <w:bCs/>
          <w:sz w:val="22"/>
          <w:szCs w:val="22"/>
        </w:rPr>
        <w:t>________</w:t>
      </w:r>
      <w:r w:rsidR="00A50097" w:rsidRPr="00AE0F5D">
        <w:rPr>
          <w:bCs/>
          <w:sz w:val="22"/>
          <w:szCs w:val="22"/>
        </w:rPr>
        <w:t xml:space="preserve"> 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6D64AE" w:rsidRDefault="006D64AE" w:rsidP="006E7AFC">
      <w:pPr>
        <w:rPr>
          <w:bCs/>
          <w:sz w:val="22"/>
          <w:szCs w:val="22"/>
        </w:rPr>
      </w:pPr>
    </w:p>
    <w:p w:rsidR="006D64AE" w:rsidRDefault="006D64A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66" w:rsidRDefault="00D75F66" w:rsidP="003A1257">
      <w:r>
        <w:separator/>
      </w:r>
    </w:p>
  </w:endnote>
  <w:endnote w:type="continuationSeparator" w:id="0">
    <w:p w:rsidR="00D75F66" w:rsidRDefault="00D75F66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66" w:rsidRDefault="00D75F66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500E28">
      <w:rPr>
        <w:rFonts w:ascii="Liberation Serif" w:hAnsi="Liberation Serif"/>
        <w:noProof/>
      </w:rPr>
      <w:t>10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66" w:rsidRDefault="00D75F66" w:rsidP="003A1257">
      <w:r>
        <w:separator/>
      </w:r>
    </w:p>
  </w:footnote>
  <w:footnote w:type="continuationSeparator" w:id="0">
    <w:p w:rsidR="00D75F66" w:rsidRDefault="00D75F66" w:rsidP="003A1257">
      <w:r>
        <w:continuationSeparator/>
      </w:r>
    </w:p>
  </w:footnote>
  <w:footnote w:id="1">
    <w:p w:rsidR="00D75F66" w:rsidRDefault="00D75F66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D75F66" w:rsidRDefault="00D75F66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D75F66" w:rsidRDefault="00D75F66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B6033"/>
    <w:multiLevelType w:val="hybridMultilevel"/>
    <w:tmpl w:val="794A9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3565A7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40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9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3"/>
  </w:num>
  <w:num w:numId="40">
    <w:abstractNumId w:val="41"/>
  </w:num>
  <w:num w:numId="41">
    <w:abstractNumId w:val="38"/>
  </w:num>
  <w:num w:numId="42">
    <w:abstractNumId w:val="7"/>
  </w:num>
  <w:num w:numId="43">
    <w:abstractNumId w:val="42"/>
  </w:num>
  <w:num w:numId="44">
    <w:abstractNumId w:val="29"/>
  </w:num>
  <w:num w:numId="45">
    <w:abstractNumId w:val="3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00E28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C07A6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10EB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5F66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53B3"/>
    <w:rsid w:val="00F95818"/>
    <w:rsid w:val="00FA58C7"/>
    <w:rsid w:val="00FB6438"/>
    <w:rsid w:val="00FB7DB4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AEB0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4390F-A92D-4992-83C7-2D36E6E4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15</Pages>
  <Words>5311</Words>
  <Characters>42427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169</cp:revision>
  <cp:lastPrinted>2018-10-24T12:25:00Z</cp:lastPrinted>
  <dcterms:created xsi:type="dcterms:W3CDTF">2024-03-06T07:03:00Z</dcterms:created>
  <dcterms:modified xsi:type="dcterms:W3CDTF">2026-06-15T07:24:00Z</dcterms:modified>
</cp:coreProperties>
</file>