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A9" w:rsidRDefault="003440A9" w:rsidP="003440A9">
      <w:pPr>
        <w:widowControl w:val="0"/>
        <w:jc w:val="center"/>
        <w:rPr>
          <w:b/>
        </w:rPr>
      </w:pPr>
      <w:r>
        <w:rPr>
          <w:b/>
        </w:rPr>
        <w:t>Описание объекта закупки</w:t>
      </w:r>
    </w:p>
    <w:p w:rsidR="003440A9" w:rsidRDefault="003440A9" w:rsidP="003440A9">
      <w:pPr>
        <w:widowControl w:val="0"/>
        <w:jc w:val="center"/>
        <w:rPr>
          <w:b/>
        </w:rPr>
      </w:pPr>
      <w:r>
        <w:rPr>
          <w:b/>
        </w:rPr>
        <w:t>Поставка государственных знаков почтовой оплаты (почтовые марки)</w:t>
      </w:r>
    </w:p>
    <w:p w:rsidR="003440A9" w:rsidRDefault="003440A9" w:rsidP="003440A9">
      <w:pPr>
        <w:widowControl w:val="0"/>
        <w:jc w:val="right"/>
      </w:pPr>
    </w:p>
    <w:p w:rsidR="003440A9" w:rsidRDefault="003440A9" w:rsidP="003440A9">
      <w:pPr>
        <w:tabs>
          <w:tab w:val="left" w:pos="284"/>
        </w:tabs>
        <w:jc w:val="both"/>
        <w:rPr>
          <w:b/>
          <w:highlight w:val="white"/>
        </w:rPr>
      </w:pPr>
      <w:r>
        <w:rPr>
          <w:b/>
          <w:highlight w:val="white"/>
        </w:rPr>
        <w:t>Описание объекта закупки:</w:t>
      </w:r>
    </w:p>
    <w:p w:rsidR="003440A9" w:rsidRDefault="003440A9" w:rsidP="003440A9">
      <w:pPr>
        <w:jc w:val="both"/>
        <w:rPr>
          <w:b/>
          <w:sz w:val="24"/>
          <w:highlight w:val="white"/>
        </w:rPr>
      </w:pPr>
    </w:p>
    <w:p w:rsidR="003440A9" w:rsidRDefault="003440A9" w:rsidP="003440A9">
      <w:pPr>
        <w:jc w:val="both"/>
        <w:rPr>
          <w:b/>
        </w:rPr>
      </w:pPr>
      <w:r>
        <w:rPr>
          <w:b/>
        </w:rPr>
        <w:t>Марка почтовая.</w:t>
      </w:r>
    </w:p>
    <w:p w:rsidR="003440A9" w:rsidRDefault="003440A9" w:rsidP="003440A9">
      <w:pPr>
        <w:jc w:val="both"/>
        <w:rPr>
          <w:b/>
        </w:rPr>
      </w:pPr>
      <w:r>
        <w:rPr>
          <w:b/>
        </w:rPr>
        <w:t>ОКПД2/КТРУ: 58.19.14.110/58.19.14.110-00000001.</w:t>
      </w:r>
    </w:p>
    <w:p w:rsidR="003440A9" w:rsidRDefault="003440A9" w:rsidP="003440A9">
      <w:pPr>
        <w:jc w:val="both"/>
        <w:rPr>
          <w:b/>
          <w:sz w:val="24"/>
        </w:rPr>
      </w:pPr>
    </w:p>
    <w:p w:rsidR="003440A9" w:rsidRDefault="003440A9" w:rsidP="003440A9">
      <w:pPr>
        <w:jc w:val="both"/>
        <w:rPr>
          <w:b/>
        </w:rPr>
      </w:pPr>
      <w:r>
        <w:rPr>
          <w:b/>
        </w:rPr>
        <w:t>Общие технические требования.</w:t>
      </w:r>
    </w:p>
    <w:p w:rsidR="003440A9" w:rsidRDefault="003440A9" w:rsidP="003440A9">
      <w:pPr>
        <w:ind w:firstLine="567"/>
        <w:jc w:val="both"/>
      </w:pPr>
      <w:r>
        <w:t xml:space="preserve">В силу ст. 2 Федерального закона от 17.07.1999 № 176-ФЗ «О почтовой связи»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 </w:t>
      </w:r>
    </w:p>
    <w:p w:rsidR="003440A9" w:rsidRDefault="003440A9" w:rsidP="003440A9">
      <w:pPr>
        <w:ind w:firstLine="567"/>
        <w:jc w:val="both"/>
      </w:pPr>
      <w:r>
        <w:t>Номиналы</w:t>
      </w:r>
      <w:bookmarkStart w:id="0" w:name="_GoBack"/>
      <w:bookmarkEnd w:id="0"/>
      <w:r>
        <w:t xml:space="preserve"> государственных знаков почтовой оплаты соответствуют тарифам на услуги почтовой связи, действующим на территории Российской Федерации - п. 3.2. раздела I «Положения о знаках почтовой оплаты и специальных почтовых штемпелях Российской Федерации» (утв. приказом Минсвязи РФ от 26.05.1994 № 115). </w:t>
      </w:r>
    </w:p>
    <w:p w:rsidR="003440A9" w:rsidRDefault="003440A9" w:rsidP="003440A9">
      <w:pPr>
        <w:ind w:firstLine="567"/>
        <w:jc w:val="both"/>
      </w:pPr>
      <w:r>
        <w:t xml:space="preserve">В соответствии с Приказом </w:t>
      </w:r>
      <w:proofErr w:type="spellStart"/>
      <w:r>
        <w:t>Минкомсвязи</w:t>
      </w:r>
      <w:proofErr w:type="spellEnd"/>
      <w:r>
        <w:t xml:space="preserve"> России от 31.07.2014 № 234 "Об утверждении Правил оказания услуг почтовой связи" государственные знаки почтовой оплаты должны быть новые, не использованные, не изъятые из почтового обращения, не испорченные: не загрязненные, не поврежденные, не заклеенные, не погашенные каким-либо способом; не являться иностранными почтовыми марками; </w:t>
      </w:r>
      <w:r>
        <w:rPr>
          <w:b/>
        </w:rPr>
        <w:t xml:space="preserve">имеют </w:t>
      </w:r>
      <w:proofErr w:type="spellStart"/>
      <w:r>
        <w:rPr>
          <w:b/>
        </w:rPr>
        <w:t>самоклеющуюся</w:t>
      </w:r>
      <w:proofErr w:type="spellEnd"/>
      <w:r>
        <w:rPr>
          <w:b/>
        </w:rPr>
        <w:t xml:space="preserve"> основу</w:t>
      </w:r>
      <w:r>
        <w:t>, готовы к эксплуатации.</w:t>
      </w:r>
    </w:p>
    <w:p w:rsidR="003440A9" w:rsidRDefault="003440A9" w:rsidP="003440A9">
      <w:pPr>
        <w:ind w:firstLine="567"/>
        <w:jc w:val="both"/>
      </w:pPr>
      <w:r>
        <w:t xml:space="preserve">Государственные знаки почтовой оплаты </w:t>
      </w:r>
      <w:r>
        <w:rPr>
          <w:b/>
        </w:rPr>
        <w:t>негашеные</w:t>
      </w:r>
      <w:r>
        <w:t xml:space="preserve"> неподдельные, соответствуют требованиям действующего законодательства, предъявляемого к данному виду продукции, отвечают требованиям качества безопасности жизни и здоровья, санитарным нормам и правилам.</w:t>
      </w:r>
    </w:p>
    <w:p w:rsidR="003440A9" w:rsidRDefault="003440A9" w:rsidP="003440A9">
      <w:pPr>
        <w:ind w:firstLine="567"/>
        <w:jc w:val="both"/>
      </w:pPr>
      <w:r>
        <w:t>Поставляемые государственные знаки почтовой оплаты должны быть отпечатаны предприятиями Государственного производственного объединения государственных знаков Министерства финансов Российской Федерации (Гознак).</w:t>
      </w:r>
    </w:p>
    <w:p w:rsidR="003440A9" w:rsidRDefault="003440A9" w:rsidP="003440A9">
      <w:pPr>
        <w:ind w:firstLine="567"/>
        <w:jc w:val="both"/>
      </w:pPr>
      <w:r>
        <w:t xml:space="preserve">Вид почтовой марки – </w:t>
      </w:r>
      <w:r>
        <w:rPr>
          <w:b/>
          <w:color w:val="000000" w:themeColor="text1"/>
        </w:rPr>
        <w:t>стандартная.</w:t>
      </w:r>
    </w:p>
    <w:p w:rsidR="003440A9" w:rsidRDefault="003440A9" w:rsidP="003440A9">
      <w:pPr>
        <w:ind w:firstLine="567"/>
        <w:jc w:val="both"/>
      </w:pPr>
    </w:p>
    <w:p w:rsidR="003440A9" w:rsidRDefault="003440A9" w:rsidP="003440A9">
      <w:pPr>
        <w:jc w:val="both"/>
        <w:rPr>
          <w:b/>
        </w:rPr>
      </w:pPr>
      <w:r>
        <w:rPr>
          <w:b/>
        </w:rPr>
        <w:t>Наименование и количество:</w:t>
      </w:r>
    </w:p>
    <w:p w:rsidR="003440A9" w:rsidRDefault="003440A9" w:rsidP="003440A9">
      <w:pPr>
        <w:jc w:val="both"/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5105"/>
        <w:gridCol w:w="1701"/>
        <w:gridCol w:w="995"/>
        <w:gridCol w:w="1588"/>
      </w:tblGrid>
      <w:tr w:rsidR="003440A9" w:rsidTr="003440A9">
        <w:trPr>
          <w:trHeight w:val="5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r>
              <w:t>№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r>
              <w:t>Наименование предмета договора / Объект закупки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r>
              <w:t>Номинал марки, руб.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r>
              <w:t>Ед. изм.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r>
              <w:t>Кол-во</w:t>
            </w:r>
          </w:p>
        </w:tc>
      </w:tr>
      <w:tr w:rsidR="003440A9" w:rsidTr="003440A9">
        <w:trPr>
          <w:trHeight w:val="403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1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r>
              <w:t>Марка почтовая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2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575</w:t>
            </w:r>
          </w:p>
        </w:tc>
      </w:tr>
      <w:tr w:rsidR="003440A9" w:rsidTr="003440A9">
        <w:trPr>
          <w:trHeight w:val="423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2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r>
              <w:t>Марка почтовая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2,5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300</w:t>
            </w:r>
          </w:p>
        </w:tc>
      </w:tr>
      <w:tr w:rsidR="003440A9" w:rsidTr="003440A9">
        <w:trPr>
          <w:trHeight w:val="39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3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r>
              <w:t>Марка почтовая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3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800</w:t>
            </w:r>
          </w:p>
        </w:tc>
      </w:tr>
      <w:tr w:rsidR="003440A9" w:rsidTr="003440A9">
        <w:trPr>
          <w:trHeight w:val="43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4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r>
              <w:t>Марка почтовая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5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220</w:t>
            </w:r>
          </w:p>
        </w:tc>
      </w:tr>
      <w:tr w:rsidR="003440A9" w:rsidTr="003440A9">
        <w:trPr>
          <w:trHeight w:val="398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5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r w:rsidRPr="00122759">
              <w:t>Марка почтовая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25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proofErr w:type="spellStart"/>
            <w:r w:rsidRPr="00DB586F">
              <w:t>шт</w:t>
            </w:r>
            <w:proofErr w:type="spellEnd"/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200</w:t>
            </w:r>
          </w:p>
        </w:tc>
      </w:tr>
      <w:tr w:rsidR="003440A9" w:rsidTr="003440A9">
        <w:trPr>
          <w:trHeight w:val="398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6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r w:rsidRPr="00122759">
              <w:t>Марка почтовая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50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proofErr w:type="spellStart"/>
            <w:r w:rsidRPr="00DB586F">
              <w:t>шт</w:t>
            </w:r>
            <w:proofErr w:type="spellEnd"/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300</w:t>
            </w:r>
          </w:p>
        </w:tc>
      </w:tr>
      <w:tr w:rsidR="003440A9" w:rsidTr="003440A9">
        <w:trPr>
          <w:trHeight w:val="398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7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r w:rsidRPr="00122759">
              <w:t>Марка почтовая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76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0A9" w:rsidRDefault="003440A9" w:rsidP="00027674">
            <w:pPr>
              <w:jc w:val="center"/>
            </w:pPr>
            <w:proofErr w:type="spellStart"/>
            <w:r w:rsidRPr="00DB586F">
              <w:t>шт</w:t>
            </w:r>
            <w:proofErr w:type="spellEnd"/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0A9" w:rsidRDefault="003440A9" w:rsidP="00027674">
            <w:pPr>
              <w:jc w:val="center"/>
            </w:pPr>
            <w:r>
              <w:t>100</w:t>
            </w:r>
          </w:p>
        </w:tc>
      </w:tr>
    </w:tbl>
    <w:p w:rsidR="003440A9" w:rsidRDefault="003440A9" w:rsidP="003440A9">
      <w:pPr>
        <w:jc w:val="both"/>
        <w:rPr>
          <w:b/>
          <w:sz w:val="24"/>
        </w:rPr>
      </w:pPr>
    </w:p>
    <w:p w:rsidR="003440A9" w:rsidRDefault="003440A9" w:rsidP="003440A9">
      <w:pPr>
        <w:jc w:val="both"/>
        <w:rPr>
          <w:b/>
        </w:rPr>
      </w:pPr>
      <w:r>
        <w:rPr>
          <w:b/>
        </w:rPr>
        <w:t>Требования к поставке товара:</w:t>
      </w:r>
    </w:p>
    <w:p w:rsidR="003440A9" w:rsidRDefault="003440A9" w:rsidP="003440A9">
      <w:pPr>
        <w:ind w:firstLine="567"/>
        <w:jc w:val="both"/>
      </w:pPr>
      <w:r>
        <w:rPr>
          <w:color w:val="1A171B"/>
        </w:rPr>
        <w:t xml:space="preserve">Поставка товара осуществляется силами Поставщика. Поставка товара в упаковке, обеспечивающей ее сохранность при транспортировке и хранении, с наличием соответствующих законодательству маркировок и аннотаций на русском языке. </w:t>
      </w:r>
      <w:r>
        <w:t xml:space="preserve">Упаковка исключает механические повреждения, загрязнения, проникновение влаги, обеспечивать сохранение качества, потребительских свойств и безопасности. </w:t>
      </w:r>
    </w:p>
    <w:p w:rsidR="003440A9" w:rsidRDefault="003440A9" w:rsidP="003440A9"/>
    <w:p w:rsidR="003440A9" w:rsidRDefault="003440A9" w:rsidP="003440A9">
      <w:pPr>
        <w:snapToGrid w:val="0"/>
        <w:jc w:val="both"/>
        <w:rPr>
          <w:bCs/>
          <w:sz w:val="22"/>
          <w:szCs w:val="22"/>
        </w:rPr>
      </w:pPr>
      <w:r>
        <w:rPr>
          <w:b/>
        </w:rPr>
        <w:t>Поставка Товара по адресу</w:t>
      </w:r>
      <w:r>
        <w:t xml:space="preserve">: </w:t>
      </w:r>
      <w:r>
        <w:rPr>
          <w:bCs/>
          <w:sz w:val="22"/>
          <w:szCs w:val="22"/>
        </w:rPr>
        <w:t>142432</w:t>
      </w:r>
      <w:r w:rsidRPr="00BF1C92">
        <w:rPr>
          <w:bCs/>
          <w:sz w:val="22"/>
          <w:szCs w:val="22"/>
        </w:rPr>
        <w:t xml:space="preserve">, Московская обл., г. Черноголовка, улица Академика </w:t>
      </w:r>
      <w:proofErr w:type="spellStart"/>
      <w:r w:rsidRPr="00BF1C92">
        <w:rPr>
          <w:bCs/>
          <w:sz w:val="22"/>
          <w:szCs w:val="22"/>
        </w:rPr>
        <w:t>Осипьяна</w:t>
      </w:r>
      <w:proofErr w:type="spellEnd"/>
      <w:r w:rsidRPr="00BF1C92">
        <w:rPr>
          <w:bCs/>
          <w:sz w:val="22"/>
          <w:szCs w:val="22"/>
        </w:rPr>
        <w:t xml:space="preserve">, д.8, </w:t>
      </w:r>
    </w:p>
    <w:p w:rsidR="003440A9" w:rsidRDefault="003440A9" w:rsidP="003440A9">
      <w:pPr>
        <w:jc w:val="both"/>
      </w:pPr>
      <w:r>
        <w:t xml:space="preserve">Доставка, </w:t>
      </w:r>
      <w:r>
        <w:rPr>
          <w:spacing w:val="-1"/>
        </w:rPr>
        <w:t>погрузка</w:t>
      </w:r>
      <w:r>
        <w:t>, разгрузка Товара выполняется за счет Поставщика.</w:t>
      </w:r>
    </w:p>
    <w:p w:rsidR="003440A9" w:rsidRDefault="003440A9" w:rsidP="003440A9">
      <w:pPr>
        <w:widowControl w:val="0"/>
        <w:jc w:val="both"/>
      </w:pPr>
      <w:r>
        <w:t>Поставщик при поставке Товара должен передать Заказчику следующие документы:</w:t>
      </w:r>
    </w:p>
    <w:p w:rsidR="003440A9" w:rsidRDefault="003440A9" w:rsidP="003440A9">
      <w:pPr>
        <w:pStyle w:val="ListParagraph1"/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товарную накладную, </w:t>
      </w:r>
    </w:p>
    <w:p w:rsidR="003440A9" w:rsidRDefault="003440A9" w:rsidP="003440A9">
      <w:pPr>
        <w:pStyle w:val="ListParagraph1"/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счет-фактуру</w:t>
      </w:r>
    </w:p>
    <w:p w:rsidR="003440A9" w:rsidRDefault="003440A9" w:rsidP="003440A9">
      <w:pPr>
        <w:pStyle w:val="ListParagraph1"/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или универсальный передаточный документ.</w:t>
      </w:r>
    </w:p>
    <w:p w:rsidR="003440A9" w:rsidRDefault="003440A9" w:rsidP="003440A9">
      <w:pPr>
        <w:widowControl w:val="0"/>
        <w:jc w:val="both"/>
      </w:pPr>
    </w:p>
    <w:p w:rsidR="003440A9" w:rsidRDefault="003440A9" w:rsidP="003440A9">
      <w:pPr>
        <w:widowControl w:val="0"/>
        <w:jc w:val="both"/>
      </w:pPr>
    </w:p>
    <w:p w:rsidR="000D1397" w:rsidRDefault="000D1397"/>
    <w:sectPr w:rsidR="000D1397" w:rsidSect="003440A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236B"/>
    <w:multiLevelType w:val="hybridMultilevel"/>
    <w:tmpl w:val="DD467CBA"/>
    <w:lvl w:ilvl="0" w:tplc="520C2FA8">
      <w:start w:val="1"/>
      <w:numFmt w:val="bullet"/>
      <w:lvlText w:val=""/>
      <w:lvlJc w:val="left"/>
      <w:pPr>
        <w:tabs>
          <w:tab w:val="left" w:pos="0"/>
        </w:tabs>
        <w:ind w:left="1287" w:hanging="360"/>
      </w:pPr>
      <w:rPr>
        <w:rFonts w:ascii="Symbol" w:hAnsi="Symbol"/>
      </w:rPr>
    </w:lvl>
    <w:lvl w:ilvl="1" w:tplc="9DE6FA38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/>
      </w:rPr>
    </w:lvl>
    <w:lvl w:ilvl="2" w:tplc="BB36A118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/>
      </w:rPr>
    </w:lvl>
    <w:lvl w:ilvl="3" w:tplc="8E969514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/>
      </w:rPr>
    </w:lvl>
    <w:lvl w:ilvl="4" w:tplc="85A489F2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/>
      </w:rPr>
    </w:lvl>
    <w:lvl w:ilvl="5" w:tplc="8ABE33A0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/>
      </w:rPr>
    </w:lvl>
    <w:lvl w:ilvl="6" w:tplc="0010B8B6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/>
      </w:rPr>
    </w:lvl>
    <w:lvl w:ilvl="7" w:tplc="9828E4BE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/>
      </w:rPr>
    </w:lvl>
    <w:lvl w:ilvl="8" w:tplc="0FD0FAB6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D7"/>
    <w:rsid w:val="000D1397"/>
    <w:rsid w:val="003440A9"/>
    <w:rsid w:val="00D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3CA96-FF45-4B5D-99F8-E761A095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A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3440A9"/>
    <w:pPr>
      <w:widowControl w:val="0"/>
      <w:ind w:left="72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Елена Владимировна</dc:creator>
  <cp:keywords/>
  <dc:description/>
  <cp:lastModifiedBy>Гаврилина Елена Владимировна</cp:lastModifiedBy>
  <cp:revision>2</cp:revision>
  <dcterms:created xsi:type="dcterms:W3CDTF">2026-06-04T11:21:00Z</dcterms:created>
  <dcterms:modified xsi:type="dcterms:W3CDTF">2026-06-04T11:21:00Z</dcterms:modified>
</cp:coreProperties>
</file>