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0"/>
        <w:jc w:val="center"/>
        <w:rPr>
          <w:rFonts w:ascii="Times New Roman" w:hAnsi="Times New Roman"/>
          <w:b/>
          <w:sz w:val="24"/>
          <w:szCs w:val="24"/>
          <w:lang w:bidi="en-US"/>
        </w:rPr>
      </w:pPr>
      <w:r/>
      <w:bookmarkStart w:id="0" w:name="_Hlk109917626"/>
      <w:r/>
      <w:bookmarkEnd w:id="0"/>
      <w:r>
        <w:rPr>
          <w:rFonts w:ascii="Times New Roman" w:hAnsi="Times New Roman"/>
          <w:b/>
          <w:sz w:val="24"/>
          <w:szCs w:val="24"/>
          <w:lang w:bidi="en-US"/>
        </w:rPr>
        <w:t xml:space="preserve">ТЕХНИЧЕСКОЕ ЗАДАНИЕ</w:t>
      </w:r>
      <w:r>
        <w:rPr>
          <w:rFonts w:ascii="Times New Roman" w:hAnsi="Times New Roman"/>
          <w:b/>
          <w:sz w:val="24"/>
          <w:szCs w:val="24"/>
          <w:lang w:bidi="en-US"/>
        </w:rPr>
      </w:r>
      <w:r>
        <w:rPr>
          <w:rFonts w:ascii="Times New Roman" w:hAnsi="Times New Roman"/>
          <w:b/>
          <w:sz w:val="24"/>
          <w:szCs w:val="24"/>
          <w:lang w:bidi="en-US"/>
        </w:rPr>
      </w:r>
    </w:p>
    <w:p>
      <w:pPr>
        <w:pStyle w:val="99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 приобретение (поставку) электрических чайников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для нужд Министерства культуры </w:t>
      </w:r>
      <w:r>
        <w:rPr>
          <w:rFonts w:ascii="Times New Roman" w:hAnsi="Times New Roman"/>
          <w:iCs/>
          <w:sz w:val="24"/>
          <w:szCs w:val="24"/>
        </w:rPr>
        <w:br/>
        <w:t xml:space="preserve">Российской Федерации.</w:t>
      </w:r>
      <w:r>
        <w:rPr>
          <w:rFonts w:ascii="Times New Roman" w:hAnsi="Times New Roman"/>
          <w:iCs/>
          <w:sz w:val="24"/>
          <w:szCs w:val="24"/>
        </w:rPr>
      </w:r>
      <w:r>
        <w:rPr>
          <w:rFonts w:ascii="Times New Roman" w:hAnsi="Times New Roman"/>
          <w:iCs/>
          <w:sz w:val="24"/>
          <w:szCs w:val="24"/>
        </w:rPr>
      </w:r>
    </w:p>
    <w:p>
      <w:pPr>
        <w:pStyle w:val="990"/>
        <w:ind w:firstLine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04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622"/>
        <w:gridCol w:w="6947"/>
        <w:gridCol w:w="13"/>
      </w:tblGrid>
      <w:tr>
        <w:tblPrEx/>
        <w:trPr>
          <w:gridAfter w:val="1"/>
          <w:trHeight w:val="20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Style w:val="993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  №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п/п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vAlign w:val="center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Перечень основных требований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Содержание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36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1.</w:t>
            </w:r>
            <w:r>
              <w:rPr>
                <w:rFonts w:cs="Times New Roman"/>
                <w:b/>
                <w:bCs/>
                <w:color w:val="auto"/>
                <w:lang w:val="ru-RU"/>
              </w:rPr>
              <w:t xml:space="preserve"> Общие положения о закупке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1.1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textDirection w:val="lrTb"/>
            <w:noWrap w:val="false"/>
          </w:tcPr>
          <w:p>
            <w:pPr>
              <w:pStyle w:val="992"/>
              <w:rPr>
                <w:rFonts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Основание для поставки товара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t xml:space="preserve">Для нужд Министерства Культуры Российской Федерации.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1.</w:t>
            </w:r>
            <w:r>
              <w:rPr>
                <w:rFonts w:cs="Times New Roman"/>
                <w:color w:val="auto"/>
                <w:lang w:val="ru-RU"/>
              </w:rPr>
              <w:t xml:space="preserve">2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textDirection w:val="lrTb"/>
            <w:noWrap w:val="false"/>
          </w:tcPr>
          <w:p>
            <w:pPr>
              <w:pStyle w:val="992"/>
              <w:rPr>
                <w:rFonts w:eastAsia="Times New Roman" w:cs="Times New Roman"/>
                <w:b/>
                <w:color w:val="auto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Срок и условия поставки товара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jc w:val="both"/>
            </w:pPr>
            <w:r>
              <w:t xml:space="preserve">Поставка </w:t>
            </w:r>
            <w:r>
              <w:t xml:space="preserve">осуществляется единовременном порядке. </w:t>
            </w:r>
            <w:r>
              <w:br/>
              <w:t xml:space="preserve">Способ доставки товара до </w:t>
            </w:r>
            <w:r>
              <w:rPr>
                <w:bCs/>
                <w:iCs/>
              </w:rPr>
              <w:t xml:space="preserve">Государственного з</w:t>
            </w:r>
            <w:r>
              <w:t xml:space="preserve">аказчика определяется Поставщиком самостоятельно. </w:t>
            </w:r>
            <w:r>
              <w:rPr>
                <w:bCs/>
                <w:iCs/>
              </w:rPr>
              <w:t xml:space="preserve">Государственным з</w:t>
            </w:r>
            <w:r>
              <w:t xml:space="preserve">аказчиком не возмещаются расходы по </w:t>
            </w:r>
            <w:r>
              <w:t xml:space="preserve">доставке</w:t>
            </w:r>
            <w:r>
              <w:t xml:space="preserve">.</w:t>
            </w:r>
            <w:r/>
          </w:p>
          <w:p>
            <w:pPr>
              <w:jc w:val="both"/>
              <w:rPr>
                <w:i/>
                <w:iCs/>
              </w:rPr>
            </w:pPr>
            <w:r>
              <w:t xml:space="preserve">Срок поставки товара: в течени</w:t>
            </w:r>
            <w:r>
              <w:t xml:space="preserve">е</w:t>
            </w:r>
            <w:r>
              <w:t xml:space="preserve"> 5 рабочих дней с даты заключения Государственного контракта 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1.</w:t>
            </w:r>
            <w:r>
              <w:rPr>
                <w:rFonts w:cs="Times New Roman"/>
                <w:color w:val="auto"/>
                <w:lang w:val="ru-RU"/>
              </w:rPr>
              <w:t xml:space="preserve">3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textDirection w:val="lrTb"/>
            <w:noWrap w:val="false"/>
          </w:tcPr>
          <w:p>
            <w:pPr>
              <w:pStyle w:val="992"/>
              <w:rPr>
                <w:rFonts w:eastAsia="Times New Roman" w:cs="Times New Roman"/>
                <w:b/>
                <w:color w:val="auto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Наименование, количество, к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ачественные и технические характеристики товара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shd w:val="clear" w:color="auto" w:fill="ffffff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Содержатся в Приложении № 1 к Техническому заданию</w:t>
            </w:r>
            <w:r>
              <w:rPr>
                <w:rFonts w:eastAsiaTheme="minorHAnsi"/>
              </w:rPr>
            </w:r>
          </w:p>
          <w:p>
            <w:pPr>
              <w:shd w:val="clear" w:color="auto" w:fill="ffffff"/>
              <w:rPr>
                <w:rFonts w:eastAsiaTheme="minorHAnsi"/>
              </w:rPr>
            </w:pP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1.</w:t>
            </w:r>
            <w:r>
              <w:rPr>
                <w:rFonts w:cs="Times New Roman"/>
                <w:color w:val="auto"/>
                <w:lang w:val="ru-RU"/>
              </w:rPr>
              <w:t xml:space="preserve">4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textDirection w:val="lrTb"/>
            <w:noWrap w:val="false"/>
          </w:tcPr>
          <w:p>
            <w:pPr>
              <w:pStyle w:val="992"/>
              <w:rPr>
                <w:rFonts w:eastAsia="Times New Roman" w:cs="Times New Roman"/>
                <w:b/>
                <w:color w:val="auto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Требования к качеству и безопасности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 товара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pStyle w:val="992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Поставляемый товар </w:t>
            </w:r>
            <w:r>
              <w:rPr>
                <w:rFonts w:cs="Times New Roman"/>
                <w:color w:val="auto"/>
                <w:lang w:val="ru-RU"/>
              </w:rPr>
              <w:t xml:space="preserve">новый</w:t>
            </w:r>
            <w:r>
              <w:rPr>
                <w:rFonts w:cs="Times New Roman"/>
                <w:color w:val="auto"/>
                <w:lang w:val="ru-RU"/>
              </w:rPr>
              <w:t xml:space="preserve">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дефектов.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2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Поставщик гарантирует качество и безопасность поставляемого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2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Поставляемый Товар должен соответствовать действующим в Российской Федерации стандартам, техническим регламентам, санитарным нормам.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1.</w:t>
            </w:r>
            <w:r>
              <w:rPr>
                <w:rFonts w:cs="Times New Roman"/>
                <w:color w:val="auto"/>
                <w:lang w:val="ru-RU"/>
              </w:rPr>
              <w:t xml:space="preserve">5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textDirection w:val="lrTb"/>
            <w:noWrap w:val="false"/>
          </w:tcPr>
          <w:p>
            <w:pPr>
              <w:pStyle w:val="992"/>
              <w:rPr>
                <w:rFonts w:eastAsia="Times New Roman" w:cs="Times New Roman"/>
                <w:b/>
                <w:color w:val="auto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Место 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и порядок 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  <w:t xml:space="preserve">поставки товара</w:t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  <w:r>
              <w:rPr>
                <w:rFonts w:eastAsia="Times New Roman" w:cs="Times New Roman"/>
                <w:b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pStyle w:val="992"/>
              <w:jc w:val="both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 xml:space="preserve">Российская Федерация, 125993, г. Москва, М. Гнездниковский пер., д. 7/6 стр. 1,2</w:t>
            </w:r>
            <w:r>
              <w:rPr>
                <w:rFonts w:cs="Times New Roman"/>
                <w:bCs/>
                <w:color w:val="auto"/>
                <w:lang w:val="ru-RU"/>
              </w:rPr>
              <w:t xml:space="preserve">.</w:t>
            </w:r>
            <w:r>
              <w:rPr>
                <w:rFonts w:cs="Times New Roman"/>
                <w:bCs/>
                <w:color w:val="auto"/>
                <w:lang w:val="ru-RU"/>
              </w:rPr>
            </w:r>
            <w:r>
              <w:rPr>
                <w:rFonts w:cs="Times New Roman"/>
                <w:bCs/>
                <w:color w:val="auto"/>
                <w:lang w:val="ru-RU"/>
              </w:rPr>
            </w:r>
          </w:p>
          <w:p>
            <w:pPr>
              <w:pStyle w:val="992"/>
              <w:jc w:val="both"/>
              <w:rPr>
                <w:rFonts w:cs="Times New Roman"/>
                <w:iCs/>
                <w:color w:val="auto"/>
                <w:lang w:val="ru-RU"/>
              </w:rPr>
            </w:pPr>
            <w:r>
              <w:rPr>
                <w:rFonts w:cs="Times New Roman"/>
                <w:iCs/>
                <w:color w:val="auto"/>
                <w:lang w:val="ru-RU"/>
              </w:rPr>
              <w:t xml:space="preserve">Поставка осуществляется с понедельника по четверг </w:t>
            </w:r>
            <w:r>
              <w:rPr>
                <w:lang w:val="ru-RU"/>
              </w:rPr>
              <w:t xml:space="preserve">с 09 часов 00 минут до 16 часов 00 минут, в пятницу – с 09 часов 00 минут до 15 часов 00 минут, перерыв на обед – с 12 часов 30 минут до 13 часов 30 минут (время московское)</w:t>
            </w:r>
            <w:r>
              <w:rPr>
                <w:rFonts w:cs="Times New Roman"/>
                <w:iCs/>
                <w:color w:val="auto"/>
                <w:lang w:val="ru-RU"/>
              </w:rPr>
              <w:t xml:space="preserve">.</w:t>
            </w:r>
            <w:r>
              <w:rPr>
                <w:rFonts w:cs="Times New Roman"/>
                <w:iCs/>
                <w:color w:val="auto"/>
                <w:lang w:val="ru-RU"/>
              </w:rPr>
            </w:r>
            <w:r>
              <w:rPr>
                <w:rFonts w:cs="Times New Roman"/>
                <w:iCs/>
                <w:color w:val="auto"/>
                <w:lang w:val="ru-RU"/>
              </w:rPr>
            </w:r>
          </w:p>
          <w:p>
            <w:pPr>
              <w:pStyle w:val="992"/>
              <w:jc w:val="both"/>
              <w:rPr>
                <w:rFonts w:cs="Times New Roman"/>
                <w:iCs/>
                <w:color w:val="auto"/>
                <w:lang w:val="ru-RU"/>
              </w:rPr>
            </w:pPr>
            <w:r>
              <w:rPr>
                <w:lang w:val="ru-RU"/>
              </w:rPr>
              <w:t xml:space="preserve">О планируемой дате и времени поставки товара необходимо уведомить Государственного заказчика, не позднее чем за один рабочий день до даты поставки путем направления электронного письма на </w:t>
            </w:r>
            <w:r>
              <w:t xml:space="preserve">e</w:t>
            </w:r>
            <w:r>
              <w:rPr>
                <w:lang w:val="ru-RU"/>
              </w:rPr>
              <w:t xml:space="preserve">-</w:t>
            </w:r>
            <w:r>
              <w:t xml:space="preserve">mail</w:t>
            </w:r>
            <w:r>
              <w:rPr>
                <w:lang w:val="ru-RU"/>
              </w:rPr>
              <w:t xml:space="preserve">: a.tryapochkin</w:t>
            </w:r>
            <w:r>
              <w:rPr>
                <w:lang w:val="ru-RU"/>
              </w:rPr>
              <w:t xml:space="preserve">@</w:t>
            </w:r>
            <w:r>
              <w:t xml:space="preserve">culture</w:t>
            </w:r>
            <w:r>
              <w:rPr>
                <w:lang w:val="ru-RU"/>
              </w:rPr>
              <w:t xml:space="preserve">.</w:t>
            </w:r>
            <w:r>
              <w:t xml:space="preserve">gov</w:t>
            </w:r>
            <w:r>
              <w:rPr>
                <w:lang w:val="ru-RU"/>
              </w:rPr>
              <w:t xml:space="preserve">.</w:t>
            </w:r>
            <w:r>
              <w:t xml:space="preserve">ru</w:t>
            </w:r>
            <w:r>
              <w:rPr>
                <w:rFonts w:cs="Times New Roman"/>
                <w:iCs/>
                <w:color w:val="auto"/>
                <w:lang w:val="ru-RU"/>
              </w:rPr>
            </w:r>
            <w:r>
              <w:rPr>
                <w:rFonts w:cs="Times New Roman"/>
                <w:iCs/>
                <w:color w:val="auto"/>
                <w:lang w:val="ru-RU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3" w:type="dxa"/>
            <w:textDirection w:val="lrTb"/>
            <w:noWrap w:val="false"/>
          </w:tcPr>
          <w:p>
            <w:pPr>
              <w:pStyle w:val="994"/>
              <w:numPr>
                <w:ilvl w:val="0"/>
                <w:numId w:val="38"/>
              </w:numPr>
              <w:jc w:val="center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Порядок сдачи приемки товара</w:t>
            </w:r>
            <w:r>
              <w:rPr>
                <w:b/>
                <w:bCs/>
              </w:rPr>
              <w:t xml:space="preserve">, гарантии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 xml:space="preserve">2.1</w:t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993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textDirection w:val="lrTb"/>
            <w:noWrap w:val="false"/>
          </w:tcPr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Сдача товара</w:t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bCs/>
                <w:color w:val="auto"/>
                <w:lang w:val="ru-RU"/>
              </w:rPr>
            </w:pPr>
            <w:r>
              <w:rPr>
                <w:rFonts w:cs="Times New Roman"/>
                <w:b/>
                <w:bCs/>
                <w:color w:val="auto"/>
                <w:lang w:val="ru-RU"/>
              </w:rPr>
            </w:r>
            <w:r>
              <w:rPr>
                <w:rFonts w:cs="Times New Roman"/>
                <w:b/>
                <w:bCs/>
                <w:color w:val="auto"/>
                <w:lang w:val="ru-RU"/>
              </w:rPr>
            </w:r>
            <w:r>
              <w:rPr>
                <w:rFonts w:cs="Times New Roman"/>
                <w:b/>
                <w:bCs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bCs/>
                <w:color w:val="auto"/>
                <w:lang w:val="ru-RU"/>
              </w:rPr>
            </w:pPr>
            <w:r>
              <w:rPr>
                <w:rFonts w:cs="Times New Roman"/>
                <w:b/>
                <w:bCs/>
                <w:color w:val="auto"/>
                <w:lang w:val="ru-RU"/>
              </w:rPr>
            </w:r>
            <w:r>
              <w:rPr>
                <w:rFonts w:cs="Times New Roman"/>
                <w:b/>
                <w:bCs/>
                <w:color w:val="auto"/>
                <w:lang w:val="ru-RU"/>
              </w:rPr>
            </w:r>
            <w:r>
              <w:rPr>
                <w:rFonts w:cs="Times New Roman"/>
                <w:b/>
                <w:bCs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  <w:p>
            <w:pPr>
              <w:pStyle w:val="993"/>
              <w:rPr>
                <w:rFonts w:cs="Times New Roman"/>
                <w:b/>
                <w:bCs/>
                <w:color w:val="auto"/>
                <w:lang w:val="ru-RU"/>
              </w:rPr>
            </w:pPr>
            <w:r>
              <w:rPr>
                <w:rFonts w:cs="Times New Roman"/>
                <w:b/>
                <w:bCs/>
                <w:color w:val="auto"/>
                <w:lang w:val="ru-RU"/>
              </w:rPr>
            </w:r>
            <w:r>
              <w:rPr>
                <w:rFonts w:cs="Times New Roman"/>
                <w:b/>
                <w:bCs/>
                <w:color w:val="auto"/>
                <w:lang w:val="ru-RU"/>
              </w:rPr>
            </w:r>
            <w:r>
              <w:rPr>
                <w:rFonts w:cs="Times New Roman"/>
                <w:b/>
                <w:bCs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pStyle w:val="994"/>
              <w:jc w:val="both"/>
            </w:pPr>
            <w:r>
              <w:t xml:space="preserve">При приемке Товара Заказчик проводит проверку Товара на предмет его соответствия комплектности и товарному виду. </w:t>
            </w:r>
            <w:r/>
          </w:p>
          <w:p>
            <w:pPr>
              <w:pStyle w:val="994"/>
              <w:jc w:val="both"/>
            </w:pPr>
            <w:r>
              <w:t xml:space="preserve">При отсутствии у Заказчика претензий по количеству и качеству поставленного Товара уполномоченный представитель Заказчика в течении 5 (пяти) рабочих дней подписывает документы, подтверждающие поставку товара (товарная накладная/УПД). </w:t>
            </w:r>
            <w:r/>
          </w:p>
          <w:p>
            <w:pPr>
              <w:pStyle w:val="994"/>
              <w:jc w:val="both"/>
            </w:pPr>
            <w:r>
              <w:t xml:space="preserve">При выявлении некомплектности и/или дефектов в поставленном Товаре (наименования, количества, качества, в то</w:t>
            </w:r>
            <w:r>
              <w:t xml:space="preserve">м числе в случае выявления внешних признаков ненадлежащего качества </w:t>
              <w:br/>
              <w:t xml:space="preserve">Товара, препятствующих его дальнейшему использованию </w:t>
              <w:br/>
              <w:t xml:space="preserve">(нарушение целостности упаковки, повреждение содержимого и т.д.), Заказчик составляет Акт о браке/недостаче в 2-х (двух) </w:t>
              <w:br/>
              <w:t xml:space="preserve">экземплярах с </w:t>
            </w:r>
            <w:r>
              <w:t xml:space="preserve">перечнем выявленных недостатков и указанием сроков их устранения и направляет его Поставщику.</w:t>
            </w:r>
            <w:r/>
          </w:p>
          <w:p>
            <w:pPr>
              <w:pStyle w:val="994"/>
              <w:jc w:val="both"/>
            </w:pPr>
            <w:r>
              <w:t xml:space="preserve">Поставщик в течение 1 (одного) рабочего дня после получения данного Акта обязан произвести замену Товара, либо поставить недостающее количество Товара. Выявленные недостатки устраняются Поставщиком за его счет.</w:t>
            </w:r>
            <w:r/>
          </w:p>
          <w:p>
            <w:pPr>
              <w:pStyle w:val="994"/>
              <w:jc w:val="both"/>
            </w:pPr>
            <w:r>
              <w:t xml:space="preserve">Экспертиза поставленного Товара, предусмотренного настоящим Контрактом, может проводиться Заказчиком своими силами или к ее проведению могут привлекаться эксперты или экспертные организации.</w:t>
            </w:r>
            <w:r/>
          </w:p>
          <w:p>
            <w:pPr>
              <w:pStyle w:val="994"/>
              <w:jc w:val="both"/>
            </w:pPr>
            <w:r>
              <w:t xml:space="preserve">Претензии по скрытым дефектам могут быть заявлены Заказчиком в течение всего срока годности (срока полезного использования) Товара.</w:t>
            </w:r>
            <w:r/>
          </w:p>
          <w:p>
            <w:pPr>
              <w:pStyle w:val="994"/>
              <w:jc w:val="both"/>
            </w:pPr>
            <w:r>
              <w:t xml:space="preserve">При приемке товара Заказчиком необходимо присутствие уполномоченного представителя Поставщика.</w:t>
            </w:r>
            <w:r/>
          </w:p>
          <w:p>
            <w:pPr>
              <w:pStyle w:val="994"/>
              <w:jc w:val="both"/>
              <w:spacing w:before="0" w:after="0"/>
            </w:pPr>
            <w:r>
              <w:t xml:space="preserve">Датой приемки считается дата размещения в единой информационной системе документа о приемке, подписанного Заказчиком.</w:t>
            </w:r>
            <w:r/>
          </w:p>
          <w:p>
            <w:r>
              <w:t xml:space="preserve">Приемка Товара Государственным Заказчиком производится в рабочие дни с понедельника по пятницу </w:t>
            </w:r>
            <w:r>
              <w:t xml:space="preserve">с 09-00 часов до 17-00 часов. </w:t>
            </w:r>
            <w:r/>
          </w:p>
        </w:tc>
      </w:tr>
      <w:tr>
        <w:tblPrEx/>
        <w:trPr>
          <w:gridAfter w:val="1"/>
          <w:trHeight w:val="20"/>
        </w:trPr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textDirection w:val="lrTb"/>
            <w:noWrap w:val="false"/>
          </w:tcPr>
          <w:p>
            <w:pPr>
              <w:pStyle w:val="993"/>
              <w:jc w:val="center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 xml:space="preserve">2.2.</w:t>
            </w:r>
            <w:r>
              <w:rPr>
                <w:rFonts w:cs="Times New Roman"/>
                <w:bCs/>
                <w:color w:val="auto"/>
                <w:lang w:val="ru-RU"/>
              </w:rPr>
            </w:r>
            <w:r>
              <w:rPr>
                <w:rFonts w:cs="Times New Roman"/>
                <w:bCs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2" w:type="dxa"/>
            <w:textDirection w:val="lrTb"/>
            <w:noWrap w:val="false"/>
          </w:tcPr>
          <w:p>
            <w:pPr>
              <w:pStyle w:val="993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 xml:space="preserve">Гарантии</w:t>
            </w:r>
            <w:r>
              <w:rPr>
                <w:rFonts w:cs="Times New Roman"/>
                <w:b/>
                <w:color w:val="auto"/>
                <w:lang w:val="ru-RU"/>
              </w:rPr>
            </w:r>
            <w:r>
              <w:rPr>
                <w:rFonts w:cs="Times New Roman"/>
                <w:b/>
                <w:color w:val="auto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47" w:type="dxa"/>
            <w:textDirection w:val="lrTb"/>
            <w:noWrap w:val="false"/>
          </w:tcPr>
          <w:p>
            <w:pPr>
              <w:pStyle w:val="994"/>
              <w:jc w:val="both"/>
            </w:pPr>
            <w:r>
              <w:t xml:space="preserve">На поставляемый товар Поставщик предоставляет гарантию качества в соответствии с нормативными документами на данный вид товара. Гарантийный срок на Товар начинается с момента подписания Заказчиком документа о приемке и составляет не менее </w:t>
            </w:r>
            <w:r>
              <w:rPr>
                <w:highlight w:val="none"/>
              </w:rPr>
              <w:t xml:space="preserve">12</w:t>
            </w:r>
            <w:r>
              <w:rPr>
                <w:highlight w:val="none"/>
              </w:rPr>
              <w:t xml:space="preserve"> </w:t>
            </w:r>
            <w:r>
              <w:t xml:space="preserve">(</w:t>
            </w:r>
            <w:r>
              <w:t xml:space="preserve">двенадцати)</w:t>
            </w:r>
            <w:r>
              <w:t xml:space="preserve"> месяцев. 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      </w:r>
            <w:r/>
          </w:p>
          <w:p>
            <w:pPr>
              <w:pStyle w:val="994"/>
              <w:jc w:val="both"/>
            </w:pPr>
            <w:r>
              <w:t xml:space="preserve">Гарантийный срок на Товар должен соответствовать гарантийным требованиям, предъявляемым к такому виду товарам, и должен подтверждаться документами от производителя и/или Поставщика.</w:t>
            </w:r>
            <w:r/>
          </w:p>
          <w:p>
            <w:pPr>
              <w:pStyle w:val="994"/>
              <w:jc w:val="both"/>
            </w:pPr>
            <w:r>
              <w:t xml:space="preserve">Поставщик гарантирует полное соответствие поставляемого Товара условиям Контракта, устранение неисправностей, связанных с дефектами производства, устранение неисправностей посредством замены запасных частей.</w:t>
            </w:r>
            <w:r/>
          </w:p>
          <w:p>
            <w:pPr>
              <w:pStyle w:val="994"/>
              <w:jc w:val="both"/>
            </w:pPr>
            <w:r>
              <w:t xml:space="preserve">Неисправный или дефектный Товар будет возвращен Поставщику за его счет в сроки, согласованные Заказчи</w:t>
            </w:r>
            <w:r>
              <w:t xml:space="preserve">ком и Поставщиком. Доставка от Заказчика до места осуществления ремонта и обратно, погрузочно-разгрузочные работы, перемещение внутри здания до указанного Заказчиком места, сборка ремонта в течение всего гарантийного срока осуществляется за счет Поставщика</w:t>
            </w:r>
            <w:r/>
          </w:p>
          <w:p>
            <w:pPr>
              <w:pStyle w:val="994"/>
              <w:jc w:val="both"/>
            </w:pPr>
            <w:r>
              <w:t xml:space="preserve">В случае замены или исправления дефектного Товара гарантийный срок на данный Товар продлевается.</w:t>
            </w:r>
            <w:r/>
          </w:p>
        </w:tc>
      </w:tr>
    </w:tbl>
    <w:p>
      <w:r>
        <w:br w:type="page" w:clear="all"/>
      </w:r>
      <w:r/>
    </w:p>
    <w:p>
      <w:pPr>
        <w:ind w:left="3540" w:firstLine="708"/>
        <w:jc w:val="right"/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536" w:right="426" w:bottom="284" w:left="568" w:header="708" w:footer="708" w:gutter="0"/>
          <w:cols w:num="1" w:sep="0" w:space="708" w:equalWidth="1"/>
          <w:docGrid w:linePitch="360"/>
          <w:titlePg/>
        </w:sectPr>
      </w:pPr>
      <w:r/>
      <w:r/>
    </w:p>
    <w:p>
      <w:pPr>
        <w:ind w:left="3540" w:firstLine="708"/>
        <w:jc w:val="right"/>
      </w:pPr>
      <w:r>
        <w:t xml:space="preserve">Приложение № 1 к техническому заданию</w:t>
      </w:r>
      <w:r/>
    </w:p>
    <w:p>
      <w:r/>
      <w:r/>
    </w:p>
    <w:p>
      <w:r>
        <w:t xml:space="preserve">КТРУ - </w:t>
      </w:r>
      <w:r>
        <w:rPr>
          <w:rFonts w:ascii="Times New Roman" w:hAnsi="Times New Roman" w:eastAsia="Times New Roman" w:cs="Times New Roman"/>
          <w:sz w:val="24"/>
        </w:rPr>
        <w:t xml:space="preserve">27.51.24.110-00000008</w:t>
      </w:r>
      <w:r>
        <w:t xml:space="preserve"> «Электрочайник бытовой»</w:t>
      </w:r>
      <w:r/>
    </w:p>
    <w:p>
      <w:r/>
      <w:r/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85" w:type="dxa"/>
          <w:top w:w="28" w:type="dxa"/>
          <w:right w:w="85" w:type="dxa"/>
          <w:bottom w:w="28" w:type="dxa"/>
        </w:tblCellMar>
        <w:tblLook w:val="0000" w:firstRow="0" w:lastRow="0" w:firstColumn="0" w:lastColumn="0" w:noHBand="0" w:noVBand="0"/>
      </w:tblPr>
      <w:tblGrid>
        <w:gridCol w:w="842"/>
        <w:gridCol w:w="2874"/>
        <w:gridCol w:w="1053"/>
        <w:gridCol w:w="1114"/>
        <w:gridCol w:w="4027"/>
        <w:gridCol w:w="3390"/>
        <w:gridCol w:w="2705"/>
      </w:tblGrid>
      <w:tr>
        <w:tblPrEx/>
        <w:trPr>
          <w:cantSplit/>
          <w:jc w:val="center"/>
          <w:trHeight w:val="1022"/>
        </w:trPr>
        <w:tc>
          <w:tcPr>
            <w:tcW w:w="26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№ п/п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89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Наименование товара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3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Ед. изм. 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Кол-во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258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Технические характеристики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059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Функциональные характеристики </w:t>
              <w:br/>
              <w:t xml:space="preserve">(потребительские свойства)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Размеры, упаковка</w: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43"/>
        </w:trPr>
        <w:tc>
          <w:tcPr>
            <w:tcW w:w="263" w:type="pct"/>
            <w:textDirection w:val="lrTb"/>
            <w:noWrap w:val="false"/>
          </w:tcPr>
          <w:p>
            <w:pPr>
              <w:pStyle w:val="10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898" w:type="pct"/>
            <w:textDirection w:val="lrTb"/>
            <w:noWrap w:val="false"/>
          </w:tcPr>
          <w:p>
            <w:pPr>
              <w:rPr>
                <w:color w:val="2b2a29"/>
                <w:highlight w:val="none"/>
              </w:rPr>
            </w:pPr>
            <w:r>
              <w:rPr>
                <w:color w:val="2b2a29"/>
              </w:rPr>
              <w:t xml:space="preserve">Электрический чайник </w:t>
            </w:r>
            <w:r>
              <w:rPr>
                <w:color w:val="2b2a29"/>
                <w:highlight w:val="none"/>
              </w:rPr>
            </w:r>
          </w:p>
          <w:p>
            <w:pPr>
              <w:rPr>
                <w:color w:val="2b2a29"/>
                <w:sz w:val="18"/>
                <w:szCs w:val="18"/>
              </w:rPr>
            </w:pPr>
            <w:r>
              <w:rPr>
                <w:color w:val="2b2a29"/>
                <w:highlight w:val="none"/>
              </w:rPr>
              <w:t xml:space="preserve">(Поставляемый товар должен соответствовать изображению поставляемого товара (Приложение №2 к Техническому заданию))</w:t>
            </w:r>
            <w:r>
              <w:rPr>
                <w:color w:val="2b2a29"/>
                <w:highlight w:val="none"/>
              </w:rPr>
            </w:r>
            <w:r>
              <w:rPr>
                <w:color w:val="2b2a29"/>
                <w:sz w:val="18"/>
                <w:szCs w:val="18"/>
              </w:rPr>
            </w:r>
          </w:p>
          <w:p>
            <w:pPr>
              <w:rPr>
                <w:color w:val="2b2a29"/>
                <w:sz w:val="18"/>
                <w:szCs w:val="18"/>
              </w:rPr>
            </w:pPr>
            <w:r/>
            <w:bookmarkStart w:id="1" w:name="_GoBack"/>
            <w:r/>
            <w:bookmarkEnd w:id="1"/>
            <w:r>
              <w:rPr>
                <w:color w:val="2b2a29"/>
                <w:sz w:val="18"/>
                <w:szCs w:val="18"/>
              </w:rPr>
            </w:r>
            <w:r>
              <w:rPr>
                <w:color w:val="2b2a29"/>
                <w:sz w:val="18"/>
                <w:szCs w:val="18"/>
              </w:rPr>
            </w:r>
          </w:p>
        </w:tc>
        <w:tc>
          <w:tcPr>
            <w:tcW w:w="329" w:type="pct"/>
            <w:textDirection w:val="lrTb"/>
            <w:noWrap w:val="false"/>
          </w:tcPr>
          <w:p>
            <w:pPr>
              <w:pStyle w:val="10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48" w:type="pct"/>
            <w:textDirection w:val="lrTb"/>
            <w:noWrap w:val="false"/>
          </w:tcPr>
          <w:p>
            <w:pPr>
              <w:pStyle w:val="10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258" w:type="pct"/>
            <w:textDirection w:val="lrTb"/>
            <w:noWrap w:val="false"/>
          </w:tcPr>
          <w:p>
            <w:pPr>
              <w:numPr>
                <w:ilvl w:val="0"/>
                <w:numId w:val="40"/>
              </w:numPr>
              <w:ind w:left="0"/>
              <w:spacing w:after="200" w:line="276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</w:r>
            <w:r>
              <w:t xml:space="preserve">Материал корпуса: </w:t>
            </w:r>
            <w:r>
              <w:t xml:space="preserve">Пластик,</w:t>
            </w:r>
            <w:r>
              <w:t xml:space="preserve"> </w:t>
            </w:r>
            <w:r>
              <w:t xml:space="preserve">Нержавеющая сталь;</w:t>
            </w:r>
            <w:r/>
            <w:r>
              <w:rPr>
                <w:sz w:val="18"/>
                <w:szCs w:val="18"/>
                <w:shd w:val="clear" w:color="auto" w:fill="ffffff"/>
              </w:rPr>
            </w:r>
            <w:r>
              <w:rPr>
                <w:sz w:val="18"/>
                <w:szCs w:val="18"/>
                <w:shd w:val="clear" w:color="auto" w:fill="ffffff"/>
              </w:rPr>
            </w:r>
            <w:r>
              <w:rPr>
                <w:sz w:val="18"/>
                <w:szCs w:val="18"/>
                <w:shd w:val="clear" w:color="auto" w:fill="ffffff"/>
              </w:rPr>
            </w:r>
          </w:p>
          <w:p>
            <w:pPr>
              <w:numPr>
                <w:ilvl w:val="0"/>
                <w:numId w:val="40"/>
              </w:numPr>
              <w:ind w:left="0"/>
              <w:spacing w:after="200" w:line="276" w:lineRule="auto"/>
              <w:rPr>
                <w:sz w:val="18"/>
                <w:szCs w:val="18"/>
              </w:rPr>
            </w:pPr>
            <w:r>
              <w:rPr>
                <w:highlight w:val="none"/>
              </w:rPr>
            </w:r>
            <w:r>
              <w:t xml:space="preserve">Мощность: </w:t>
            </w:r>
            <w:r>
              <w:t xml:space="preserve">&gt;2000 и </w:t>
            </w:r>
            <w:r>
              <w:t xml:space="preserve"> ≤ 3000 Ватт;</w:t>
            </w:r>
            <w:r>
              <w:rPr>
                <w:highlight w:val="none"/>
              </w:rPr>
            </w:r>
          </w:p>
          <w:p>
            <w:pPr>
              <w:numPr>
                <w:ilvl w:val="0"/>
                <w:numId w:val="40"/>
              </w:numPr>
              <w:ind w:left="0"/>
              <w:spacing w:after="200" w:line="276" w:lineRule="auto"/>
              <w:rPr>
                <w:sz w:val="18"/>
                <w:szCs w:val="18"/>
              </w:rPr>
            </w:pPr>
            <w:r>
              <w:rPr>
                <w:highlight w:val="none"/>
              </w:rPr>
            </w:r>
            <w:r>
              <w:t xml:space="preserve">Наличие съемного фильтра-сетки: 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numPr>
                <w:ilvl w:val="0"/>
                <w:numId w:val="40"/>
              </w:numPr>
              <w:ind w:left="0"/>
              <w:spacing w:after="200" w:line="276" w:lineRule="auto"/>
              <w:rPr>
                <w:sz w:val="18"/>
                <w:szCs w:val="18"/>
              </w:rPr>
            </w:pPr>
            <w:r>
              <w:rPr>
                <w:highlight w:val="none"/>
              </w:rPr>
            </w:r>
            <w:r>
              <w:t xml:space="preserve">Объем: </w:t>
            </w:r>
            <w:r>
              <w:t xml:space="preserve">≥ 1.7 и </w:t>
            </w:r>
            <w:r>
              <w:t xml:space="preserve">&lt; 2 Литра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numPr>
                <w:ilvl w:val="0"/>
                <w:numId w:val="40"/>
              </w:numPr>
              <w:ind w:left="0"/>
              <w:spacing w:after="200" w:line="276" w:lineRule="auto"/>
              <w:rPr>
                <w:sz w:val="18"/>
                <w:szCs w:val="18"/>
              </w:rPr>
            </w:pPr>
            <w:r>
              <w:rPr>
                <w:highlight w:val="none"/>
              </w:rPr>
            </w:r>
            <w:r>
              <w:t xml:space="preserve">Тип нагревательного элемента:</w:t>
            </w:r>
            <w:r>
              <w:t xml:space="preserve">Дисковый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numPr>
                <w:ilvl w:val="0"/>
                <w:numId w:val="40"/>
              </w:numPr>
              <w:ind w:left="0"/>
              <w:spacing w:after="200" w:line="276" w:lineRule="auto"/>
              <w:rPr>
                <w:sz w:val="18"/>
                <w:szCs w:val="18"/>
              </w:rPr>
            </w:pPr>
            <w:r>
              <w:rPr>
                <w:highlight w:val="none"/>
              </w:rPr>
            </w:r>
            <w:r>
              <w:t xml:space="preserve">Функция автоматического отключения при закипании воды: Да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059" w:type="pct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Покрытие нагревательного элемента -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нержавеющая сталь</w:t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Материал колбы -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нержавеющая сталь</w:t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Материал фильтра -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нейлон</w:t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Особенности крышки -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залив воды без открытия крышки, крышка открывается нажатием</w:t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numPr>
                <w:ilvl w:val="0"/>
                <w:numId w:val="39"/>
              </w:numPr>
              <w:ind w:left="0"/>
              <w:spacing w:after="200" w:line="276" w:lineRule="auto"/>
              <w:shd w:val="clear" w:color="auto" w:fill="ffffff"/>
              <w:rPr>
                <w:color w:val="2b2a29"/>
                <w:sz w:val="18"/>
                <w:szCs w:val="18"/>
              </w:rPr>
            </w:pPr>
            <w:r/>
            <w:r>
              <w:rPr>
                <w:color w:val="2b2a29"/>
                <w:sz w:val="18"/>
                <w:szCs w:val="18"/>
              </w:rPr>
            </w:r>
          </w:p>
        </w:tc>
        <w:tc>
          <w:tcPr>
            <w:tcW w:w="845" w:type="pct"/>
            <w:textDirection w:val="lrTb"/>
            <w:noWrap w:val="false"/>
          </w:tcPr>
          <w:p>
            <w:pPr>
              <w:numPr>
                <w:ilvl w:val="0"/>
                <w:numId w:val="39"/>
              </w:numPr>
              <w:ind w:left="0"/>
              <w:spacing w:after="200" w:line="276" w:lineRule="auto"/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Ширина коробки </w:t>
            </w:r>
            <w:r/>
            <w:r>
              <w:rPr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 см</w:t>
            </w:r>
            <w:r/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Высота коробки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 см</w:t>
            </w:r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numPr>
                <w:ilvl w:val="0"/>
                <w:numId w:val="39"/>
              </w:numPr>
              <w:ind w:left="0"/>
              <w:spacing w:after="200" w:line="276" w:lineRule="auto"/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shd w:val="nil" w:color="auto"/>
      </w:pPr>
      <w:r>
        <w:br w:type="page" w:clear="all"/>
      </w:r>
      <w:r/>
    </w:p>
    <w:p>
      <w:pPr>
        <w:ind w:left="3540" w:firstLine="0"/>
        <w:jc w:val="both"/>
      </w:pPr>
      <w:r/>
      <w:r/>
    </w:p>
    <w:p>
      <w:pPr>
        <w:ind w:left="3540" w:firstLine="708"/>
        <w:jc w:val="right"/>
      </w:pPr>
      <w:r>
        <w:t xml:space="preserve">Приложение № 2 к техническому заданию</w:t>
      </w:r>
      <w:r/>
      <w:r/>
    </w:p>
    <w:p>
      <w:r/>
      <w:r/>
    </w:p>
    <w:p>
      <w:r/>
      <w:r/>
    </w:p>
    <w:tbl>
      <w:tblPr>
        <w:tblW w:w="487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85" w:type="dxa"/>
          <w:top w:w="28" w:type="dxa"/>
          <w:right w:w="85" w:type="dxa"/>
          <w:bottom w:w="28" w:type="dxa"/>
        </w:tblCellMar>
        <w:tblLook w:val="0000" w:firstRow="0" w:lastRow="0" w:firstColumn="0" w:lastColumn="0" w:noHBand="0" w:noVBand="0"/>
      </w:tblPr>
      <w:tblGrid>
        <w:gridCol w:w="5344"/>
        <w:gridCol w:w="10266"/>
      </w:tblGrid>
      <w:tr>
        <w:tblPrEx/>
        <w:trPr>
          <w:cantSplit/>
          <w:jc w:val="center"/>
          <w:trHeight w:val="7636"/>
        </w:trPr>
        <w:tc>
          <w:tcPr>
            <w:tcW w:w="53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Изображение поставляемого товара</w:t>
            </w:r>
            <w:r/>
          </w:p>
        </w:tc>
        <w:tc>
          <w:tcPr>
            <w:tcW w:w="10266" w:type="dxa"/>
            <w:vAlign w:val="center"/>
            <w:textDirection w:val="lrTb"/>
            <w:noWrap w:val="false"/>
          </w:tcPr>
          <w:p>
            <w:r/>
            <w:r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23034" cy="4572477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8926938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4923034" cy="45724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87.64pt;height:360.04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567" w:right="539" w:bottom="425" w:left="2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Lucida Sans Unicode">
    <w:panose1 w:val="020B0502040504020204"/>
  </w:font>
  <w:font w:name="Tahoma">
    <w:panose1 w:val="020B0604030504040204"/>
  </w:font>
  <w:font w:name="Calibri">
    <w:panose1 w:val="020F0502020204030204"/>
  </w:font>
  <w:font w:name="Wingdings 2">
    <w:panose1 w:val="050401020108070707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separate"/>
    </w:r>
    <w:r>
      <w:rPr>
        <w:rStyle w:val="972"/>
      </w:rPr>
      <w:t xml:space="preserve">2</w: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separate"/>
    </w:r>
    <w:r>
      <w:rPr>
        <w:rStyle w:val="972"/>
      </w:rPr>
      <w:t xml:space="preserve">2</w: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3054" w:hanging="360"/>
      </w:pPr>
    </w:lvl>
    <w:lvl w:ilvl="1">
      <w:start w:val="3"/>
      <w:numFmt w:val="decimal"/>
      <w:isLgl/>
      <w:suff w:val="tab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35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71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7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72" w:hanging="1800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7"/>
      <w:numFmt w:val="upperRoman"/>
      <w:isLgl w:val="false"/>
      <w:suff w:val="tab"/>
      <w:lvlText w:val="%1."/>
      <w:lvlJc w:val="left"/>
      <w:pPr>
        <w:ind w:left="3414" w:hanging="720"/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3054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3414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3774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3774" w:hanging="108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4134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134" w:hanging="144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494" w:hanging="1800"/>
      </w:pPr>
      <w:rPr>
        <w:rFonts w:hint="default"/>
        <w:b w:val="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80" w:hanging="600"/>
      </w:pPr>
      <w:rPr>
        <w:rFonts w:hint="default"/>
      </w:rPr>
    </w:lvl>
    <w:lvl w:ilvl="2">
      <w:start w:val="10"/>
      <w:numFmt w:val="decimal"/>
      <w:isLgl w:val="false"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20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3774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77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77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13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13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49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85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854" w:hanging="1800"/>
      </w:pPr>
      <w:rPr>
        <w:rFonts w:hint="default"/>
      </w:rPr>
    </w:lvl>
  </w:abstractNum>
  <w:abstractNum w:abstractNumId="21">
    <w:multiLevelType w:val="hybridMultilevel"/>
    <w:lvl w:ilvl="0">
      <w:start w:val="7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32" w:hanging="39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5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4" w:hanging="180"/>
      </w:pPr>
    </w:lvl>
  </w:abstractNum>
  <w:abstractNum w:abstractNumId="3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8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3054" w:hanging="360"/>
      </w:pPr>
    </w:lvl>
    <w:lvl w:ilvl="1">
      <w:start w:val="3"/>
      <w:numFmt w:val="decimal"/>
      <w:isLgl/>
      <w:suff w:val="tab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35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71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7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72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4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90" w:hanging="510"/>
        <w:tabs>
          <w:tab w:val="num" w:pos="1590" w:leader="none"/>
        </w:tabs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  <w:tabs>
          <w:tab w:val="num" w:pos="39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  <w:tabs>
          <w:tab w:val="num" w:pos="6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  <w:tabs>
          <w:tab w:val="num" w:pos="90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41"/>
  </w:num>
  <w:num w:numId="2">
    <w:abstractNumId w:val="33"/>
  </w:num>
  <w:num w:numId="3">
    <w:abstractNumId w:val="37"/>
  </w:num>
  <w:num w:numId="4">
    <w:abstractNumId w:val="7"/>
  </w:num>
  <w:num w:numId="5">
    <w:abstractNumId w:val="20"/>
  </w:num>
  <w:num w:numId="6">
    <w:abstractNumId w:val="17"/>
  </w:num>
  <w:num w:numId="7">
    <w:abstractNumId w:val="28"/>
  </w:num>
  <w:num w:numId="8">
    <w:abstractNumId w:val="15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34"/>
  </w:num>
  <w:num w:numId="14">
    <w:abstractNumId w:val="23"/>
  </w:num>
  <w:num w:numId="15">
    <w:abstractNumId w:val="36"/>
  </w:num>
  <w:num w:numId="16">
    <w:abstractNumId w:val="22"/>
  </w:num>
  <w:num w:numId="17">
    <w:abstractNumId w:val="3"/>
  </w:num>
  <w:num w:numId="18">
    <w:abstractNumId w:val="27"/>
  </w:num>
  <w:num w:numId="19">
    <w:abstractNumId w:val="1"/>
  </w:num>
  <w:num w:numId="20">
    <w:abstractNumId w:val="21"/>
  </w:num>
  <w:num w:numId="21">
    <w:abstractNumId w:val="40"/>
  </w:num>
  <w:num w:numId="22">
    <w:abstractNumId w:val="35"/>
  </w:num>
  <w:num w:numId="23">
    <w:abstractNumId w:val="10"/>
  </w:num>
  <w:num w:numId="24">
    <w:abstractNumId w:val="38"/>
  </w:num>
  <w:num w:numId="25">
    <w:abstractNumId w:val="0"/>
  </w:num>
  <w:num w:numId="26">
    <w:abstractNumId w:val="39"/>
  </w:num>
  <w:num w:numId="27">
    <w:abstractNumId w:val="26"/>
  </w:num>
  <w:num w:numId="28">
    <w:abstractNumId w:val="6"/>
  </w:num>
  <w:num w:numId="29">
    <w:abstractNumId w:val="16"/>
  </w:num>
  <w:num w:numId="30">
    <w:abstractNumId w:val="8"/>
  </w:num>
  <w:num w:numId="31">
    <w:abstractNumId w:val="13"/>
  </w:num>
  <w:num w:numId="32">
    <w:abstractNumId w:val="14"/>
  </w:num>
  <w:num w:numId="33">
    <w:abstractNumId w:val="12"/>
  </w:num>
  <w:num w:numId="34">
    <w:abstractNumId w:val="9"/>
  </w:num>
  <w:num w:numId="35">
    <w:abstractNumId w:val="24"/>
  </w:num>
  <w:num w:numId="36">
    <w:abstractNumId w:val="32"/>
  </w:num>
  <w:num w:numId="37">
    <w:abstractNumId w:val="18"/>
  </w:num>
  <w:num w:numId="38">
    <w:abstractNumId w:val="5"/>
  </w:num>
  <w:num w:numId="39">
    <w:abstractNumId w:val="11"/>
  </w:num>
  <w:num w:numId="40">
    <w:abstractNumId w:val="25"/>
  </w:num>
  <w:num w:numId="41">
    <w:abstractNumId w:val="30"/>
  </w:num>
  <w:num w:numId="42">
    <w:abstractNumId w:val="3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4">
    <w:name w:val="Heading 3 Char"/>
    <w:basedOn w:val="807"/>
    <w:link w:val="800"/>
    <w:uiPriority w:val="9"/>
    <w:rPr>
      <w:rFonts w:ascii="Arial" w:hAnsi="Arial" w:eastAsia="Arial" w:cs="Arial"/>
      <w:sz w:val="30"/>
      <w:szCs w:val="30"/>
    </w:rPr>
  </w:style>
  <w:style w:type="character" w:styleId="785">
    <w:name w:val="Heading 4 Char"/>
    <w:basedOn w:val="807"/>
    <w:link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786">
    <w:name w:val="Heading 5 Char"/>
    <w:basedOn w:val="807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787">
    <w:name w:val="Heading 6 Char"/>
    <w:basedOn w:val="807"/>
    <w:link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788">
    <w:name w:val="Heading 7 Char"/>
    <w:basedOn w:val="807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8 Char"/>
    <w:basedOn w:val="807"/>
    <w:link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790">
    <w:name w:val="Heading 9 Char"/>
    <w:basedOn w:val="807"/>
    <w:link w:val="806"/>
    <w:uiPriority w:val="9"/>
    <w:rPr>
      <w:rFonts w:ascii="Arial" w:hAnsi="Arial" w:eastAsia="Arial" w:cs="Arial"/>
      <w:i/>
      <w:iCs/>
      <w:sz w:val="21"/>
      <w:szCs w:val="21"/>
    </w:rPr>
  </w:style>
  <w:style w:type="character" w:styleId="791">
    <w:name w:val="Title Char"/>
    <w:basedOn w:val="807"/>
    <w:link w:val="819"/>
    <w:uiPriority w:val="10"/>
    <w:rPr>
      <w:sz w:val="48"/>
      <w:szCs w:val="48"/>
    </w:rPr>
  </w:style>
  <w:style w:type="character" w:styleId="792">
    <w:name w:val="Subtitle Char"/>
    <w:basedOn w:val="807"/>
    <w:link w:val="821"/>
    <w:uiPriority w:val="11"/>
    <w:rPr>
      <w:sz w:val="24"/>
      <w:szCs w:val="24"/>
    </w:rPr>
  </w:style>
  <w:style w:type="character" w:styleId="793">
    <w:name w:val="Quote Char"/>
    <w:link w:val="823"/>
    <w:uiPriority w:val="29"/>
    <w:rPr>
      <w:i/>
    </w:rPr>
  </w:style>
  <w:style w:type="character" w:styleId="794">
    <w:name w:val="Intense Quote Char"/>
    <w:link w:val="825"/>
    <w:uiPriority w:val="30"/>
    <w:rPr>
      <w:i/>
    </w:rPr>
  </w:style>
  <w:style w:type="character" w:styleId="795">
    <w:name w:val="Footer Char"/>
    <w:basedOn w:val="807"/>
    <w:link w:val="828"/>
    <w:uiPriority w:val="99"/>
  </w:style>
  <w:style w:type="character" w:styleId="796">
    <w:name w:val="Caption Char"/>
    <w:basedOn w:val="807"/>
    <w:link w:val="830"/>
    <w:uiPriority w:val="35"/>
    <w:rPr>
      <w:b/>
      <w:bCs/>
      <w:color w:val="4f81bd" w:themeColor="accent1"/>
      <w:sz w:val="18"/>
      <w:szCs w:val="18"/>
    </w:rPr>
  </w:style>
  <w:style w:type="paragraph" w:styleId="7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8">
    <w:name w:val="Heading 1"/>
    <w:basedOn w:val="797"/>
    <w:next w:val="797"/>
    <w:link w:val="1003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99">
    <w:name w:val="Heading 2"/>
    <w:basedOn w:val="797"/>
    <w:next w:val="797"/>
    <w:link w:val="989"/>
    <w:uiPriority w:val="99"/>
    <w:qFormat/>
    <w:pPr>
      <w:keepNext/>
      <w:outlineLvl w:val="1"/>
    </w:pPr>
    <w:rPr>
      <w:rFonts w:eastAsia="Calibri"/>
      <w:sz w:val="20"/>
      <w:szCs w:val="20"/>
    </w:rPr>
  </w:style>
  <w:style w:type="paragraph" w:styleId="800">
    <w:name w:val="Heading 3"/>
    <w:basedOn w:val="797"/>
    <w:next w:val="797"/>
    <w:link w:val="8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1">
    <w:name w:val="Heading 4"/>
    <w:basedOn w:val="797"/>
    <w:next w:val="797"/>
    <w:link w:val="8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797"/>
    <w:next w:val="797"/>
    <w:link w:val="8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03">
    <w:name w:val="Heading 6"/>
    <w:basedOn w:val="797"/>
    <w:next w:val="797"/>
    <w:link w:val="8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797"/>
    <w:next w:val="797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797"/>
    <w:next w:val="797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797"/>
    <w:next w:val="797"/>
    <w:link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default="1">
    <w:name w:val="Default Paragraph Font"/>
    <w:uiPriority w:val="1"/>
    <w:semiHidden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character" w:styleId="810" w:customStyle="1">
    <w:name w:val="Heading 1 Char"/>
    <w:basedOn w:val="807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Heading 2 Char"/>
    <w:basedOn w:val="807"/>
    <w:uiPriority w:val="9"/>
    <w:rPr>
      <w:rFonts w:ascii="Arial" w:hAnsi="Arial" w:eastAsia="Arial" w:cs="Arial"/>
      <w:sz w:val="34"/>
    </w:rPr>
  </w:style>
  <w:style w:type="character" w:styleId="812" w:customStyle="1">
    <w:name w:val="Заголовок 3 Знак"/>
    <w:basedOn w:val="807"/>
    <w:link w:val="800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basedOn w:val="807"/>
    <w:link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basedOn w:val="807"/>
    <w:link w:val="802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basedOn w:val="807"/>
    <w:link w:val="803"/>
    <w:uiPriority w:val="9"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basedOn w:val="807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basedOn w:val="807"/>
    <w:link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basedOn w:val="807"/>
    <w:link w:val="806"/>
    <w:uiPriority w:val="9"/>
    <w:rPr>
      <w:rFonts w:ascii="Arial" w:hAnsi="Arial" w:eastAsia="Arial" w:cs="Arial"/>
      <w:i/>
      <w:iCs/>
      <w:sz w:val="21"/>
      <w:szCs w:val="21"/>
    </w:rPr>
  </w:style>
  <w:style w:type="paragraph" w:styleId="819">
    <w:name w:val="Title"/>
    <w:basedOn w:val="797"/>
    <w:next w:val="797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 w:customStyle="1">
    <w:name w:val="Заголовок Знак"/>
    <w:basedOn w:val="807"/>
    <w:link w:val="819"/>
    <w:uiPriority w:val="10"/>
    <w:rPr>
      <w:sz w:val="48"/>
      <w:szCs w:val="48"/>
    </w:rPr>
  </w:style>
  <w:style w:type="paragraph" w:styleId="821">
    <w:name w:val="Subtitle"/>
    <w:basedOn w:val="797"/>
    <w:next w:val="797"/>
    <w:link w:val="822"/>
    <w:uiPriority w:val="11"/>
    <w:qFormat/>
    <w:pPr>
      <w:spacing w:before="200" w:after="200"/>
    </w:pPr>
  </w:style>
  <w:style w:type="character" w:styleId="822" w:customStyle="1">
    <w:name w:val="Подзаголовок Знак"/>
    <w:basedOn w:val="807"/>
    <w:link w:val="821"/>
    <w:uiPriority w:val="11"/>
    <w:rPr>
      <w:sz w:val="24"/>
      <w:szCs w:val="24"/>
    </w:rPr>
  </w:style>
  <w:style w:type="paragraph" w:styleId="823">
    <w:name w:val="Quote"/>
    <w:basedOn w:val="797"/>
    <w:next w:val="797"/>
    <w:link w:val="824"/>
    <w:uiPriority w:val="29"/>
    <w:qFormat/>
    <w:pPr>
      <w:ind w:left="720" w:right="720"/>
    </w:pPr>
    <w:rPr>
      <w:i/>
    </w:rPr>
  </w:style>
  <w:style w:type="character" w:styleId="824" w:customStyle="1">
    <w:name w:val="Цитата 2 Знак"/>
    <w:link w:val="823"/>
    <w:uiPriority w:val="29"/>
    <w:rPr>
      <w:i/>
    </w:rPr>
  </w:style>
  <w:style w:type="paragraph" w:styleId="825">
    <w:name w:val="Intense Quote"/>
    <w:basedOn w:val="797"/>
    <w:next w:val="797"/>
    <w:link w:val="8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 w:customStyle="1">
    <w:name w:val="Выделенная цитата Знак"/>
    <w:link w:val="825"/>
    <w:uiPriority w:val="30"/>
    <w:rPr>
      <w:i/>
    </w:rPr>
  </w:style>
  <w:style w:type="character" w:styleId="827" w:customStyle="1">
    <w:name w:val="Header Char"/>
    <w:basedOn w:val="807"/>
    <w:uiPriority w:val="99"/>
  </w:style>
  <w:style w:type="paragraph" w:styleId="828">
    <w:name w:val="Footer"/>
    <w:basedOn w:val="797"/>
    <w:link w:val="8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9" w:customStyle="1">
    <w:name w:val="Нижний колонтитул Знак"/>
    <w:basedOn w:val="807"/>
    <w:link w:val="828"/>
    <w:uiPriority w:val="99"/>
  </w:style>
  <w:style w:type="paragraph" w:styleId="830">
    <w:name w:val="Caption"/>
    <w:basedOn w:val="797"/>
    <w:next w:val="797"/>
    <w:link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1" w:customStyle="1">
    <w:name w:val="Название объекта Знак"/>
    <w:basedOn w:val="807"/>
    <w:link w:val="830"/>
    <w:uiPriority w:val="35"/>
    <w:rPr>
      <w:b/>
      <w:bCs/>
      <w:color w:val="4f81bd" w:themeColor="accent1"/>
      <w:sz w:val="18"/>
      <w:szCs w:val="18"/>
    </w:rPr>
  </w:style>
  <w:style w:type="table" w:styleId="832" w:customStyle="1">
    <w:name w:val="Table Grid Light"/>
    <w:basedOn w:val="8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3">
    <w:name w:val="Plain Table 1"/>
    <w:basedOn w:val="8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2"/>
    <w:basedOn w:val="8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5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6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8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0" w:customStyle="1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1" w:customStyle="1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2" w:customStyle="1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3" w:customStyle="1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4" w:customStyle="1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5" w:customStyle="1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6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3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4" w:customStyle="1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5" w:customStyle="1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6" w:customStyle="1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7" w:customStyle="1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8" w:customStyle="1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9" w:customStyle="1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0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1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3" w:customStyle="1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4" w:customStyle="1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5" w:customStyle="1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6" w:customStyle="1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7" w:customStyle="1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8" w:customStyle="1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9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ned - Accent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Lined - Accent 1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8" w:customStyle="1">
    <w:name w:val="Lined - Accent 2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9" w:customStyle="1">
    <w:name w:val="Lined - Accent 3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0" w:customStyle="1">
    <w:name w:val="Lined - Accent 4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1" w:customStyle="1">
    <w:name w:val="Lined - Accent 5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2" w:customStyle="1">
    <w:name w:val="Lined - Accent 6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3" w:customStyle="1">
    <w:name w:val="Bordered &amp; Lined - Accent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4" w:customStyle="1">
    <w:name w:val="Bordered &amp; Lined - Accent 1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5" w:customStyle="1">
    <w:name w:val="Bordered &amp; Lined - Accent 2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6" w:customStyle="1">
    <w:name w:val="Bordered &amp; Lined - Accent 3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7" w:customStyle="1">
    <w:name w:val="Bordered &amp; Lined - Accent 4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8" w:customStyle="1">
    <w:name w:val="Bordered &amp; Lined - Accent 5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9" w:customStyle="1">
    <w:name w:val="Bordered &amp; Lined - Accent 6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0" w:customStyle="1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1" w:customStyle="1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2" w:customStyle="1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3" w:customStyle="1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4" w:customStyle="1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5" w:customStyle="1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6" w:customStyle="1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7" w:customStyle="1">
    <w:name w:val="Footnote Text Char"/>
    <w:uiPriority w:val="99"/>
    <w:rPr>
      <w:sz w:val="18"/>
    </w:rPr>
  </w:style>
  <w:style w:type="character" w:styleId="958" w:customStyle="1">
    <w:name w:val="Endnote Text Char"/>
    <w:uiPriority w:val="99"/>
    <w:rPr>
      <w:sz w:val="20"/>
    </w:rPr>
  </w:style>
  <w:style w:type="paragraph" w:styleId="959">
    <w:name w:val="toc 1"/>
    <w:basedOn w:val="797"/>
    <w:next w:val="797"/>
    <w:uiPriority w:val="39"/>
    <w:unhideWhenUsed/>
    <w:pPr>
      <w:spacing w:after="57"/>
    </w:pPr>
  </w:style>
  <w:style w:type="paragraph" w:styleId="960">
    <w:name w:val="toc 2"/>
    <w:basedOn w:val="797"/>
    <w:next w:val="797"/>
    <w:uiPriority w:val="39"/>
    <w:unhideWhenUsed/>
    <w:pPr>
      <w:ind w:left="283"/>
      <w:spacing w:after="57"/>
    </w:pPr>
  </w:style>
  <w:style w:type="paragraph" w:styleId="961">
    <w:name w:val="toc 3"/>
    <w:basedOn w:val="797"/>
    <w:next w:val="797"/>
    <w:uiPriority w:val="39"/>
    <w:unhideWhenUsed/>
    <w:pPr>
      <w:ind w:left="567"/>
      <w:spacing w:after="57"/>
    </w:pPr>
  </w:style>
  <w:style w:type="paragraph" w:styleId="962">
    <w:name w:val="toc 4"/>
    <w:basedOn w:val="797"/>
    <w:next w:val="797"/>
    <w:uiPriority w:val="39"/>
    <w:unhideWhenUsed/>
    <w:pPr>
      <w:ind w:left="850"/>
      <w:spacing w:after="57"/>
    </w:pPr>
  </w:style>
  <w:style w:type="paragraph" w:styleId="963">
    <w:name w:val="toc 5"/>
    <w:basedOn w:val="797"/>
    <w:next w:val="797"/>
    <w:uiPriority w:val="39"/>
    <w:unhideWhenUsed/>
    <w:pPr>
      <w:ind w:left="1134"/>
      <w:spacing w:after="57"/>
    </w:pPr>
  </w:style>
  <w:style w:type="paragraph" w:styleId="964">
    <w:name w:val="toc 6"/>
    <w:basedOn w:val="797"/>
    <w:next w:val="797"/>
    <w:uiPriority w:val="39"/>
    <w:unhideWhenUsed/>
    <w:pPr>
      <w:ind w:left="1417"/>
      <w:spacing w:after="57"/>
    </w:pPr>
  </w:style>
  <w:style w:type="paragraph" w:styleId="965">
    <w:name w:val="toc 7"/>
    <w:basedOn w:val="797"/>
    <w:next w:val="797"/>
    <w:uiPriority w:val="39"/>
    <w:unhideWhenUsed/>
    <w:pPr>
      <w:ind w:left="1701"/>
      <w:spacing w:after="57"/>
    </w:pPr>
  </w:style>
  <w:style w:type="paragraph" w:styleId="966">
    <w:name w:val="toc 8"/>
    <w:basedOn w:val="797"/>
    <w:next w:val="797"/>
    <w:uiPriority w:val="39"/>
    <w:unhideWhenUsed/>
    <w:pPr>
      <w:ind w:left="1984"/>
      <w:spacing w:after="57"/>
    </w:pPr>
  </w:style>
  <w:style w:type="paragraph" w:styleId="967">
    <w:name w:val="toc 9"/>
    <w:basedOn w:val="797"/>
    <w:next w:val="797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97"/>
    <w:next w:val="797"/>
    <w:uiPriority w:val="99"/>
    <w:unhideWhenUsed/>
  </w:style>
  <w:style w:type="paragraph" w:styleId="970">
    <w:name w:val="Header"/>
    <w:basedOn w:val="797"/>
    <w:link w:val="971"/>
    <w:uiPriority w:val="99"/>
    <w:pPr>
      <w:tabs>
        <w:tab w:val="center" w:pos="4677" w:leader="none"/>
        <w:tab w:val="right" w:pos="9355" w:leader="none"/>
      </w:tabs>
    </w:pPr>
  </w:style>
  <w:style w:type="character" w:styleId="971" w:customStyle="1">
    <w:name w:val="Верхний колонтитул Знак"/>
    <w:basedOn w:val="807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807"/>
  </w:style>
  <w:style w:type="paragraph" w:styleId="973">
    <w:name w:val="List Paragraph"/>
    <w:basedOn w:val="797"/>
    <w:link w:val="100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4">
    <w:name w:val="Hyperlink"/>
    <w:basedOn w:val="807"/>
    <w:uiPriority w:val="99"/>
    <w:unhideWhenUsed/>
    <w:rPr>
      <w:color w:val="0000ff"/>
      <w:u w:val="single"/>
    </w:rPr>
  </w:style>
  <w:style w:type="character" w:styleId="975" w:customStyle="1">
    <w:name w:val="b-serp-url__item1"/>
    <w:basedOn w:val="807"/>
  </w:style>
  <w:style w:type="character" w:styleId="976" w:customStyle="1">
    <w:name w:val="Body text_"/>
    <w:basedOn w:val="807"/>
    <w:link w:val="977"/>
    <w:rPr>
      <w:sz w:val="26"/>
      <w:szCs w:val="26"/>
      <w:shd w:val="clear" w:color="auto" w:fill="ffffff"/>
    </w:rPr>
  </w:style>
  <w:style w:type="paragraph" w:styleId="977" w:customStyle="1">
    <w:name w:val="Основной текст1"/>
    <w:basedOn w:val="797"/>
    <w:link w:val="976"/>
    <w:pPr>
      <w:spacing w:after="4500" w:line="324" w:lineRule="exact"/>
      <w:shd w:val="clear" w:color="auto" w:fill="ffffff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character" w:styleId="978" w:customStyle="1">
    <w:name w:val="Heading #2_"/>
    <w:basedOn w:val="807"/>
    <w:link w:val="979"/>
    <w:rPr>
      <w:sz w:val="26"/>
      <w:szCs w:val="26"/>
      <w:shd w:val="clear" w:color="auto" w:fill="ffffff"/>
    </w:rPr>
  </w:style>
  <w:style w:type="paragraph" w:styleId="979" w:customStyle="1">
    <w:name w:val="Heading #2"/>
    <w:basedOn w:val="797"/>
    <w:link w:val="978"/>
    <w:pPr>
      <w:spacing w:after="420" w:line="0" w:lineRule="atLeast"/>
      <w:shd w:val="clear" w:color="auto" w:fill="ffffff"/>
      <w:outlineLvl w:val="1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980">
    <w:name w:val="Balloon Text"/>
    <w:basedOn w:val="797"/>
    <w:link w:val="981"/>
    <w:uiPriority w:val="99"/>
    <w:semiHidden/>
    <w:unhideWhenUsed/>
    <w:rPr>
      <w:rFonts w:ascii="Arial" w:hAnsi="Arial" w:cs="Arial"/>
      <w:sz w:val="18"/>
      <w:szCs w:val="18"/>
    </w:rPr>
  </w:style>
  <w:style w:type="character" w:styleId="981" w:customStyle="1">
    <w:name w:val="Текст выноски Знак"/>
    <w:basedOn w:val="807"/>
    <w:link w:val="980"/>
    <w:uiPriority w:val="99"/>
    <w:semiHidden/>
    <w:rPr>
      <w:rFonts w:ascii="Arial" w:hAnsi="Arial" w:eastAsia="Times New Roman" w:cs="Arial"/>
      <w:sz w:val="18"/>
      <w:szCs w:val="18"/>
      <w:lang w:eastAsia="ru-RU"/>
    </w:rPr>
  </w:style>
  <w:style w:type="character" w:styleId="982">
    <w:name w:val="annotation reference"/>
    <w:basedOn w:val="807"/>
    <w:uiPriority w:val="99"/>
    <w:semiHidden/>
    <w:unhideWhenUsed/>
    <w:rPr>
      <w:sz w:val="16"/>
      <w:szCs w:val="16"/>
    </w:rPr>
  </w:style>
  <w:style w:type="paragraph" w:styleId="983">
    <w:name w:val="annotation text"/>
    <w:basedOn w:val="797"/>
    <w:link w:val="984"/>
    <w:uiPriority w:val="99"/>
    <w:semiHidden/>
    <w:unhideWhenUsed/>
    <w:rPr>
      <w:sz w:val="20"/>
      <w:szCs w:val="20"/>
    </w:rPr>
  </w:style>
  <w:style w:type="character" w:styleId="984" w:customStyle="1">
    <w:name w:val="Текст примечания Знак"/>
    <w:basedOn w:val="807"/>
    <w:link w:val="98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5">
    <w:name w:val="annotation subject"/>
    <w:basedOn w:val="983"/>
    <w:next w:val="983"/>
    <w:link w:val="986"/>
    <w:uiPriority w:val="99"/>
    <w:semiHidden/>
    <w:unhideWhenUsed/>
    <w:rPr>
      <w:b/>
      <w:bCs/>
    </w:rPr>
  </w:style>
  <w:style w:type="character" w:styleId="986" w:customStyle="1">
    <w:name w:val="Тема примечания Знак"/>
    <w:basedOn w:val="984"/>
    <w:link w:val="98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987">
    <w:name w:val="Table Grid"/>
    <w:basedOn w:val="808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89" w:customStyle="1">
    <w:name w:val="Заголовок 2 Знак"/>
    <w:basedOn w:val="807"/>
    <w:link w:val="799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990">
    <w:name w:val="No Spacing"/>
    <w:link w:val="991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991" w:customStyle="1">
    <w:name w:val="Без интервала Знак"/>
    <w:link w:val="990"/>
    <w:uiPriority w:val="1"/>
    <w:rPr>
      <w:rFonts w:ascii="Calibri" w:hAnsi="Calibri" w:eastAsia="Calibri" w:cs="Times New Roman"/>
    </w:rPr>
  </w:style>
  <w:style w:type="paragraph" w:styleId="992" w:customStyle="1">
    <w:name w:val="Standard"/>
    <w:pPr>
      <w:spacing w:after="0" w:line="240" w:lineRule="auto"/>
      <w:widowControl w:val="off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paragraph" w:styleId="993" w:customStyle="1">
    <w:name w:val="Table Contents"/>
    <w:basedOn w:val="992"/>
    <w:pPr>
      <w:suppressLineNumbers/>
    </w:pPr>
  </w:style>
  <w:style w:type="paragraph" w:styleId="994" w:customStyle="1">
    <w:name w:val="pboth"/>
    <w:basedOn w:val="797"/>
    <w:pPr>
      <w:spacing w:before="100" w:after="100"/>
    </w:pPr>
  </w:style>
  <w:style w:type="paragraph" w:styleId="995">
    <w:name w:val="footnote text"/>
    <w:basedOn w:val="797"/>
    <w:link w:val="996"/>
    <w:uiPriority w:val="99"/>
    <w:semiHidden/>
    <w:unhideWhenUsed/>
    <w:rPr>
      <w:sz w:val="20"/>
      <w:szCs w:val="20"/>
    </w:rPr>
  </w:style>
  <w:style w:type="character" w:styleId="996" w:customStyle="1">
    <w:name w:val="Текст сноски Знак"/>
    <w:basedOn w:val="807"/>
    <w:link w:val="99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97">
    <w:name w:val="footnote reference"/>
    <w:basedOn w:val="807"/>
    <w:uiPriority w:val="99"/>
    <w:semiHidden/>
    <w:unhideWhenUsed/>
    <w:rPr>
      <w:vertAlign w:val="superscript"/>
    </w:rPr>
  </w:style>
  <w:style w:type="paragraph" w:styleId="998">
    <w:name w:val="endnote text"/>
    <w:basedOn w:val="797"/>
    <w:link w:val="999"/>
    <w:uiPriority w:val="99"/>
    <w:semiHidden/>
    <w:unhideWhenUsed/>
    <w:rPr>
      <w:sz w:val="20"/>
      <w:szCs w:val="20"/>
    </w:rPr>
  </w:style>
  <w:style w:type="character" w:styleId="999" w:customStyle="1">
    <w:name w:val="Текст концевой сноски Знак"/>
    <w:basedOn w:val="807"/>
    <w:link w:val="99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0">
    <w:name w:val="endnote reference"/>
    <w:basedOn w:val="807"/>
    <w:uiPriority w:val="99"/>
    <w:semiHidden/>
    <w:unhideWhenUsed/>
    <w:rPr>
      <w:vertAlign w:val="superscript"/>
    </w:rPr>
  </w:style>
  <w:style w:type="character" w:styleId="1001" w:customStyle="1">
    <w:name w:val="Абзац списка Знак"/>
    <w:basedOn w:val="807"/>
    <w:link w:val="973"/>
    <w:uiPriority w:val="34"/>
    <w:rPr>
      <w:rFonts w:ascii="Calibri" w:hAnsi="Calibri" w:eastAsia="Calibri" w:cs="Times New Roman"/>
    </w:rPr>
  </w:style>
  <w:style w:type="character" w:styleId="1002">
    <w:name w:val="Strong"/>
    <w:basedOn w:val="807"/>
    <w:uiPriority w:val="22"/>
    <w:qFormat/>
    <w:rPr>
      <w:b/>
      <w:bCs/>
    </w:rPr>
  </w:style>
  <w:style w:type="character" w:styleId="1003" w:customStyle="1">
    <w:name w:val="Заголовок 1 Знак"/>
    <w:basedOn w:val="807"/>
    <w:link w:val="798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1004" w:customStyle="1">
    <w:name w:val="product-features__name"/>
    <w:basedOn w:val="807"/>
  </w:style>
  <w:style w:type="character" w:styleId="1005" w:customStyle="1">
    <w:name w:val="product-features__text-lowcase"/>
    <w:basedOn w:val="807"/>
  </w:style>
  <w:style w:type="paragraph" w:styleId="1006">
    <w:name w:val="Normal (Web)"/>
    <w:basedOn w:val="797"/>
    <w:uiPriority w:val="99"/>
    <w:unhideWhenUsed/>
    <w:pPr>
      <w:spacing w:before="100" w:beforeAutospacing="1" w:after="100" w:afterAutospacing="1"/>
    </w:pPr>
  </w:style>
  <w:style w:type="character" w:styleId="1007" w:customStyle="1">
    <w:name w:val="char-item__details-icon"/>
    <w:basedOn w:val="807"/>
  </w:style>
  <w:style w:type="paragraph" w:styleId="1008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A93A-FFEB-48B2-B375-B6F9C6A1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Варламов</dc:creator>
  <cp:lastModifiedBy>a.tryapochkin</cp:lastModifiedBy>
  <cp:revision>4</cp:revision>
  <dcterms:created xsi:type="dcterms:W3CDTF">2026-05-20T11:09:00Z</dcterms:created>
  <dcterms:modified xsi:type="dcterms:W3CDTF">2026-05-26T09:55:14Z</dcterms:modified>
</cp:coreProperties>
</file>