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83/26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xml:space="preserve">«      » </w:t>
      </w:r>
      <w:r>
        <w:rPr/>
        <w:t>июня</w:t>
      </w:r>
      <w:r>
        <w:rPr/>
        <w:t xml:space="preserve"> 2026г.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 товар:</w:t>
      </w:r>
      <w:bookmarkStart w:id="3" w:name="_Hlk174882135"/>
      <w:r>
        <w:rPr/>
        <w:t xml:space="preserve"> </w:t>
      </w:r>
      <w:bookmarkEnd w:id="3"/>
      <w:r>
        <w:rPr>
          <w:b/>
          <w:bCs/>
        </w:rPr>
        <w:t>Реагенты</w:t>
      </w:r>
      <w:r>
        <w:rPr/>
        <w:t xml:space="preserve"> и передать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text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text1" w:val="000000"/>
          <w:sz w:val="24"/>
          <w:lang w:val="ru-RU"/>
        </w:rPr>
        <w:t xml:space="preserve">. </w:t>
      </w:r>
      <w:r>
        <w:rPr>
          <w:rFonts w:eastAsia="Times New Roman"/>
          <w:color w:themeColor="text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 xml:space="preserve">4.1. Поставка товара осуществляется с даты заключения контракта в течение 30 календарных </w:t>
      </w:r>
      <w:r>
        <w:rPr>
          <w:shd w:fill="auto" w:val="clear"/>
        </w:rPr>
        <w:t>дней.</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pPr>
      <w:r>
        <w:rPr>
          <w:color w:themeColor="text1" w:val="000000"/>
        </w:rPr>
        <w:t> </w:t>
      </w:r>
      <w:r>
        <w:rPr>
          <w:color w:themeColor="text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highlight w:val="yellow"/>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Настоящий Контракт вступает в силу с момента заключения и действует до 31.08</w:t>
      </w:r>
      <w:r>
        <w:rPr>
          <w:rFonts w:ascii="Times New Roman" w:hAnsi="Times New Roman"/>
          <w:sz w:val="20"/>
          <w:szCs w:val="20"/>
          <w:shd w:fill="FFFF00" w:val="clear"/>
        </w:rPr>
        <w:t xml:space="preserve">.2026 г., </w:t>
      </w:r>
      <w:r>
        <w:rPr>
          <w:rFonts w:ascii="Times New Roman" w:hAnsi="Times New Roman"/>
          <w:sz w:val="20"/>
          <w:szCs w:val="20"/>
        </w:rPr>
        <w:t>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color="auto" w:fill="FFFFFF"/>
        <w:jc w:val="center"/>
        <w:rPr>
          <w:b/>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b/>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widowControl/>
              <w:overflowPunct w:val="true"/>
              <w:spacing w:before="0" w:after="0"/>
              <w:jc w:val="left"/>
              <w:textAlignment w:val="auto"/>
              <w:rPr>
                <w:b/>
                <w:szCs w:val="24"/>
              </w:rPr>
            </w:pPr>
            <w:r>
              <w:rPr>
                <w:b/>
                <w:szCs w:val="24"/>
              </w:rPr>
              <w:t>УФК по Новосибирской области (НИИ КПССЗ л/с 20396Х66880)</w:t>
            </w:r>
          </w:p>
          <w:p>
            <w:pPr>
              <w:pStyle w:val="Normal"/>
              <w:widowControl/>
              <w:overflowPunct w:val="true"/>
              <w:spacing w:before="0" w:after="0"/>
              <w:jc w:val="left"/>
              <w:textAlignment w:val="auto"/>
              <w:rPr>
                <w:b/>
                <w:szCs w:val="24"/>
              </w:rPr>
            </w:pPr>
            <w:r>
              <w:rPr>
                <w:b/>
                <w:szCs w:val="24"/>
              </w:rPr>
              <w:t>УФК по Новосибирской области (НИИ КПССЗ л/с 22396Х66880)</w:t>
            </w:r>
          </w:p>
          <w:p>
            <w:pPr>
              <w:pStyle w:val="Normal"/>
              <w:widowControl/>
              <w:overflowPunct w:val="true"/>
              <w:spacing w:before="0" w:after="0"/>
              <w:jc w:val="left"/>
              <w:textAlignment w:val="auto"/>
              <w:rPr>
                <w:b/>
                <w:szCs w:val="24"/>
              </w:rPr>
            </w:pPr>
            <w:r>
              <w:rPr>
                <w:b/>
                <w:szCs w:val="24"/>
              </w:rPr>
              <w:t>УФК по Новосибирской области (НИИ КПССЗ л/с 21396Х66880)</w:t>
            </w:r>
          </w:p>
          <w:p>
            <w:pPr>
              <w:pStyle w:val="Normal"/>
              <w:widowControl/>
              <w:overflowPunct w:val="true"/>
              <w:spacing w:before="0" w:after="0"/>
              <w:jc w:val="left"/>
              <w:textAlignment w:val="auto"/>
              <w:rPr>
                <w:szCs w:val="24"/>
              </w:rPr>
            </w:pPr>
            <w:r>
              <w:rPr>
                <w:szCs w:val="24"/>
              </w:rPr>
              <w:t>ИНН 4205012290  КПП 420501001</w:t>
            </w:r>
          </w:p>
          <w:p>
            <w:pPr>
              <w:pStyle w:val="Normal"/>
              <w:widowControl/>
              <w:overflowPunct w:val="true"/>
              <w:spacing w:before="0" w:after="0"/>
              <w:jc w:val="left"/>
              <w:textAlignment w:val="auto"/>
              <w:rPr>
                <w:szCs w:val="24"/>
              </w:rPr>
            </w:pPr>
            <w:r>
              <w:rPr>
                <w:szCs w:val="24"/>
              </w:rPr>
              <w:t>р/с 03214643000000015106</w:t>
            </w:r>
          </w:p>
          <w:p>
            <w:pPr>
              <w:pStyle w:val="Normal"/>
              <w:widowControl/>
              <w:overflowPunct w:val="true"/>
              <w:spacing w:before="0" w:after="0"/>
              <w:jc w:val="left"/>
              <w:textAlignment w:val="auto"/>
              <w:rPr/>
            </w:pPr>
            <w:r>
              <w:rPr>
                <w:rFonts w:eastAsia="Times New Roman" w:cs="Times New Roman"/>
                <w:color w:val="auto"/>
                <w:sz w:val="24"/>
                <w:szCs w:val="24"/>
                <w:lang w:val="ru-RU" w:eastAsia="zh-CN" w:bidi="ar-SA"/>
              </w:rPr>
              <w:t>ОКЦ № 1 СибГУ Банка России</w:t>
            </w:r>
            <w:r>
              <w:rPr>
                <w:szCs w:val="24"/>
              </w:rPr>
              <w:t>//УФК по Новосибирской области, г. Новосибирск</w:t>
            </w:r>
          </w:p>
          <w:p>
            <w:pPr>
              <w:pStyle w:val="Normal"/>
              <w:widowControl/>
              <w:overflowPunct w:val="true"/>
              <w:spacing w:before="0" w:after="0"/>
              <w:jc w:val="left"/>
              <w:textAlignment w:val="auto"/>
              <w:rPr>
                <w:szCs w:val="24"/>
              </w:rPr>
            </w:pPr>
            <w:r>
              <w:rPr>
                <w:szCs w:val="24"/>
              </w:rPr>
              <w:t>БИК 015004950</w:t>
            </w:r>
          </w:p>
          <w:p>
            <w:pPr>
              <w:pStyle w:val="Normal"/>
              <w:widowControl/>
              <w:overflowPunct w:val="true"/>
              <w:spacing w:before="0" w:after="0"/>
              <w:jc w:val="left"/>
              <w:textAlignment w:val="auto"/>
              <w:rPr>
                <w:szCs w:val="24"/>
              </w:rPr>
            </w:pPr>
            <w:r>
              <w:rPr>
                <w:szCs w:val="24"/>
              </w:rPr>
              <w:t>к/с 40102810445370000043</w:t>
            </w:r>
          </w:p>
          <w:p>
            <w:pPr>
              <w:pStyle w:val="Normal"/>
              <w:widowControl/>
              <w:overflowPunct w:val="true"/>
              <w:spacing w:before="0" w:after="0"/>
              <w:jc w:val="left"/>
              <w:textAlignment w:val="auto"/>
              <w:rPr/>
            </w:pPr>
            <w:r>
              <w:rPr>
                <w:b/>
                <w:szCs w:val="24"/>
                <w:u w:val="single"/>
              </w:rPr>
              <w:t>КБК 00000000000000000</w:t>
            </w:r>
            <w:r>
              <w:rPr>
                <w:b/>
                <w:szCs w:val="24"/>
                <w:u w:val="single"/>
                <w:lang w:val="en-US"/>
              </w:rPr>
              <w:t>130</w:t>
            </w:r>
          </w:p>
          <w:p>
            <w:pPr>
              <w:pStyle w:val="Normal"/>
              <w:widowControl/>
              <w:overflowPunct w:val="true"/>
              <w:spacing w:before="0" w:after="0"/>
              <w:jc w:val="left"/>
              <w:textAlignment w:val="auto"/>
              <w:rPr>
                <w:szCs w:val="24"/>
              </w:rPr>
            </w:pPr>
            <w:r>
              <w:rPr>
                <w:szCs w:val="24"/>
              </w:rPr>
              <w:t>ОГРН 1034205024479</w:t>
            </w:r>
          </w:p>
          <w:p>
            <w:pPr>
              <w:pStyle w:val="Normal"/>
              <w:widowControl/>
              <w:overflowPunct w:val="true"/>
              <w:spacing w:before="0" w:after="0"/>
              <w:jc w:val="left"/>
              <w:textAlignment w:val="auto"/>
              <w:rPr>
                <w:szCs w:val="24"/>
              </w:rPr>
            </w:pPr>
            <w:r>
              <w:rPr>
                <w:szCs w:val="24"/>
              </w:rPr>
              <w:t>ОКПО 55608705</w:t>
            </w:r>
          </w:p>
          <w:p>
            <w:pPr>
              <w:pStyle w:val="Normal"/>
              <w:widowControl/>
              <w:overflowPunct w:val="true"/>
              <w:spacing w:before="0" w:after="0"/>
              <w:jc w:val="left"/>
              <w:textAlignment w:val="auto"/>
              <w:rPr>
                <w:szCs w:val="24"/>
              </w:rPr>
            </w:pPr>
            <w:r>
              <w:rPr>
                <w:szCs w:val="24"/>
              </w:rPr>
              <w:t>ОКАТО 32401000000</w:t>
            </w:r>
          </w:p>
          <w:p>
            <w:pPr>
              <w:pStyle w:val="Normal"/>
              <w:widowControl/>
              <w:overflowPunct w:val="true"/>
              <w:spacing w:before="0" w:after="0"/>
              <w:jc w:val="left"/>
              <w:textAlignment w:val="auto"/>
              <w:rPr>
                <w:szCs w:val="24"/>
              </w:rPr>
            </w:pPr>
            <w:r>
              <w:rPr>
                <w:szCs w:val="24"/>
              </w:rPr>
              <w:t>ОКТМО 32701000</w:t>
            </w:r>
          </w:p>
          <w:p>
            <w:pPr>
              <w:pStyle w:val="Normal"/>
              <w:widowControl/>
              <w:overflowPunct w:val="true"/>
              <w:spacing w:before="0" w:after="0"/>
              <w:jc w:val="left"/>
              <w:textAlignment w:val="auto"/>
              <w:rPr>
                <w:szCs w:val="24"/>
              </w:rPr>
            </w:pPr>
            <w:r>
              <w:rPr>
                <w:szCs w:val="24"/>
              </w:rPr>
              <w:t>ОКОГУ 1330612</w:t>
            </w:r>
          </w:p>
          <w:p>
            <w:pPr>
              <w:pStyle w:val="Normal"/>
              <w:widowControl/>
              <w:overflowPunct w:val="true"/>
              <w:spacing w:before="0" w:after="0"/>
              <w:jc w:val="left"/>
              <w:textAlignment w:val="auto"/>
              <w:rPr>
                <w:szCs w:val="24"/>
              </w:rPr>
            </w:pPr>
            <w:r>
              <w:rPr>
                <w:szCs w:val="24"/>
              </w:rPr>
              <w:t>ОКФС 12</w:t>
            </w:r>
          </w:p>
          <w:p>
            <w:pPr>
              <w:pStyle w:val="Normal"/>
              <w:widowControl/>
              <w:overflowPunct w:val="true"/>
              <w:spacing w:before="0" w:after="0"/>
              <w:jc w:val="left"/>
              <w:textAlignment w:val="auto"/>
              <w:rPr>
                <w:szCs w:val="24"/>
              </w:rPr>
            </w:pPr>
            <w:r>
              <w:rPr>
                <w:szCs w:val="24"/>
              </w:rPr>
              <w:t>ОКОПФ 75103</w:t>
            </w:r>
          </w:p>
          <w:p>
            <w:pPr>
              <w:pStyle w:val="Normal"/>
              <w:jc w:val="both"/>
              <w:rPr/>
            </w:pPr>
            <w:r>
              <w:rPr/>
            </w:r>
          </w:p>
          <w:p>
            <w:pPr>
              <w:pStyle w:val="Normal"/>
              <w:jc w:val="both"/>
              <w:rPr/>
            </w:pPr>
            <w:r>
              <w:rPr/>
            </w:r>
          </w:p>
          <w:p>
            <w:pPr>
              <w:pStyle w:val="11"/>
              <w:rPr>
                <w:rFonts w:ascii="Times New Roman" w:hAnsi="Times New Roman" w:cs="Times New Roman"/>
                <w:sz w:val="20"/>
                <w:szCs w:val="20"/>
              </w:rPr>
            </w:pPr>
            <w:r>
              <w:rPr>
                <w:rFonts w:cs="Times New Roman" w:ascii="Times New Roman" w:hAnsi="Times New Roman"/>
                <w:sz w:val="20"/>
                <w:szCs w:val="20"/>
              </w:rPr>
              <w:t>Начальник отдела обеспечения</w:t>
            </w:r>
          </w:p>
          <w:p>
            <w:pPr>
              <w:pStyle w:val="11"/>
              <w:rPr>
                <w:rFonts w:ascii="Times New Roman" w:hAnsi="Times New Roman" w:cs="Times New Roman"/>
                <w:sz w:val="20"/>
                <w:szCs w:val="20"/>
              </w:rPr>
            </w:pPr>
            <w:r>
              <w:rPr>
                <w:rFonts w:cs="Times New Roman" w:ascii="Times New Roman" w:hAnsi="Times New Roman"/>
                <w:sz w:val="20"/>
                <w:szCs w:val="20"/>
              </w:rPr>
              <w:t>лекарственными изделиями и</w:t>
            </w:r>
          </w:p>
          <w:p>
            <w:pPr>
              <w:pStyle w:val="11"/>
              <w:rPr>
                <w:rFonts w:ascii="Times New Roman" w:hAnsi="Times New Roman" w:cs="Times New Roman"/>
                <w:sz w:val="20"/>
                <w:szCs w:val="20"/>
              </w:rPr>
            </w:pPr>
            <w:r>
              <w:rPr>
                <w:rFonts w:cs="Times New Roman" w:ascii="Times New Roman" w:hAnsi="Times New Roman"/>
                <w:sz w:val="20"/>
                <w:szCs w:val="20"/>
              </w:rPr>
              <w:t>медицинскими изделиями</w:t>
            </w:r>
          </w:p>
          <w:p>
            <w:pPr>
              <w:pStyle w:val="11"/>
              <w:rPr>
                <w:rFonts w:ascii="Times New Roman" w:hAnsi="Times New Roman" w:cs="Times New Roman"/>
                <w:sz w:val="20"/>
                <w:szCs w:val="20"/>
              </w:rPr>
            </w:pPr>
            <w:r>
              <w:rPr>
                <w:rFonts w:cs="Times New Roman" w:ascii="Times New Roman" w:hAnsi="Times New Roman"/>
                <w:sz w:val="20"/>
                <w:szCs w:val="20"/>
              </w:rPr>
            </w:r>
          </w:p>
          <w:p>
            <w:pPr>
              <w:pStyle w:val="Normal"/>
              <w:rPr/>
            </w:pPr>
            <w:r>
              <w:rPr/>
              <w:t>____________ Н.В. Ковжун</w:t>
            </w:r>
          </w:p>
          <w:p>
            <w:pPr>
              <w:pStyle w:val="Normal"/>
              <w:rPr/>
            </w:pPr>
            <w:r>
              <w:rPr/>
            </w:r>
          </w:p>
        </w:tc>
        <w:tc>
          <w:tcPr>
            <w:tcW w:w="4819" w:type="dxa"/>
            <w:tcBorders/>
          </w:tcPr>
          <w:p>
            <w:pPr>
              <w:pStyle w:val="Normal"/>
              <w:jc w:val="both"/>
              <w:rPr/>
            </w:pPr>
            <w:r>
              <w:rPr/>
            </w:r>
          </w:p>
          <w:p>
            <w:pPr>
              <w:pStyle w:val="Normal"/>
              <w:jc w:val="both"/>
              <w:rPr>
                <w:b/>
                <w:bCs/>
                <w:highlight w:val="yellow"/>
              </w:rPr>
            </w:pPr>
            <w:r>
              <w:rPr>
                <w:b/>
                <w:bCs/>
                <w:highlight w:val="yellow"/>
              </w:rPr>
              <w:t>Поставщик:</w:t>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 83/26</w:t>
      </w:r>
    </w:p>
    <w:p>
      <w:pPr>
        <w:pStyle w:val="Normal"/>
        <w:spacing w:before="0" w:after="60"/>
        <w:jc w:val="right"/>
        <w:rPr>
          <w:b/>
          <w:bCs/>
        </w:rPr>
      </w:pPr>
      <w:r>
        <w:rPr/>
        <w:t xml:space="preserve">                                                                                                                                </w:t>
      </w:r>
      <w:r>
        <w:rPr>
          <w:rFonts w:eastAsia="Calibri"/>
          <w:lang w:eastAsia="en-US"/>
        </w:rPr>
        <w:t>«      » ______________ 2026г.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675"/>
        <w:gridCol w:w="7689"/>
        <w:gridCol w:w="399"/>
        <w:gridCol w:w="849"/>
        <w:gridCol w:w="306"/>
        <w:gridCol w:w="101"/>
        <w:gridCol w:w="1155"/>
        <w:gridCol w:w="264"/>
        <w:gridCol w:w="870"/>
        <w:gridCol w:w="1278"/>
        <w:gridCol w:w="2127"/>
      </w:tblGrid>
      <w:tr>
        <w:trPr>
          <w:trHeight w:val="574" w:hRule="atLeast"/>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w:t>
            </w:r>
          </w:p>
          <w:p>
            <w:pPr>
              <w:pStyle w:val="Normal"/>
              <w:widowControl w:val="false"/>
              <w:jc w:val="center"/>
              <w:rPr>
                <w:highlight w:val="none"/>
                <w:shd w:fill="auto" w:val="clear"/>
              </w:rPr>
            </w:pPr>
            <w:r>
              <w:rPr>
                <w:shd w:fill="auto" w:val="clear"/>
              </w:rPr>
              <w:t>п/п</w:t>
            </w:r>
          </w:p>
        </w:tc>
        <w:tc>
          <w:tcPr>
            <w:tcW w:w="7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Наименование, минимальные технические (качественные) характеристики  товара</w:t>
            </w:r>
          </w:p>
        </w:tc>
        <w:tc>
          <w:tcPr>
            <w:tcW w:w="15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hd w:fill="auto" w:val="clear"/>
              </w:rPr>
              <w:t>Кол-во</w:t>
            </w:r>
          </w:p>
        </w:tc>
        <w:tc>
          <w:tcPr>
            <w:tcW w:w="12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Ед. изм.</w:t>
            </w:r>
          </w:p>
        </w:tc>
        <w:tc>
          <w:tcPr>
            <w:tcW w:w="241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Стоимость единицы с НДС , рублей</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Общая стоимость с НДС, рублей</w:t>
            </w:r>
          </w:p>
        </w:tc>
      </w:tr>
      <w:tr>
        <w:trPr>
          <w:trHeight w:val="406" w:hRule="atLeast"/>
        </w:trPr>
        <w:tc>
          <w:tcPr>
            <w:tcW w:w="675" w:type="dxa"/>
            <w:tcBorders>
              <w:top w:val="single" w:sz="4" w:space="0" w:color="000000"/>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7689" w:type="dxa"/>
            <w:tcBorders>
              <w:top w:val="single" w:sz="4" w:space="0" w:color="000001"/>
              <w:left w:val="single" w:sz="4" w:space="0" w:color="000001"/>
              <w:bottom w:val="single" w:sz="4" w:space="0" w:color="000000"/>
              <w:right w:val="single" w:sz="4" w:space="0" w:color="000000"/>
            </w:tcBorders>
          </w:tcPr>
          <w:p>
            <w:pPr>
              <w:pStyle w:val="user6"/>
              <w:jc w:val="center"/>
              <w:rPr>
                <w:sz w:val="18"/>
              </w:rPr>
            </w:pPr>
            <w:r>
              <w:rPr>
                <w:sz w:val="18"/>
              </w:rPr>
            </w:r>
          </w:p>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18"/>
                <w:szCs w:val="20"/>
                <w:shd w:fill="auto" w:val="clear"/>
              </w:rPr>
              <w:t>РФМК-тест, флаконный (200 опр)</w:t>
            </w:r>
          </w:p>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20"/>
                <w:szCs w:val="20"/>
                <w:shd w:fill="auto" w:val="clear"/>
              </w:rPr>
              <w:t>Страна происхождения товара:</w:t>
            </w:r>
          </w:p>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20"/>
                <w:szCs w:val="20"/>
                <w:shd w:fill="auto" w:val="clear"/>
              </w:rPr>
              <w:t>ОКПД 2:21.20.23.110</w:t>
            </w:r>
          </w:p>
          <w:p>
            <w:pPr>
              <w:pStyle w:val="Normal"/>
              <w:spacing w:lineRule="auto" w:line="240" w:before="0" w:after="0"/>
              <w:rPr>
                <w:rFonts w:cs="Times New Roman"/>
                <w:b w:val="false"/>
                <w:i w:val="false"/>
                <w:i w:val="false"/>
                <w:caps w:val="false"/>
                <w:smallCaps w:val="false"/>
                <w:color w:val="000000"/>
                <w:spacing w:val="0"/>
                <w:sz w:val="18"/>
                <w:szCs w:val="20"/>
                <w:shd w:fill="auto" w:val="clear"/>
              </w:rPr>
            </w:pPr>
            <w:r>
              <w:rPr>
                <w:rFonts w:cs="Times New Roman"/>
                <w:b w:val="false"/>
                <w:i w:val="false"/>
                <w:caps w:val="false"/>
                <w:smallCaps w:val="false"/>
                <w:color w:val="000000"/>
                <w:spacing w:val="0"/>
                <w:sz w:val="18"/>
                <w:szCs w:val="20"/>
                <w:shd w:fill="auto" w:val="clear"/>
              </w:rPr>
            </w:r>
          </w:p>
        </w:tc>
        <w:tc>
          <w:tcPr>
            <w:tcW w:w="1554"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6</w:t>
            </w:r>
          </w:p>
        </w:tc>
        <w:tc>
          <w:tcPr>
            <w:tcW w:w="1256" w:type="dxa"/>
            <w:gridSpan w:val="2"/>
            <w:tcBorders>
              <w:top w:val="single" w:sz="4" w:space="0" w:color="000001"/>
              <w:left w:val="single" w:sz="4" w:space="0" w:color="000001"/>
              <w:bottom w:val="single" w:sz="4" w:space="0" w:color="000000"/>
            </w:tcBorders>
            <w:vAlign w:val="center"/>
          </w:tcPr>
          <w:p>
            <w:pPr>
              <w:pStyle w:val="Normal"/>
              <w:jc w:val="center"/>
              <w:rPr>
                <w:highlight w:val="none"/>
                <w:shd w:fill="auto" w:val="clear"/>
              </w:rPr>
            </w:pPr>
            <w:r>
              <w:rPr>
                <w:shd w:fill="auto" w:val="clear"/>
              </w:rPr>
              <w:t>набор</w:t>
            </w:r>
          </w:p>
        </w:tc>
        <w:tc>
          <w:tcPr>
            <w:tcW w:w="2412"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top w:val="single" w:sz="4" w:space="0" w:color="000000"/>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406" w:hRule="atLeast"/>
        </w:trPr>
        <w:tc>
          <w:tcPr>
            <w:tcW w:w="675" w:type="dxa"/>
            <w:tcBorders>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2</w:t>
            </w:r>
          </w:p>
        </w:tc>
        <w:tc>
          <w:tcPr>
            <w:tcW w:w="7689" w:type="dxa"/>
            <w:tcBorders>
              <w:left w:val="single" w:sz="4" w:space="0" w:color="000001"/>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18"/>
                <w:szCs w:val="20"/>
                <w:u w:val="none"/>
                <w:shd w:fill="auto" w:val="clear"/>
              </w:rPr>
              <w:t xml:space="preserve"> </w:t>
            </w:r>
            <w:r>
              <w:rPr>
                <w:rFonts w:cs="Times New Roman"/>
                <w:b w:val="false"/>
                <w:i w:val="false"/>
                <w:caps w:val="false"/>
                <w:smallCaps w:val="false"/>
                <w:color w:val="000000"/>
                <w:spacing w:val="0"/>
                <w:sz w:val="18"/>
                <w:szCs w:val="20"/>
                <w:u w:val="none"/>
                <w:shd w:fill="auto" w:val="clear"/>
              </w:rPr>
              <w:t>Набор реагентов для бактериологических исследований "Питательный агар для культивирования микроорганизмов сухой"</w:t>
            </w:r>
          </w:p>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18"/>
                <w:szCs w:val="20"/>
                <w:u w:val="none"/>
                <w:shd w:fill="auto" w:val="clear"/>
              </w:rPr>
              <w:t xml:space="preserve">Питательный ГРМ-агар, </w:t>
            </w:r>
            <w:r>
              <w:rPr/>
              <w:t>представляет собой мелкодисперсный гигроскопичный порошок светло-желтого цвета.</w:t>
            </w:r>
          </w:p>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18"/>
                <w:szCs w:val="20"/>
                <w:u w:val="none"/>
                <w:shd w:fill="auto" w:val="clear"/>
              </w:rPr>
              <w:t>В</w:t>
            </w:r>
            <w:r>
              <w:rPr>
                <w:rFonts w:cs="Times New Roman"/>
                <w:b w:val="false"/>
                <w:i w:val="false"/>
                <w:caps w:val="false"/>
                <w:smallCaps w:val="false"/>
                <w:color w:val="000000"/>
                <w:spacing w:val="0"/>
                <w:sz w:val="18"/>
                <w:szCs w:val="20"/>
                <w:u w:val="none"/>
                <w:shd w:fill="auto" w:val="clear"/>
              </w:rPr>
              <w:t xml:space="preserve"> полиэтиленовых банках по 250 г.</w:t>
            </w:r>
          </w:p>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18"/>
                <w:szCs w:val="20"/>
                <w:u w:val="none"/>
                <w:shd w:fill="auto" w:val="clear"/>
              </w:rPr>
              <w:t xml:space="preserve">Срок годности  </w:t>
            </w:r>
            <w:r>
              <w:rPr>
                <w:rFonts w:cs="Times New Roman"/>
                <w:b w:val="false"/>
                <w:i w:val="false"/>
                <w:caps w:val="false"/>
                <w:smallCaps w:val="false"/>
                <w:color w:val="000000"/>
                <w:spacing w:val="0"/>
                <w:sz w:val="18"/>
                <w:szCs w:val="20"/>
                <w:u w:val="none"/>
                <w:shd w:fill="auto" w:val="clear"/>
              </w:rPr>
              <w:t xml:space="preserve">не менее </w:t>
            </w:r>
            <w:r>
              <w:rPr>
                <w:rFonts w:cs="Times New Roman"/>
                <w:b w:val="false"/>
                <w:i w:val="false"/>
                <w:caps w:val="false"/>
                <w:smallCaps w:val="false"/>
                <w:color w:val="000000"/>
                <w:spacing w:val="0"/>
                <w:sz w:val="18"/>
                <w:szCs w:val="20"/>
                <w:u w:val="none"/>
                <w:shd w:fill="auto" w:val="clear"/>
              </w:rPr>
              <w:t xml:space="preserve"> 5 лет</w:t>
            </w:r>
          </w:p>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20"/>
                <w:szCs w:val="20"/>
                <w:shd w:fill="auto" w:val="clear"/>
              </w:rPr>
              <w:t>Страна происхождения товара:</w:t>
            </w:r>
          </w:p>
          <w:p>
            <w:pPr>
              <w:pStyle w:val="Normal"/>
              <w:spacing w:lineRule="auto" w:line="240" w:before="0" w:after="0"/>
              <w:rPr>
                <w:rFonts w:ascii="Times New Roman" w:hAnsi="Times New Roman" w:cs="Times New Roman"/>
                <w:sz w:val="20"/>
                <w:szCs w:val="20"/>
              </w:rPr>
            </w:pPr>
            <w:r>
              <w:rPr>
                <w:rFonts w:cs="Times New Roman"/>
                <w:b w:val="false"/>
                <w:i w:val="false"/>
                <w:caps w:val="false"/>
                <w:smallCaps w:val="false"/>
                <w:color w:val="000000"/>
                <w:spacing w:val="0"/>
                <w:sz w:val="20"/>
                <w:szCs w:val="20"/>
                <w:shd w:fill="auto" w:val="clear"/>
              </w:rPr>
              <w:t>ОКПД 2:21.20.23.110</w:t>
            </w:r>
          </w:p>
          <w:p>
            <w:pPr>
              <w:pStyle w:val="Normal"/>
              <w:spacing w:lineRule="auto" w:line="240" w:before="0" w:after="0"/>
              <w:rPr>
                <w:rFonts w:cs="Times New Roman"/>
                <w:b w:val="false"/>
                <w:i w:val="false"/>
                <w:i w:val="false"/>
                <w:caps w:val="false"/>
                <w:smallCaps w:val="false"/>
                <w:color w:val="000000"/>
                <w:spacing w:val="0"/>
                <w:sz w:val="18"/>
                <w:szCs w:val="20"/>
                <w:u w:val="none"/>
                <w:shd w:fill="auto" w:val="clear"/>
              </w:rPr>
            </w:pPr>
            <w:r>
              <w:rPr>
                <w:rFonts w:cs="Times New Roman"/>
                <w:b w:val="false"/>
                <w:i w:val="false"/>
                <w:caps w:val="false"/>
                <w:smallCaps w:val="false"/>
                <w:color w:val="000000"/>
                <w:spacing w:val="0"/>
                <w:sz w:val="18"/>
                <w:szCs w:val="20"/>
                <w:u w:val="none"/>
                <w:shd w:fill="auto" w:val="clear"/>
              </w:rPr>
            </w:r>
          </w:p>
        </w:tc>
        <w:tc>
          <w:tcPr>
            <w:tcW w:w="1554"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2</w:t>
            </w:r>
          </w:p>
        </w:tc>
        <w:tc>
          <w:tcPr>
            <w:tcW w:w="1256" w:type="dxa"/>
            <w:gridSpan w:val="2"/>
            <w:tcBorders>
              <w:left w:val="single" w:sz="4" w:space="0" w:color="000001"/>
              <w:bottom w:val="single" w:sz="4" w:space="0" w:color="000000"/>
            </w:tcBorders>
            <w:vAlign w:val="center"/>
          </w:tcPr>
          <w:p>
            <w:pPr>
              <w:pStyle w:val="Normal"/>
              <w:jc w:val="center"/>
              <w:rPr>
                <w:highlight w:val="none"/>
                <w:shd w:fill="auto" w:val="clear"/>
              </w:rPr>
            </w:pPr>
            <w:r>
              <w:rPr>
                <w:shd w:fill="auto" w:val="clear"/>
              </w:rPr>
              <w:t>кг</w:t>
            </w:r>
          </w:p>
        </w:tc>
        <w:tc>
          <w:tcPr>
            <w:tcW w:w="2412"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574"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c>
          <w:tcPr>
            <w:tcW w:w="12911" w:type="dxa"/>
            <w:gridSpan w:val="9"/>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b/>
                <w:bCs/>
                <w:shd w:fill="auto" w:val="clear"/>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r>
      <w:tr>
        <w:trPr>
          <w:trHeight w:val="1831" w:hRule="atLeast"/>
        </w:trPr>
        <w:tc>
          <w:tcPr>
            <w:tcW w:w="8763" w:type="dxa"/>
            <w:gridSpan w:val="3"/>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11"/>
              <w:rPr>
                <w:rFonts w:ascii="Times New Roman" w:hAnsi="Times New Roman" w:cs="Times New Roman"/>
                <w:b/>
                <w:bCs/>
                <w:sz w:val="20"/>
                <w:szCs w:val="20"/>
                <w:highlight w:val="none"/>
                <w:shd w:fill="auto" w:val="clear"/>
              </w:rPr>
            </w:pPr>
            <w:r>
              <w:rPr>
                <w:rFonts w:cs="Times New Roman" w:ascii="Times New Roman" w:hAnsi="Times New Roman"/>
                <w:b/>
                <w:bCs/>
                <w:sz w:val="20"/>
                <w:szCs w:val="20"/>
                <w:shd w:fill="auto" w:val="clear"/>
              </w:rPr>
            </w:r>
          </w:p>
          <w:p>
            <w:pPr>
              <w:pStyle w:val="11"/>
              <w:rPr>
                <w:highlight w:val="none"/>
                <w:shd w:fill="auto" w:val="clear"/>
              </w:rPr>
            </w:pPr>
            <w:r>
              <w:rPr>
                <w:rFonts w:cs="Times New Roman" w:ascii="Times New Roman" w:hAnsi="Times New Roman"/>
                <w:b/>
                <w:bCs/>
                <w:sz w:val="20"/>
                <w:szCs w:val="20"/>
                <w:shd w:fill="auto" w:val="clear"/>
              </w:rPr>
              <w:t>Заказчик</w:t>
            </w:r>
          </w:p>
          <w:p>
            <w:pPr>
              <w:pStyle w:val="11"/>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rPr>
                <w:highlight w:val="none"/>
                <w:shd w:fill="auto" w:val="clear"/>
              </w:rPr>
            </w:pPr>
            <w:r>
              <w:rPr>
                <w:shd w:fill="auto" w:val="clear"/>
              </w:rPr>
              <w:t>____________</w:t>
            </w:r>
          </w:p>
          <w:p>
            <w:pPr>
              <w:pStyle w:val="Normal"/>
              <w:tabs>
                <w:tab w:val="clear" w:pos="708"/>
                <w:tab w:val="left" w:pos="7680" w:leader="none"/>
              </w:tabs>
              <w:rPr>
                <w:highlight w:val="none"/>
                <w:shd w:fill="auto" w:val="clear"/>
              </w:rPr>
            </w:pPr>
            <w:r>
              <w:rPr>
                <w:shd w:fill="auto" w:val="clear"/>
              </w:rPr>
              <w:t>м.п.</w:t>
            </w:r>
          </w:p>
        </w:tc>
        <w:tc>
          <w:tcPr>
            <w:tcW w:w="849"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407"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1419"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870"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3405" w:type="dxa"/>
            <w:gridSpan w:val="2"/>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highlight w:val="none"/>
                <w:shd w:fill="auto" w:val="clear"/>
              </w:rPr>
            </w:pPr>
            <w:r>
              <w:rPr>
                <w:b/>
                <w:color w:val="000000"/>
                <w:shd w:fill="auto" w:val="clear"/>
              </w:rPr>
              <w:t>Поставщик</w:t>
            </w:r>
          </w:p>
          <w:p>
            <w:pPr>
              <w:pStyle w:val="Normal"/>
              <w:tabs>
                <w:tab w:val="clear" w:pos="708"/>
                <w:tab w:val="left" w:pos="7680" w:leader="none"/>
              </w:tabs>
              <w:rPr>
                <w:highlight w:val="none"/>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highlight w:val="none"/>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user">
    <w:name w:val="Символ сноски (user)"/>
    <w:qFormat/>
    <w:rPr>
      <w:vertAlign w:val="superscript"/>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user1">
    <w:name w:val="Символ концевой сноски (user)"/>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link w:val="ConsPlusNormal1"/>
    <w:uiPriority w:val="99"/>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link w:val="annotationsubject"/>
    <w:uiPriority w:val="99"/>
    <w:semiHidden/>
    <w:qFormat/>
    <w:rPr>
      <w:rFonts w:ascii="Times New Roman" w:hAnsi="Times New Roman" w:eastAsia="Times New Roman"/>
      <w:b/>
      <w:bCs/>
    </w:rPr>
  </w:style>
  <w:style w:type="character" w:styleId="Style17" w:customStyle="1">
    <w:name w:val="Текст выноски Знак"/>
    <w:basedOn w:val="DefaultParagraphFont"/>
    <w:link w:val="BalloonText"/>
    <w:uiPriority w:val="99"/>
    <w:semiHidden/>
    <w:qFormat/>
    <w:rPr>
      <w:rFonts w:ascii="Tahoma" w:hAnsi="Tahoma" w:eastAsia="Times New Roman" w:cs="Tahoma"/>
      <w:sz w:val="16"/>
      <w:szCs w:val="16"/>
    </w:rPr>
  </w:style>
  <w:style w:type="character" w:styleId="Style18" w:customStyle="1">
    <w:name w:val="Без интервала Знак"/>
    <w:link w:val="NoSpacing"/>
    <w:uiPriority w:val="99"/>
    <w:qFormat/>
    <w:rPr>
      <w:sz w:val="24"/>
      <w:szCs w:val="24"/>
    </w:rPr>
  </w:style>
  <w:style w:type="character" w:styleId="Hyperlink">
    <w:name w:val="Hyperlink"/>
    <w:basedOn w:val="DefaultParagraphFont"/>
    <w:uiPriority w:val="99"/>
    <w:unhideWhenUsed/>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character" w:styleId="user2">
    <w:name w:val="Символ нумерации (user)"/>
    <w:qFormat/>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3">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4">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user3"/>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BodyTextIndent">
    <w:name w:val="Body Text Indent"/>
    <w:basedOn w:val="Normal"/>
    <w:link w:val="Style12"/>
    <w:uiPriority w:val="99"/>
    <w:pPr>
      <w:ind w:firstLine="709"/>
      <w:jc w:val="both"/>
    </w:pPr>
    <w:rPr>
      <w:rFonts w:eastAsia="Calibri"/>
      <w:lang w:val="en-US"/>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user5">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pPr>
    <w:rPr/>
  </w:style>
  <w:style w:type="paragraph" w:styleId="Footer">
    <w:name w:val="footer"/>
    <w:basedOn w:val="Normal"/>
    <w:link w:val="Style14"/>
    <w:uiPriority w:val="99"/>
    <w:unhideWhenUsed/>
    <w:pPr>
      <w:tabs>
        <w:tab w:val="clear" w:pos="708"/>
        <w:tab w:val="center" w:pos="4677" w:leader="none"/>
        <w:tab w:val="right" w:pos="9355" w:leader="none"/>
      </w:tabs>
    </w:pPr>
    <w:rPr/>
  </w:style>
  <w:style w:type="paragraph" w:styleId="CommentText">
    <w:name w:val="annotation text"/>
    <w:basedOn w:val="Normal"/>
    <w:link w:val="Style15"/>
    <w:uiPriority w:val="99"/>
    <w:unhideWhenUsed/>
    <w:pPr/>
    <w:rPr/>
  </w:style>
  <w:style w:type="paragraph" w:styleId="annotationsubject">
    <w:name w:val="annotation subject"/>
    <w:basedOn w:val="CommentText"/>
    <w:next w:val="CommentText"/>
    <w:link w:val="Style16"/>
    <w:uiPriority w:val="99"/>
    <w:semiHidden/>
    <w:unhideWhenUsed/>
    <w:qFormat/>
    <w:pPr/>
    <w:rPr>
      <w:b/>
      <w:bCs/>
    </w:rPr>
  </w:style>
  <w:style w:type="paragraph" w:styleId="BalloonText">
    <w:name w:val="Balloon Text"/>
    <w:basedOn w:val="Normal"/>
    <w:link w:val="Style17"/>
    <w:uiPriority w:val="99"/>
    <w:semiHidden/>
    <w:unhideWhenUsed/>
    <w:qFormat/>
    <w:pPr/>
    <w:rPr>
      <w:rFonts w:ascii="Tahoma" w:hAnsi="Tahoma" w:cs="Tahoma"/>
      <w:sz w:val="16"/>
      <w:szCs w:val="16"/>
    </w:rPr>
  </w:style>
  <w:style w:type="paragraph" w:styleId="NoSpacing">
    <w:name w:val="No Spacing"/>
    <w:link w:val="Style18"/>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user6">
    <w:name w:val="Содержимое таблицы (user)"/>
    <w:basedOn w:val="Normal"/>
    <w:qFormat/>
    <w:pPr>
      <w:widowControl w:val="false"/>
      <w:suppressLineNumbers/>
    </w:pPr>
    <w:rPr/>
  </w:style>
  <w:style w:type="paragraph" w:styleId="user7">
    <w:name w:val="Заголовок таблицы (user)"/>
    <w:basedOn w:val="user6"/>
    <w:qFormat/>
    <w:pPr>
      <w:suppressLineNumbers/>
      <w:jc w:val="center"/>
    </w:pPr>
    <w:rPr>
      <w:b/>
      <w:bCs/>
    </w:rPr>
  </w:style>
  <w:style w:type="numbering" w:styleId="user8"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LibreOffice/25.2.6.2$Linux_X86_64 LibreOffice_project/520$Build-2</Application>
  <AppVersion>15.0000</AppVersion>
  <Pages>7</Pages>
  <Words>3228</Words>
  <Characters>23238</Characters>
  <CharactersWithSpaces>27003</CharactersWithSpaces>
  <Paragraphs>179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2026-06-01T15:41:02Z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