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"/>
        <w:gridCol w:w="227"/>
        <w:gridCol w:w="1559"/>
        <w:gridCol w:w="567"/>
        <w:gridCol w:w="567"/>
        <w:gridCol w:w="709"/>
        <w:gridCol w:w="283"/>
        <w:gridCol w:w="992"/>
        <w:gridCol w:w="992"/>
        <w:gridCol w:w="992"/>
        <w:gridCol w:w="1276"/>
        <w:gridCol w:w="1134"/>
        <w:gridCol w:w="1418"/>
        <w:gridCol w:w="1418"/>
        <w:gridCol w:w="850"/>
        <w:gridCol w:w="992"/>
        <w:gridCol w:w="1899"/>
      </w:tblGrid>
      <w:tr>
        <w:trPr>
          <w:trHeight w:hRule="exact" w:val="277.83"/>
        </w:trPr>
        <w:tc>
          <w:tcPr>
            <w:tcW w:w="198" w:type="dxa"/>
          </w:tcPr>
          <w:p/>
        </w:tc>
        <w:tc>
          <w:tcPr>
            <w:tcW w:w="15876" w:type="dxa"/>
            <w:gridSpan w:val="16"/>
            <w:tcBorders>
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u w:val="single"/>
                <w:color w:val="#000000"/>
                <w:sz w:val="20"/>
                <w:szCs w:val="20"/>
              </w:rPr>
              <w:t> Обоснование начальной (максимальной) цены контракта на поставку медицинского расходного материала (предмет Контракта) по приказу № 450н</w:t>
            </w:r>
          </w:p>
        </w:tc>
      </w:tr>
      <w:tr>
        <w:trPr>
          <w:trHeight w:hRule="exact" w:val="1111.32"/>
        </w:trPr>
        <w:tc>
          <w:tcPr>
            <w:tcW w:w="198" w:type="dxa"/>
          </w:tcPr>
          <w:p/>
        </w:tc>
        <w:tc>
          <w:tcPr>
            <w:tcW w:w="16017.75" w:type="dxa"/>
            <w:gridSpan w:val="16"/>
            <w:tcBorders>
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Медицинский расходный материал</w:t>
            </w:r>
          </w:p>
          <w:p>
            <w:pPr>
              <w:jc w:val="center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20"/>
                <w:szCs w:val="20"/>
              </w:rPr>
              <w:t> (отсутствует государственное регулирование цен,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эксплуатации)</w:t>
            </w:r>
          </w:p>
        </w:tc>
      </w:tr>
      <w:tr>
        <w:trPr>
          <w:trHeight w:hRule="exact" w:val="1111.32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№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Наименование предмета контракта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Ед. изм.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Кол-во</w:t>
            </w:r>
          </w:p>
        </w:tc>
        <w:tc>
          <w:tcPr>
            <w:tcW w:w="2976.7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Коммерческие предложения, данные реестра контрактов (руб./ед.изм.)</w:t>
            </w:r>
          </w:p>
        </w:tc>
        <w:tc>
          <w:tcPr>
            <w:tcW w:w="3402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Однородность совокупности значений выявленных цен,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 используемых в расчете НМЦК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Начальная цена единицы медицинского изделия, без учета НДС, руб. (НЦЕ=ЦЕМ)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Начальная цена единицы медицинского изделия, без учета НДС, руб. с учетом округления**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НДС, %*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НДС, руб.</w:t>
            </w:r>
          </w:p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НМЦК по формуле где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n - количество позиций закупаемых медицинских изделий;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НЦЕi – начальная цена ед. i-й позиции мед.изделия;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НДС – налог на добавленную стоимость;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Vi - количество (объем) i -й позиции закупаемого мед.изделия.</w:t>
            </w:r>
          </w:p>
        </w:tc>
      </w:tr>
      <w:tr>
        <w:trPr>
          <w:trHeight w:hRule="exact" w:val="694.57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Коммерческое предложение Поставщик № 1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Коммерческое предложение Поставщик № 2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Коммерческое предложение Поставщик № 3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Средняя арифметиче ская цена за единицу &lt;ц&gt;</w:t>
            </w:r>
          </w:p>
        </w:tc>
        <w:tc>
          <w:tcPr>
            <w:tcW w:w="1275.7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Среднее квадратичное отклонение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Коэффициент вариации цен V (%)</w:t>
            </w:r>
          </w:p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(не должен превышать 33%)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48.4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191.7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756666" cy="369999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666" cy="36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336.6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191.7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284" w:type="dxa"/>
            <w:tcBorders>
              <w:left w:val="single" w:sz="8" w:space="0" w:color="#000000"/>
              <w:right w:val="single" w:sz="8" w:space="0" w:color="#000000"/>
            </w:tcBorders>
            <w:shd w:val="clear" w:color="#FFFFFF" w:fill="#C0C0C0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815238" cy="295238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238" cy="29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219.0303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630000" cy="36000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.5" w:type="dxa"/>
            <w:tcBorders>
              <w:left w:val="single" w:sz="8" w:space="0" w:color="#000000"/>
              <w:right w:val="single" w:sz="8" w:space="0" w:color="#000000"/>
            </w:tcBorders>
            <w:vMerge w:val="restart"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top w:val="single" w:sz="8" w:space="0" w:color="#000000"/>
              <w:lef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336.6295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417.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777.5" w:type="dxa"/>
            <w:tcBorders>
              <w:left w:val="single" w:sz="8" w:space="0" w:color="#000000"/>
              <w:right w:val="single" w:sz="8" w:space="0" w:color="#000000"/>
            </w:tcBorders>
            <w:shd w:val="clear" w:color="#FFFFFF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>
            <w:r>
              <w:rPr>
                <w:noProof/>
              </w:rPr>
              <w:drawing>
                <wp:inline distT="0" distB="0" distL="0" distR="0">
                  <wp:extent cx="1128571" cy="213809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71" cy="213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248.4304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extDirection w:val="btL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75.75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134" w:type="dxa"/>
            <w:tcBorders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4" w:type="dxa"/>
              <w:bottom w:w="0" w:type="dxa"/>
              <w:right w:w="4" w:type="dxa"/>
            </w:tcMar>
          </w:tcPr>
          <w:p/>
        </w:tc>
        <w:tc>
          <w:tcPr>
            <w:tcW w:w="1417.5" w:type="dxa"/>
            <w:tcBorders>
              <w:left w:val="single" w:sz="8" w:space="0" w:color="#000000"/>
              <w:right w:val="single" w:sz="8" w:space="0" w:color="#000000"/>
            </w:tcBorders>
            <w:vMerge/>
            <w:shd w:val="clear" w:color="#000000" w:fill="#C0C0C0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899.45" w:type="dxa"/>
            <w:tcBorders>
              <w:lef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557.1299"/>
        </w:trPr>
        <w:tc>
          <w:tcPr>
            <w:tcW w:w="425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</w:t>
            </w:r>
          </w:p>
        </w:tc>
        <w:tc>
          <w:tcPr>
            <w:tcW w:w="1559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Шприц общего назначения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шт</w:t>
            </w:r>
          </w:p>
        </w:tc>
        <w:tc>
          <w:tcPr>
            <w:tcW w:w="567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1 000,0 0</w:t>
            </w:r>
          </w:p>
        </w:tc>
        <w:tc>
          <w:tcPr>
            <w:tcW w:w="992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12,80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13,10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13,00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12,97</w:t>
            </w:r>
          </w:p>
        </w:tc>
        <w:tc>
          <w:tcPr>
            <w:tcW w:w="1275.7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0,15</w:t>
            </w:r>
          </w:p>
        </w:tc>
        <w:tc>
          <w:tcPr>
            <w:tcW w:w="1134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1,18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C0C0C0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12,97</w:t>
            </w:r>
          </w:p>
        </w:tc>
        <w:tc>
          <w:tcPr>
            <w:tcW w:w="1417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12,97</w:t>
            </w:r>
          </w:p>
        </w:tc>
        <w:tc>
          <w:tcPr>
            <w:tcW w:w="850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992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0,00</w:t>
            </w:r>
          </w:p>
        </w:tc>
        <w:tc>
          <w:tcPr>
            <w:tcW w:w="1984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12 970,00</w:t>
            </w:r>
          </w:p>
        </w:tc>
      </w:tr>
      <w:tr>
        <w:trPr>
          <w:trHeight w:hRule="exact" w:val="277.8299"/>
        </w:trPr>
        <w:tc>
          <w:tcPr>
            <w:tcW w:w="16159.5" w:type="dxa"/>
            <w:gridSpan w:val="1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В результате проведеного расчета Н(М)ЦК контракта составила: 12 970,00 руб.</w:t>
            </w:r>
          </w:p>
        </w:tc>
      </w:tr>
      <w:tr>
        <w:trPr>
          <w:trHeight w:hRule="exact" w:val="1111.32"/>
        </w:trPr>
        <w:tc>
          <w:tcPr>
            <w:tcW w:w="3827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Информация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12332.25" w:type="dxa"/>
            <w:gridSpan w:val="11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</w:tr>
      <w:tr>
        <w:trPr>
          <w:trHeight w:hRule="exact" w:val="694.575"/>
        </w:trPr>
        <w:tc>
          <w:tcPr>
            <w:tcW w:w="3827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center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</w:p>
        </w:tc>
        <w:tc>
          <w:tcPr>
            <w:tcW w:w="12332.25" w:type="dxa"/>
            <w:gridSpan w:val="11"/>
            <w:tcBorders>
              <w:top w:val="single" w:sz="8" w:space="0" w:color="#000000"/>
              <w:left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>
        <w:trPr>
          <w:trHeight w:hRule="exact" w:val="416.7451"/>
        </w:trPr>
        <w:tc>
          <w:tcPr>
            <w:tcW w:w="3827.25" w:type="dxa"/>
            <w:gridSpan w:val="6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/>
        </w:tc>
        <w:tc>
          <w:tcPr>
            <w:tcW w:w="12332.25" w:type="dxa"/>
            <w:gridSpan w:val="11"/>
            <w:tcBorders>
              <w:right w:val="single" w:sz="8" w:space="0" w:color="#000000"/>
            </w:tcBorders>
            <w:shd w:val="clear" w:color="#FF0000" w:fill="#FFFFFF"/>
            <w:vAlign w:val="top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FF0000"/>
                <w:sz w:val="16"/>
                <w:szCs w:val="16"/>
              </w:rPr>
              <w:t> В результате НМЦК составляет   12 800,00  руб.</w:t>
            </w:r>
          </w:p>
        </w:tc>
      </w:tr>
      <w:tr>
        <w:trPr>
          <w:trHeight w:hRule="exact" w:val="694.575"/>
        </w:trPr>
        <w:tc>
          <w:tcPr>
            <w:tcW w:w="16159.5" w:type="dxa"/>
            <w:gridSpan w:val="1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Заказчиком применяется Приказ Министерства здравоохранения РФ от 15.05.2020  № 450 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изделий" (далее - приказ № 450 н). Используемый метод определения НМЦК: пп "а"  пункта 9, пункт 12 приказа № 450н - метод сопоставимых рыночных цен (анализа рынка) в соответствии с частями 2 - 6 статьи 22 Закона о контрактной системе.</w:t>
            </w:r>
          </w:p>
        </w:tc>
      </w:tr>
      <w:tr>
        <w:trPr>
          <w:trHeight w:hRule="exact" w:val="277.8304"/>
        </w:trPr>
        <w:tc>
          <w:tcPr>
            <w:tcW w:w="16159.5" w:type="dxa"/>
            <w:gridSpan w:val="1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** Заказчик вправе использовать любое удобное для него округление, либо не использовать его.</w:t>
            </w:r>
          </w:p>
        </w:tc>
      </w:tr>
      <w:tr>
        <w:trPr>
          <w:trHeight w:hRule="exact" w:val="555.6598"/>
        </w:trPr>
        <w:tc>
          <w:tcPr>
            <w:tcW w:w="16159.5" w:type="dxa"/>
            <w:gridSpan w:val="1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bottom"/>
            <w:tcMar>
              <w:top w:w="0" w:type="dxa"/>
              <w:left w:w="38" w:type="dxa"/>
              <w:bottom w:w="0" w:type="dxa"/>
              <w:right w:w="38" w:type="dxa"/>
            </w:tcMar>
          </w:tcPr>
          <w:p>
            <w:pPr>
              <w:jc w:val="left"/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16"/>
                <w:szCs w:val="16"/>
              </w:rPr>
              <w:t> Расчет НМЦК произвел:    Васильева Е.А.  / _____________________          Дата:     «_____»_____________________ 2026 г.</w:t>
            </w:r>
          </w:p>
        </w:tc>
      </w:tr>
    </w:tbl>
    <w:p/>
    <w:sectPr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Relationship Id="rId11" Type="http://schemas.openxmlformats.org/officeDocument/2006/relationships/image" Target="media/image1.png" />
<Relationship Id="rId12" Type="http://schemas.openxmlformats.org/officeDocument/2006/relationships/image" Target="media/image2.png" />
<Relationship Id="rId13" Type="http://schemas.openxmlformats.org/officeDocument/2006/relationships/image" Target="media/image3.png" />
<Relationship Id="rId14" Type="http://schemas.openxmlformats.org/officeDocument/2006/relationships/image" Target="media/image4.png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НМЦК_MedDevices</dc:title>
  <dc:creator>FastReport.NET</dc:creator>
</cp:coreProperties>
</file>