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Приложение № 1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контракту № ______________________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_________________2026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Техническое задание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поставку электроматериалов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hd w:val="clear" w:color="auto" w:fill="FFFFFF"/>
        <w:ind w:right="2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 Предмет закупки: </w:t>
      </w:r>
      <w:r>
        <w:rPr>
          <w:b/>
          <w:sz w:val="20"/>
          <w:szCs w:val="20"/>
        </w:rPr>
        <w:t>Поставка электроматериалов</w:t>
      </w:r>
    </w:p>
    <w:p>
      <w:pPr>
        <w:pStyle w:val="Normal"/>
        <w:shd w:val="clear" w:color="auto" w:fill="FFFFFF"/>
        <w:ind w:right="2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2.Заказчик: </w:t>
      </w:r>
      <w:r>
        <w:rPr>
          <w:sz w:val="20"/>
          <w:szCs w:val="20"/>
        </w:rPr>
        <w:t xml:space="preserve">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 имени Н.С.Алфёрова» 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88" w:before="0" w:after="0"/>
        <w:ind w:left="0"/>
        <w:jc w:val="both"/>
        <w:rPr/>
      </w:pPr>
      <w:r>
        <w:rPr>
          <w:rFonts w:ascii="Times New Roman" w:hAnsi="Times New Roman"/>
          <w:sz w:val="20"/>
          <w:szCs w:val="20"/>
        </w:rPr>
        <w:t>3. Место поставки и установки: г. Екатеринбург, ул. Карла Либкнехта, дом 23.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/>
      </w:pPr>
      <w:r>
        <w:rPr>
          <w:bCs/>
          <w:sz w:val="20"/>
          <w:szCs w:val="20"/>
        </w:rPr>
        <w:t xml:space="preserve">4. Срок поставки Товара: </w:t>
      </w:r>
      <w:r>
        <w:rPr>
          <w:sz w:val="20"/>
          <w:szCs w:val="20"/>
        </w:rPr>
        <w:t>в течение 10 календарных  дней со дня заключения Договора</w:t>
      </w:r>
      <w:r>
        <w:rPr>
          <w:bCs/>
          <w:sz w:val="20"/>
          <w:szCs w:val="20"/>
        </w:rPr>
        <w:t>.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Наименование товара, функциональные и качественные характеристики товара: 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W w:w="10789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9"/>
        <w:gridCol w:w="2175"/>
        <w:gridCol w:w="1059"/>
        <w:gridCol w:w="1019"/>
        <w:gridCol w:w="5807"/>
      </w:tblGrid>
      <w:tr>
        <w:trPr>
          <w:trHeight w:val="31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Функциональные, качественные характеристики товара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Светильник накладной светодиодный PWP-C2 1200 Jazzway 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196-264В, ток входной 0,16А, частота 50-60 Гц; мощность 40Вт; световой поток 3600лм;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цветовая температура 4000К;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индекс цветопередачи Ra  85,  степень защиты IP65,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коэффициент пульсации не более 5%, класс энергоэффективности А+,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рабочий диапазон температур -20..+40град,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класс защиты II,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корпус ударопрочный цельнолитой поликарбонат,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рассеиватель опаловый поликарбонат,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срок службы 35000 часов,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Цвет белый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>Jazzway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Светильник светодиодный  DSO-02-50-840-IP40-LED Navigator 95031 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50Вт, напряжение 170-265В,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частота 50/60Гц, ток 0,24А,  световой поток  4000лм,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цветовая температура 4000К,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световая отдача 80лм/Вт,  индекс цветопередачи  70-79,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степень защиты  IP40,  класс защиты от поражения током I,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корпус алюминий,  рассеиватель опаловый поликарбонат,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цвет черный,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возможность соединения в прямую линию, под прямым и промежуточным углом мощностью светильников до 1000Вт  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40000 час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>Navigator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 xml:space="preserve">нур питания 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Шнур питания для Светильника DSO-02 LED Navigator (пункт 2 Технического задания) 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Цвет черный,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Длина не менее 1,5м.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для подвесного монтажа 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Комплект для подвесного монтажа светильника  DSO-02-01 LED Navigator (пункт 2  Технического задания)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iCs/>
          <w:sz w:val="20"/>
          <w:szCs w:val="20"/>
        </w:rPr>
      </w:pPr>
      <w:r>
        <w:rPr>
          <w:rFonts w:eastAsia="Calibri"/>
          <w:b/>
          <w:sz w:val="20"/>
          <w:szCs w:val="20"/>
          <w:lang w:eastAsia="en-US"/>
        </w:rPr>
        <w:t xml:space="preserve">6. </w:t>
      </w:r>
      <w:r>
        <w:rPr>
          <w:b/>
          <w:iCs/>
          <w:sz w:val="20"/>
          <w:szCs w:val="20"/>
        </w:rPr>
        <w:t xml:space="preserve">Условия поставки Товара: </w:t>
      </w:r>
      <w:r>
        <w:rPr>
          <w:iCs/>
          <w:sz w:val="20"/>
          <w:szCs w:val="20"/>
        </w:rPr>
        <w:t xml:space="preserve">доставка, погрузка, разгрузка Товара Заказчику осуществляется транспортом, силами и за счет средств Поставщика.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Товар должен отгружаться в стандартной упаковке с учетом необходимых маркировок в соответствии с требованиями стандартов и технических условий, обеспечивающих сохранность Товара при перевозке и хранении.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sz w:val="20"/>
          <w:szCs w:val="20"/>
        </w:rPr>
      </w:pPr>
      <w:r>
        <w:rPr>
          <w:iCs/>
          <w:sz w:val="20"/>
          <w:szCs w:val="20"/>
        </w:rPr>
        <w:t>В случае несоответствия поставленного Товара требованиям договора, а также в случае обнаружения в упаковках Товара со скрытым браком, Стороны обязаны составить акт с указанием недостатков</w:t>
      </w:r>
      <w:r>
        <w:rPr>
          <w:sz w:val="20"/>
          <w:szCs w:val="20"/>
        </w:rPr>
        <w:t xml:space="preserve"> Товара и/или иных претензий к поставляемому Товару.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Подписание акта Сторонами является основанием для замены Товара ненадлежащего качества на качественный Товар в ассортименте, согласованном Сторонами.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Общие требования к товарам: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Товар должен быть новым, 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свойства, неиспользованным, пригодным для его использования по назначению и с распространением полной гарантии производителя.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документами. Поставляемый товар должен соответствовать требованиям технического задания.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Товар не должен иметь скрытых и внешних повреждений и дефектов, в том числе не влияющих на возможность использования товара по назначению.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К поставляемым материалам должны быть приложены заверенные копии сертификатов соответствия.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Cs w:val="false"/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  <w:t>8.Требования к качеству товаров, качественным (потребительским) свойствам товаров</w:t>
      </w:r>
      <w:r>
        <w:rPr>
          <w:i w:val="false"/>
          <w:sz w:val="20"/>
          <w:szCs w:val="20"/>
        </w:rPr>
        <w:t xml:space="preserve">: </w:t>
      </w:r>
    </w:p>
    <w:p>
      <w:pPr>
        <w:pStyle w:val="Normal"/>
        <w:rPr/>
      </w:pPr>
      <w:r>
        <w:rPr>
          <w:i/>
          <w:sz w:val="20"/>
          <w:szCs w:val="20"/>
        </w:rPr>
        <w:t xml:space="preserve"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документами, </w:t>
      </w:r>
      <w:r>
        <w:rPr>
          <w:sz w:val="20"/>
          <w:szCs w:val="20"/>
        </w:rPr>
        <w:t>ТР ТС 004/2011,ТР ТС 020/2011, ГОСТ IEC 60598-1-2013;  ГОСТ 31947-2012; ГОСТ 7399-97; ГОСТ Р МЭК 62560-2011; ГОСТ Р МЭК 610084-1-2022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 w:val="false"/>
          <w:i w:val="false"/>
          <w:sz w:val="20"/>
          <w:szCs w:val="20"/>
        </w:rPr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  <w:t>9.Требования по передаче заказчику технических и иных документов при поставке товаров</w:t>
      </w:r>
      <w:r>
        <w:rPr>
          <w:b w:val="false"/>
          <w:i w:val="false"/>
          <w:iCs w:val="false"/>
          <w:sz w:val="20"/>
          <w:szCs w:val="20"/>
        </w:rPr>
        <w:t>:</w:t>
      </w:r>
      <w:r>
        <w:rPr>
          <w:b w:val="false"/>
          <w:i w:val="false"/>
          <w:sz w:val="20"/>
          <w:szCs w:val="20"/>
        </w:rPr>
        <w:t xml:space="preserve"> 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 w:val="false"/>
          <w:i w:val="false"/>
          <w:iCs w:val="false"/>
          <w:sz w:val="20"/>
          <w:szCs w:val="20"/>
        </w:rPr>
        <w:t xml:space="preserve">При поставке товара Поставщик обязан предъявить товарную накладную (универсальный передаточный документ), счет, счет-фактуру (при наличии НДС в цене договора), документы подтверждающие качество поставляемой продукции (сертификат соответствия/ декларацию соответствия),  гарантийный талон и паспорт на русском языке. 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jc w:val="both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10. Требования к сроку службы и гарантийному сроку на товар</w:t>
      </w:r>
      <w:r>
        <w:rPr>
          <w:sz w:val="20"/>
          <w:szCs w:val="20"/>
        </w:rPr>
        <w:t xml:space="preserve">: 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sz w:val="20"/>
          <w:szCs w:val="20"/>
        </w:rPr>
        <w:t>Г</w:t>
      </w:r>
      <w:r>
        <w:rPr>
          <w:sz w:val="20"/>
          <w:szCs w:val="20"/>
        </w:rPr>
        <w:t xml:space="preserve">арантийный срок на поставляемый Товар составляет 24 (двадцать четыре) месяца.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гарантии осуществляется вместе с Товаром со дня подписания товарных накладных или универсального передаточного документа.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 Обязанности сторон: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11.1. Заказчик обязан: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11.1.1. 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11.1.2. В случае просрочки исполнения Поставщиком обязательств, предусмотренных </w:t>
      </w:r>
      <w:r>
        <w:rPr>
          <w:bCs/>
          <w:sz w:val="20"/>
          <w:szCs w:val="20"/>
        </w:rPr>
        <w:t>договором</w:t>
      </w:r>
      <w:r>
        <w:rPr>
          <w:sz w:val="20"/>
          <w:szCs w:val="20"/>
        </w:rPr>
        <w:t>, а также в иных случаях ненадлежащего исполнения поставщиком обязательств, предусмотренных договором, направлять Поставщику требование об уплате сумм неустойки, предусмотренных договором, за неисполнение (ненадлежащее исполнение) Поставщиком своих обязательств.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11.1.3. Осуществлять контроль за исполнением Поставщиком условий </w:t>
      </w:r>
      <w:r>
        <w:rPr>
          <w:bCs/>
          <w:sz w:val="20"/>
          <w:szCs w:val="20"/>
        </w:rPr>
        <w:t>договора</w:t>
      </w:r>
      <w:r>
        <w:rPr>
          <w:sz w:val="20"/>
          <w:szCs w:val="20"/>
        </w:rPr>
        <w:t xml:space="preserve"> в соответствии с законодательством Российской Федерации. 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11.1.4. </w:t>
      </w:r>
      <w:r>
        <w:rPr>
          <w:bCs/>
          <w:sz w:val="20"/>
          <w:szCs w:val="20"/>
        </w:rPr>
        <w:t xml:space="preserve">Назначить в день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письменно, лично либо заказным письмом с уведомлением о вручении, либо по адресу электронной почты Поставщика. 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Должность, ФИО, телефон, адрес электронной почты ответственного лица:  </w:t>
      </w:r>
    </w:p>
    <w:p>
      <w:pPr>
        <w:pStyle w:val="Normal"/>
        <w:jc w:val="both"/>
        <w:rPr>
          <w:sz w:val="20"/>
          <w:szCs w:val="20"/>
        </w:rPr>
      </w:pPr>
      <w:r>
        <w:rPr>
          <w:rStyle w:val="Emphasis"/>
          <w:sz w:val="20"/>
          <w:szCs w:val="20"/>
        </w:rPr>
        <w:t xml:space="preserve">Главный энергетик УрГАХУ Шорохов Евгений Юрьевич; +7(912)-233-48-11 ;  </w:t>
      </w:r>
      <w:r>
        <w:rPr>
          <w:rStyle w:val="Emphasis"/>
          <w:sz w:val="20"/>
          <w:szCs w:val="20"/>
        </w:rPr>
        <w:t xml:space="preserve">эл.почта </w:t>
      </w:r>
      <w:hyperlink r:id="rId2">
        <w:r>
          <w:rPr>
            <w:rStyle w:val="Hyperlink"/>
            <w:i/>
            <w:iCs/>
            <w:sz w:val="20"/>
            <w:szCs w:val="20"/>
          </w:rPr>
          <w:t>energy@usaaa.ru</w:t>
        </w:r>
      </w:hyperlink>
      <w:r>
        <w:rPr>
          <w:rStyle w:val="Emphasis"/>
          <w:sz w:val="20"/>
          <w:szCs w:val="20"/>
        </w:rPr>
        <w:t xml:space="preserve"> 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11.1.5. Надлежаще исполнять иные принятые на себя обязательства.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11.1.6. Своевременно предоставлять разъяснения и уточнения по запросам Поставщика в части поставки Товара в соответствии с условиями договора.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11.2. Поставщик обязан: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11.2.1. Поставить Товар в порядке, количестве, в срок и на условиях, предусмотренных Договором и Спецификацией.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11.2.2. Поставить Товар надлежащего качества в соответствии с требованиями, изложенными в Техническом задании и договоре. Одновременно с товаром предоставить Заказчику документы – товарную накладную либо универсальный передаточный документ, счет-фактуру (при наличии НДС в цене договора), счет.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11.2.3. Доставить Товар с соблюдением требований санитарного законодательства, своим транспортом либо с привлечением специализированной транспортной организации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и за свой счет, а также при поставке представить все документы, относящиеся к Товару.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По требованию Заказчика за свой счет в срок, согласованный с Заказчиком, произвести замену ненадлежащего Товара надлежащим, в том числе в случаях, указанных в пункте 12 Технического задания.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11.2.4. </w:t>
      </w:r>
      <w:r>
        <w:rPr>
          <w:rFonts w:eastAsia="Calibri"/>
          <w:sz w:val="20"/>
          <w:szCs w:val="20"/>
          <w:lang w:eastAsia="en-US"/>
        </w:rPr>
        <w:t xml:space="preserve">В соответствии с условиями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 xml:space="preserve">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>. Срок предоставления информации о ходе исполнения обязательств составляет 3 (Три) рабочих дней с момента получения запроса Заказчика.</w:t>
      </w:r>
    </w:p>
    <w:p>
      <w:pPr>
        <w:pStyle w:val="Normal"/>
        <w:spacing w:before="0" w:after="0"/>
        <w:contextualSpacing/>
        <w:rPr>
          <w:sz w:val="20"/>
          <w:szCs w:val="20"/>
        </w:rPr>
      </w:pPr>
      <w:r>
        <w:rPr>
          <w:iCs/>
          <w:sz w:val="20"/>
          <w:szCs w:val="20"/>
        </w:rPr>
        <w:t xml:space="preserve">11.2.5. </w:t>
      </w:r>
      <w:r>
        <w:rPr>
          <w:bCs/>
          <w:iCs/>
          <w:sz w:val="20"/>
          <w:szCs w:val="20"/>
        </w:rPr>
        <w:t xml:space="preserve">Назначить в день заключения </w:t>
      </w:r>
      <w:r>
        <w:rPr>
          <w:bCs/>
          <w:sz w:val="20"/>
          <w:szCs w:val="20"/>
        </w:rPr>
        <w:t>договора</w:t>
      </w:r>
      <w:r>
        <w:rPr>
          <w:bCs/>
          <w:iCs/>
          <w:sz w:val="20"/>
          <w:szCs w:val="20"/>
        </w:rPr>
        <w:t xml:space="preserve"> ответственное лицо для оперативного решения текущих вопросов по договору и передать Заказчику информацию об ответственном лице письменно, либо по адресу электронной почты Заказчика:   ___________________________________</w:t>
      </w:r>
    </w:p>
    <w:p>
      <w:pPr>
        <w:pStyle w:val="Normal"/>
        <w:spacing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 Порядок приемки товара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/>
      </w:pPr>
      <w:r>
        <w:rPr>
          <w:rFonts w:cs="Times New Roman" w:ascii="Times New Roman" w:hAnsi="Times New Roman"/>
          <w:spacing w:val="-1"/>
        </w:rPr>
        <w:t>12.1.</w:t>
      </w:r>
      <w:r>
        <w:rPr>
          <w:rFonts w:cs="Times New Roman" w:ascii="Times New Roman" w:hAnsi="Times New Roman"/>
        </w:rPr>
        <w:t xml:space="preserve"> Поставка товара осуществляется в полном объеме согласно Спецификации (Приложение № 1) в течение 10 (десяти) календарных дней со дня заключения Договора.  Предусмотрена поэтапная поставка и оплата товара.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/>
      </w:pPr>
      <w:r>
        <w:rPr>
          <w:rFonts w:cs="Times New Roman" w:ascii="Times New Roman" w:hAnsi="Times New Roman"/>
        </w:rPr>
        <w:t xml:space="preserve">Место поставки товара: Свердловская область, г.Екатеринбург, ул.Карла Либкнехта, дом 23. 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Поставка, погрузка, разгрузка, размещение в месте расположения Заказчика производится Поставщиком своими силами и средствами.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12.2.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12.3.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12.4. При отсутствии у Заказчика претензий по количеству и качеству поставленного Товара Заказчик в течение </w:t>
      </w:r>
      <w:r>
        <w:rPr>
          <w:bCs/>
          <w:sz w:val="20"/>
          <w:szCs w:val="20"/>
        </w:rPr>
        <w:t xml:space="preserve">не более 5 рабочих дней с момента поставки (доставки) Товара Заказчику, а в случае привлечения для проведения экспертизы экспертов, экспертных организаций – не более 10 рабочих дней </w:t>
      </w:r>
      <w:r>
        <w:rPr>
          <w:sz w:val="20"/>
          <w:szCs w:val="20"/>
        </w:rPr>
        <w:t>с момента доставки Товара Поставщиком подписывает товарную накладную (универсальный передаточный документ), после этого Товар считается переданным Поставщиком Заказчику.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12.5.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12.4. Технического задания,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12.6. Поставщик обязуется произвести замену Товара (или его часть) или поставить недостающий Товар (или его часть) в течение 5 (пяти) рабочих дней с момента получения мотивированного отказа от приемки товара. 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12.7.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>
        <w:r>
          <w:rPr>
            <w:rStyle w:val="Style8"/>
            <w:rFonts w:cs="Times New Roman" w:ascii="Times New Roman" w:hAnsi="Times New Roman"/>
            <w:sz w:val="20"/>
            <w:szCs w:val="20"/>
          </w:rPr>
          <w:t>пункте 11.2.2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Технического задания.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12.8. Обязательства Поставщика по поставке Товара считаются выполненными с момента передачи Товара уполномоченному представителю Заказчика – </w:t>
      </w:r>
      <w:r>
        <w:rPr>
          <w:sz w:val="20"/>
          <w:szCs w:val="20"/>
          <w:u w:val="single"/>
        </w:rPr>
        <w:t>кладовщик, тел +7(343) 221-29-13</w:t>
      </w:r>
      <w:r>
        <w:rPr>
          <w:sz w:val="20"/>
          <w:szCs w:val="20"/>
        </w:rPr>
        <w:t>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12.9. Упаковка Товара должна обеспечивать его сохранность при транспортировке.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741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5">
    <w:name w:val="heading 5"/>
    <w:basedOn w:val="Normal"/>
    <w:next w:val="Normal"/>
    <w:link w:val="5"/>
    <w:qFormat/>
    <w:rsid w:val="001a74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a741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1a7419"/>
    <w:rPr>
      <w:rFonts w:ascii="Calibri" w:hAnsi="Calibri" w:eastAsia="Calibri" w:cs="Times New Roman"/>
      <w:lang w:eastAsia="ar-SA"/>
    </w:rPr>
  </w:style>
  <w:style w:type="character" w:styleId="Hyperlink">
    <w:name w:val="Hyperlink"/>
    <w:uiPriority w:val="99"/>
    <w:rsid w:val="00907acc"/>
    <w:rPr>
      <w:color w:val="0000FF"/>
      <w:u w:val="single"/>
    </w:rPr>
  </w:style>
  <w:style w:type="character" w:styleId="Emphasis">
    <w:name w:val="Emphasis"/>
    <w:uiPriority w:val="20"/>
    <w:qFormat/>
    <w:rsid w:val="00907acc"/>
    <w:rPr>
      <w:i/>
      <w:iCs/>
    </w:rPr>
  </w:style>
  <w:style w:type="character" w:styleId="ConsPlusNormal" w:customStyle="1">
    <w:name w:val="ConsPlusNormal Знак"/>
    <w:link w:val="ConsPlusNormal1"/>
    <w:qFormat/>
    <w:locked/>
    <w:rsid w:val="00907acc"/>
    <w:rPr>
      <w:rFonts w:ascii="Arial" w:hAnsi="Arial" w:cs="Arial"/>
      <w:lang w:eastAsia="ru-RU"/>
    </w:rPr>
  </w:style>
  <w:style w:type="character" w:styleId="ConsNormal" w:customStyle="1">
    <w:name w:val="ConsNormal Знак"/>
    <w:basedOn w:val="DefaultParagraphFont"/>
    <w:link w:val="ConsNormal1"/>
    <w:qFormat/>
    <w:rsid w:val="00907acc"/>
    <w:rPr>
      <w:rFonts w:ascii="Arial" w:hAnsi="Arial" w:cs="Aria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48769f"/>
    <w:pPr>
      <w:spacing w:lineRule="auto" w:line="276" w:before="0" w:after="140"/>
    </w:pPr>
    <w:rPr/>
  </w:style>
  <w:style w:type="paragraph" w:styleId="List">
    <w:name w:val="List"/>
    <w:basedOn w:val="BodyText"/>
    <w:rsid w:val="0048769f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48769f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 w:customStyle="1">
    <w:name w:val="Заголовок (user)"/>
    <w:basedOn w:val="Normal"/>
    <w:next w:val="BodyText"/>
    <w:qFormat/>
    <w:rsid w:val="0048769f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rsid w:val="0048769f"/>
    <w:pPr>
      <w:suppressLineNumbers/>
    </w:pPr>
    <w:rPr>
      <w:rFonts w:ascii="PT Astra Serif" w:hAnsi="PT Astra Serif" w:cs="FreeSans"/>
    </w:rPr>
  </w:style>
  <w:style w:type="paragraph" w:styleId="ConsPlusNonformat" w:customStyle="1">
    <w:name w:val="ConsPlusNonformat"/>
    <w:qFormat/>
    <w:rsid w:val="001a74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3"/>
    <w:uiPriority w:val="34"/>
    <w:qFormat/>
    <w:rsid w:val="001a7419"/>
    <w:pPr>
      <w:spacing w:lineRule="auto" w:line="276" w:before="0" w:after="200"/>
      <w:ind w:left="720"/>
    </w:pPr>
    <w:rPr>
      <w:rFonts w:ascii="Calibri" w:hAnsi="Calibri" w:eastAsia="Calibri"/>
      <w:sz w:val="22"/>
      <w:szCs w:val="22"/>
      <w:lang w:eastAsia="ar-SA"/>
    </w:rPr>
  </w:style>
  <w:style w:type="paragraph" w:styleId="ConsNormal1" w:customStyle="1">
    <w:name w:val="ConsNormal"/>
    <w:link w:val="ConsNormal"/>
    <w:qFormat/>
    <w:rsid w:val="00907acc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ConsNonformat" w:customStyle="1">
    <w:name w:val="ConsNonformat"/>
    <w:qFormat/>
    <w:rsid w:val="00907acc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1" w:customStyle="1">
    <w:name w:val="ConsPlusNormal"/>
    <w:link w:val="ConsPlusNormal"/>
    <w:qFormat/>
    <w:rsid w:val="00907ac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eastAsia="ru-RU" w:val="ru-RU" w:bidi="ar-SA"/>
    </w:rPr>
  </w:style>
  <w:style w:type="paragraph" w:styleId="user1" w:customStyle="1">
    <w:name w:val="Содержимое таблицы (user)"/>
    <w:basedOn w:val="Normal"/>
    <w:qFormat/>
    <w:rsid w:val="0048769f"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qFormat/>
    <w:rsid w:val="0048769f"/>
    <w:pPr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  <w:rsid w:val="0048769f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ergy@usaa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LibreOffice/25.8.3.2$Linux_X86_64 LibreOffice_project/580$Build-2</Application>
  <AppVersion>15.0000</AppVersion>
  <Pages>3</Pages>
  <Words>1233</Words>
  <Characters>8872</Characters>
  <CharactersWithSpaces>10078</CharactersWithSpaces>
  <Paragraphs>101</Paragraphs>
  <Company>УралГАХА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2026-06-16T08:40:00Z</dcterms:created>
  <dc:creator>УсоваНГ</dc:creator>
  <dc:description/>
  <dc:language>ru-RU</dc:language>
  <cp:lastModifiedBy/>
  <cp:lastPrinted>2026-06-17T14:01:00Z</cp:lastPrinted>
  <dcterms:modified xsi:type="dcterms:W3CDTF">2026-06-17T15:40:37Z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