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0419A0" w:rsidRDefault="007A42A6" w:rsidP="000419A0">
      <w:pPr>
        <w:widowControl w:val="0"/>
        <w:spacing w:after="0" w:line="240" w:lineRule="auto"/>
        <w:jc w:val="center"/>
        <w:rPr>
          <w:rFonts w:ascii="Times New Roman" w:hAnsi="Times New Roman"/>
          <w:b/>
          <w:sz w:val="20"/>
        </w:rPr>
      </w:pPr>
      <w:r>
        <w:rPr>
          <w:rFonts w:ascii="Times New Roman" w:hAnsi="Times New Roman"/>
          <w:b/>
          <w:sz w:val="20"/>
        </w:rPr>
        <w:t xml:space="preserve">на </w:t>
      </w:r>
      <w:r w:rsidR="009251C9">
        <w:rPr>
          <w:rFonts w:ascii="Times New Roman" w:hAnsi="Times New Roman"/>
          <w:b/>
          <w:sz w:val="20"/>
        </w:rPr>
        <w:t>поставку мебели</w:t>
      </w:r>
      <w:r w:rsidR="000419A0">
        <w:rPr>
          <w:rFonts w:ascii="Times New Roman" w:hAnsi="Times New Roman"/>
          <w:b/>
          <w:sz w:val="20"/>
        </w:rPr>
        <w:t xml:space="preserve">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w:t>
      </w:r>
      <w:r>
        <w:rPr>
          <w:rFonts w:ascii="Times New Roman" w:hAnsi="Times New Roman"/>
          <w:b/>
          <w:bCs/>
          <w:sz w:val="20"/>
        </w:rPr>
        <w:t>актового зала</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0419A0">
        <w:rPr>
          <w:rFonts w:ascii="Times New Roman" w:hAnsi="Times New Roman"/>
          <w:b/>
          <w:sz w:val="20"/>
        </w:rPr>
        <w:t xml:space="preserve">мебель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w:t>
      </w:r>
      <w:r w:rsidR="007A42A6">
        <w:rPr>
          <w:rFonts w:ascii="Times New Roman" w:hAnsi="Times New Roman"/>
          <w:b/>
          <w:bCs/>
          <w:sz w:val="20"/>
        </w:rPr>
        <w:t>актового зала</w:t>
      </w:r>
      <w:r w:rsidR="000419A0">
        <w:rPr>
          <w:rFonts w:ascii="Times New Roman" w:hAnsi="Times New Roman"/>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bookmarkStart w:id="0" w:name="_GoBack"/>
      <w:r w:rsidR="008C4885" w:rsidRPr="008C4885">
        <w:rPr>
          <w:rFonts w:ascii="Times New Roman" w:hAnsi="Times New Roman"/>
          <w:sz w:val="20"/>
        </w:rPr>
        <w:t>263434604074143450100100090000000244</w:t>
      </w:r>
    </w:p>
    <w:bookmarkEnd w:id="0"/>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40"/>
      <w:bookmarkEnd w:id="1"/>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r w:rsidRPr="003605C5">
        <w:rPr>
          <w:rFonts w:ascii="Times New Roman" w:hAnsi="Times New Roman"/>
          <w:b/>
          <w:sz w:val="20"/>
        </w:rPr>
        <w:t>(</w:t>
      </w:r>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2" w:name="P1457"/>
      <w:bookmarkStart w:id="3" w:name="P1445"/>
      <w:bookmarkEnd w:id="2"/>
      <w:bookmarkEnd w:id="3"/>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8"/>
      <w:bookmarkEnd w:id="4"/>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59"/>
      <w:bookmarkEnd w:id="5"/>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6" w:name="P1460"/>
      <w:bookmarkEnd w:id="6"/>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7" w:name="P1473"/>
      <w:bookmarkStart w:id="8" w:name="P1469"/>
      <w:bookmarkStart w:id="9" w:name="P1468"/>
      <w:bookmarkStart w:id="10" w:name="P1467"/>
      <w:bookmarkStart w:id="11" w:name="P1466"/>
      <w:bookmarkStart w:id="12" w:name="P1464"/>
      <w:bookmarkStart w:id="13" w:name="P1462"/>
      <w:bookmarkEnd w:id="7"/>
      <w:bookmarkEnd w:id="8"/>
      <w:bookmarkEnd w:id="9"/>
      <w:bookmarkEnd w:id="10"/>
      <w:bookmarkEnd w:id="11"/>
      <w:bookmarkEnd w:id="12"/>
      <w:bookmarkEnd w:id="13"/>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4" w:name="P1475"/>
      <w:bookmarkEnd w:id="14"/>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5" w:name="P1477"/>
      <w:bookmarkEnd w:id="15"/>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6" w:name="P1480"/>
      <w:bookmarkEnd w:id="16"/>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037C77">
        <w:rPr>
          <w:rFonts w:ascii="Times New Roman" w:hAnsi="Times New Roman"/>
          <w:color w:val="auto"/>
          <w:sz w:val="20"/>
        </w:rPr>
        <w:t xml:space="preserve">Срок поставки: </w:t>
      </w:r>
      <w:r w:rsidR="008302FA" w:rsidRPr="008302FA">
        <w:rPr>
          <w:rFonts w:ascii="Times New Roman" w:hAnsi="Times New Roman"/>
          <w:b/>
          <w:color w:val="auto"/>
          <w:sz w:val="20"/>
        </w:rPr>
        <w:t>по</w:t>
      </w:r>
      <w:r w:rsidR="008302FA">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7"/>
      <w:bookmarkEnd w:id="19"/>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499"/>
      <w:bookmarkEnd w:id="20"/>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1"/>
      <w:bookmarkEnd w:id="32"/>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5"/>
      <w:bookmarkEnd w:id="33"/>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6"/>
      <w:bookmarkEnd w:id="34"/>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29"/>
      <w:bookmarkEnd w:id="35"/>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6"/>
      <w:bookmarkEnd w:id="36"/>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7" w:name="P1537"/>
      <w:bookmarkEnd w:id="37"/>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8" w:name="P1539"/>
      <w:bookmarkEnd w:id="38"/>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финансов  администрации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Тел./факс  (833225-50-04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______________________С.Ю.Старостина</w:t>
            </w:r>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8302FA" w:rsidRDefault="00220B06" w:rsidP="000419A0">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 xml:space="preserve">на поставку </w:t>
      </w:r>
      <w:r w:rsidR="000419A0">
        <w:rPr>
          <w:rFonts w:ascii="Times New Roman" w:hAnsi="Times New Roman"/>
          <w:b/>
          <w:sz w:val="20"/>
        </w:rPr>
        <w:t xml:space="preserve">мебели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w:t>
      </w:r>
      <w:r w:rsidR="007A42A6">
        <w:rPr>
          <w:rFonts w:ascii="Times New Roman" w:hAnsi="Times New Roman"/>
          <w:b/>
          <w:bCs/>
          <w:sz w:val="20"/>
        </w:rPr>
        <w:t>актового зала</w:t>
      </w:r>
    </w:p>
    <w:p w:rsidR="003605C5" w:rsidRPr="003605C5" w:rsidRDefault="000419A0" w:rsidP="008302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о</w:t>
      </w:r>
      <w:r w:rsidR="00C60624">
        <w:rPr>
          <w:rFonts w:ascii="Times New Roman" w:eastAsia="Calibri" w:hAnsi="Times New Roman"/>
          <w:color w:val="auto"/>
          <w:sz w:val="20"/>
          <w:lang w:eastAsia="en-US"/>
        </w:rPr>
        <w:t>т «</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(руб)</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0419A0" w:rsidRDefault="000419A0" w:rsidP="00EB5555">
      <w:pPr>
        <w:suppressAutoHyphens w:val="0"/>
        <w:spacing w:after="0" w:line="240" w:lineRule="auto"/>
        <w:contextualSpacing/>
        <w:jc w:val="right"/>
        <w:rPr>
          <w:rFonts w:ascii="Times New Roman" w:eastAsia="Calibri" w:hAnsi="Times New Roman"/>
          <w:color w:val="auto"/>
          <w:szCs w:val="24"/>
          <w:lang w:eastAsia="en-US"/>
        </w:rPr>
      </w:pPr>
    </w:p>
    <w:p w:rsidR="000419A0" w:rsidRDefault="000419A0"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8302FA" w:rsidRDefault="00955C16" w:rsidP="000419A0">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8302FA">
        <w:rPr>
          <w:rFonts w:ascii="Times New Roman" w:hAnsi="Times New Roman"/>
          <w:b/>
          <w:sz w:val="20"/>
        </w:rPr>
        <w:t xml:space="preserve">на поставку </w:t>
      </w:r>
      <w:r w:rsidR="000419A0">
        <w:rPr>
          <w:rFonts w:ascii="Times New Roman" w:hAnsi="Times New Roman"/>
          <w:b/>
          <w:sz w:val="20"/>
        </w:rPr>
        <w:t xml:space="preserve">мебели </w:t>
      </w:r>
      <w:r w:rsidR="000419A0" w:rsidRPr="002950F4">
        <w:rPr>
          <w:rFonts w:ascii="Times New Roman" w:hAnsi="Times New Roman"/>
          <w:b/>
          <w:bCs/>
          <w:sz w:val="20"/>
        </w:rPr>
        <w:t>для</w:t>
      </w:r>
      <w:r w:rsidR="000419A0">
        <w:rPr>
          <w:rFonts w:ascii="Times New Roman" w:hAnsi="Times New Roman"/>
          <w:b/>
          <w:bCs/>
          <w:sz w:val="20"/>
        </w:rPr>
        <w:t xml:space="preserve"> оснащения</w:t>
      </w:r>
      <w:r w:rsidR="000419A0" w:rsidRPr="002950F4">
        <w:rPr>
          <w:rFonts w:ascii="Times New Roman" w:hAnsi="Times New Roman"/>
          <w:b/>
          <w:bCs/>
          <w:sz w:val="20"/>
        </w:rPr>
        <w:t xml:space="preserve"> </w:t>
      </w:r>
      <w:r w:rsidR="007A42A6">
        <w:rPr>
          <w:rFonts w:ascii="Times New Roman" w:hAnsi="Times New Roman"/>
          <w:b/>
          <w:bCs/>
          <w:sz w:val="20"/>
        </w:rPr>
        <w:t>актового зала</w:t>
      </w:r>
    </w:p>
    <w:p w:rsidR="00955C16" w:rsidRPr="003605C5" w:rsidRDefault="00955C16" w:rsidP="00955C16">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7A42A6" w:rsidRPr="007717D3" w:rsidTr="000A2E7B">
        <w:tc>
          <w:tcPr>
            <w:tcW w:w="976" w:type="dxa"/>
            <w:shd w:val="clear" w:color="auto" w:fill="auto"/>
          </w:tcPr>
          <w:p w:rsidR="007A42A6" w:rsidRPr="007717D3" w:rsidRDefault="007A42A6" w:rsidP="007A42A6">
            <w:pPr>
              <w:spacing w:after="0" w:line="240" w:lineRule="auto"/>
              <w:rPr>
                <w:rFonts w:ascii="Times New Roman" w:hAnsi="Times New Roman"/>
                <w:b/>
                <w:sz w:val="21"/>
                <w:szCs w:val="21"/>
              </w:rPr>
            </w:pPr>
            <w:r w:rsidRPr="007717D3">
              <w:rPr>
                <w:rFonts w:ascii="Times New Roman" w:hAnsi="Times New Roman"/>
                <w:b/>
                <w:sz w:val="21"/>
                <w:szCs w:val="21"/>
              </w:rPr>
              <w:t>№</w:t>
            </w:r>
          </w:p>
          <w:p w:rsidR="007A42A6" w:rsidRPr="007717D3" w:rsidRDefault="007A42A6" w:rsidP="007A42A6">
            <w:pPr>
              <w:spacing w:after="0" w:line="240" w:lineRule="auto"/>
              <w:rPr>
                <w:rFonts w:ascii="Times New Roman" w:hAnsi="Times New Roman"/>
                <w:b/>
                <w:sz w:val="21"/>
                <w:szCs w:val="21"/>
              </w:rPr>
            </w:pPr>
            <w:r w:rsidRPr="007717D3">
              <w:rPr>
                <w:rFonts w:ascii="Times New Roman" w:hAnsi="Times New Roman"/>
                <w:b/>
                <w:sz w:val="21"/>
                <w:szCs w:val="21"/>
              </w:rPr>
              <w:t>п/п</w:t>
            </w:r>
          </w:p>
        </w:tc>
        <w:tc>
          <w:tcPr>
            <w:tcW w:w="7813" w:type="dxa"/>
            <w:shd w:val="clear" w:color="auto" w:fill="auto"/>
          </w:tcPr>
          <w:p w:rsidR="007A42A6" w:rsidRPr="007717D3" w:rsidRDefault="007A42A6" w:rsidP="007A42A6">
            <w:pPr>
              <w:spacing w:after="0" w:line="240" w:lineRule="auto"/>
              <w:rPr>
                <w:rFonts w:ascii="Times New Roman" w:hAnsi="Times New Roman"/>
                <w:b/>
                <w:sz w:val="21"/>
                <w:szCs w:val="21"/>
              </w:rPr>
            </w:pPr>
            <w:r w:rsidRPr="007717D3">
              <w:rPr>
                <w:rFonts w:ascii="Times New Roman" w:hAnsi="Times New Roman"/>
                <w:b/>
                <w:sz w:val="21"/>
                <w:szCs w:val="21"/>
              </w:rPr>
              <w:t>Наименование товара</w:t>
            </w:r>
          </w:p>
        </w:tc>
        <w:tc>
          <w:tcPr>
            <w:tcW w:w="1241" w:type="dxa"/>
          </w:tcPr>
          <w:p w:rsidR="007A42A6" w:rsidRPr="007717D3" w:rsidRDefault="007A42A6" w:rsidP="007A42A6">
            <w:pPr>
              <w:spacing w:after="0" w:line="240" w:lineRule="auto"/>
              <w:rPr>
                <w:rFonts w:ascii="Times New Roman" w:hAnsi="Times New Roman"/>
                <w:b/>
                <w:sz w:val="21"/>
                <w:szCs w:val="21"/>
              </w:rPr>
            </w:pPr>
            <w:r w:rsidRPr="007717D3">
              <w:rPr>
                <w:rFonts w:ascii="Times New Roman" w:hAnsi="Times New Roman"/>
                <w:b/>
                <w:sz w:val="21"/>
                <w:szCs w:val="21"/>
              </w:rPr>
              <w:t>Кол-во</w:t>
            </w:r>
          </w:p>
        </w:tc>
      </w:tr>
      <w:tr w:rsidR="007A42A6" w:rsidRPr="007717D3" w:rsidTr="000A2E7B">
        <w:tc>
          <w:tcPr>
            <w:tcW w:w="976" w:type="dxa"/>
            <w:shd w:val="clear" w:color="auto" w:fill="auto"/>
          </w:tcPr>
          <w:p w:rsidR="007A42A6" w:rsidRPr="007717D3" w:rsidRDefault="007A42A6" w:rsidP="007A42A6">
            <w:pPr>
              <w:spacing w:after="0" w:line="240" w:lineRule="auto"/>
              <w:rPr>
                <w:rFonts w:ascii="Times New Roman" w:hAnsi="Times New Roman"/>
                <w:b/>
                <w:sz w:val="21"/>
                <w:szCs w:val="21"/>
              </w:rPr>
            </w:pPr>
            <w:r>
              <w:rPr>
                <w:rFonts w:ascii="Times New Roman" w:hAnsi="Times New Roman"/>
                <w:b/>
                <w:sz w:val="21"/>
                <w:szCs w:val="21"/>
              </w:rPr>
              <w:t>1.4.2</w:t>
            </w:r>
          </w:p>
        </w:tc>
        <w:tc>
          <w:tcPr>
            <w:tcW w:w="7813"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Трибуна</w:t>
            </w:r>
          </w:p>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Эскиз</w:t>
            </w:r>
          </w:p>
          <w:p w:rsidR="007A42A6" w:rsidRDefault="007A42A6" w:rsidP="007A42A6">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228725" cy="1428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428750"/>
                          </a:xfrm>
                          <a:prstGeom prst="rect">
                            <a:avLst/>
                          </a:prstGeom>
                          <a:noFill/>
                          <a:ln>
                            <a:noFill/>
                          </a:ln>
                        </pic:spPr>
                      </pic:pic>
                    </a:graphicData>
                  </a:graphic>
                </wp:inline>
              </w:drawing>
            </w:r>
          </w:p>
          <w:p w:rsidR="007A42A6" w:rsidRDefault="007A42A6" w:rsidP="007A42A6">
            <w:pPr>
              <w:spacing w:after="0" w:line="240" w:lineRule="auto"/>
              <w:rPr>
                <w:rFonts w:ascii="Times New Roman" w:hAnsi="Times New Roman"/>
                <w:noProof/>
                <w:sz w:val="21"/>
                <w:szCs w:val="21"/>
              </w:rPr>
            </w:pPr>
            <w:r>
              <w:rPr>
                <w:rFonts w:ascii="Times New Roman" w:hAnsi="Times New Roman"/>
                <w:noProof/>
                <w:sz w:val="21"/>
                <w:szCs w:val="21"/>
              </w:rPr>
              <w:t>Материал лдсп, толщина лдсп 16 мм, цвет по согласованию с Заказчиком</w:t>
            </w:r>
          </w:p>
          <w:p w:rsidR="007A42A6" w:rsidRPr="00243FAE" w:rsidRDefault="007A42A6" w:rsidP="007A42A6">
            <w:pPr>
              <w:spacing w:after="0" w:line="240" w:lineRule="auto"/>
              <w:rPr>
                <w:rFonts w:ascii="Times New Roman" w:hAnsi="Times New Roman"/>
                <w:noProof/>
                <w:sz w:val="21"/>
                <w:szCs w:val="21"/>
                <w:lang w:val="en-US"/>
              </w:rPr>
            </w:pPr>
            <w:r>
              <w:rPr>
                <w:rFonts w:ascii="Times New Roman" w:hAnsi="Times New Roman"/>
                <w:noProof/>
                <w:sz w:val="21"/>
                <w:szCs w:val="21"/>
              </w:rPr>
              <w:t>Габаритный размер: 600*450*900 мм</w:t>
            </w:r>
          </w:p>
        </w:tc>
        <w:tc>
          <w:tcPr>
            <w:tcW w:w="1241" w:type="dxa"/>
          </w:tcPr>
          <w:p w:rsidR="007A42A6" w:rsidRPr="007717D3" w:rsidRDefault="007A42A6" w:rsidP="007A42A6">
            <w:pPr>
              <w:spacing w:after="0" w:line="240" w:lineRule="auto"/>
              <w:rPr>
                <w:rFonts w:ascii="Times New Roman" w:hAnsi="Times New Roman"/>
                <w:b/>
                <w:sz w:val="21"/>
                <w:szCs w:val="21"/>
              </w:rPr>
            </w:pPr>
            <w:r>
              <w:rPr>
                <w:rFonts w:ascii="Times New Roman" w:hAnsi="Times New Roman"/>
                <w:b/>
                <w:sz w:val="21"/>
                <w:szCs w:val="21"/>
              </w:rPr>
              <w:t>1</w:t>
            </w:r>
          </w:p>
        </w:tc>
      </w:tr>
      <w:tr w:rsidR="007A42A6" w:rsidRPr="007717D3" w:rsidTr="000A2E7B">
        <w:tc>
          <w:tcPr>
            <w:tcW w:w="976"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1.4.3</w:t>
            </w:r>
          </w:p>
        </w:tc>
        <w:tc>
          <w:tcPr>
            <w:tcW w:w="7813" w:type="dxa"/>
            <w:shd w:val="clear" w:color="auto" w:fill="auto"/>
          </w:tcPr>
          <w:p w:rsidR="007A42A6" w:rsidRDefault="007A42A6" w:rsidP="007A42A6">
            <w:pPr>
              <w:spacing w:after="0" w:line="240" w:lineRule="auto"/>
              <w:rPr>
                <w:rFonts w:ascii="Times New Roman" w:hAnsi="Times New Roman"/>
                <w:b/>
                <w:sz w:val="21"/>
                <w:szCs w:val="21"/>
                <w:lang w:val="en-US"/>
              </w:rPr>
            </w:pPr>
            <w:r>
              <w:rPr>
                <w:rFonts w:ascii="Times New Roman" w:hAnsi="Times New Roman"/>
                <w:b/>
                <w:sz w:val="21"/>
                <w:szCs w:val="21"/>
              </w:rPr>
              <w:t>Стол в президиум</w:t>
            </w:r>
          </w:p>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Эскиз</w:t>
            </w:r>
          </w:p>
          <w:p w:rsidR="007A42A6" w:rsidRDefault="007A42A6" w:rsidP="007A42A6">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562100" cy="962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100" cy="962025"/>
                          </a:xfrm>
                          <a:prstGeom prst="rect">
                            <a:avLst/>
                          </a:prstGeom>
                          <a:noFill/>
                          <a:ln>
                            <a:noFill/>
                          </a:ln>
                        </pic:spPr>
                      </pic:pic>
                    </a:graphicData>
                  </a:graphic>
                </wp:inline>
              </w:drawing>
            </w:r>
          </w:p>
          <w:p w:rsidR="007A42A6" w:rsidRPr="00243FAE" w:rsidRDefault="007A42A6" w:rsidP="007A42A6">
            <w:pPr>
              <w:spacing w:after="0" w:line="240" w:lineRule="auto"/>
              <w:rPr>
                <w:rFonts w:ascii="Times New Roman" w:hAnsi="Times New Roman"/>
                <w:sz w:val="21"/>
                <w:szCs w:val="21"/>
              </w:rPr>
            </w:pPr>
            <w:r w:rsidRPr="00243FAE">
              <w:rPr>
                <w:rFonts w:ascii="Times New Roman" w:hAnsi="Times New Roman"/>
                <w:sz w:val="21"/>
                <w:szCs w:val="21"/>
              </w:rPr>
              <w:t>Материал изготовления лдсп, толщина лдсп каркаса 16 мм толщина столешницы 26 мм</w:t>
            </w:r>
            <w:r>
              <w:rPr>
                <w:rFonts w:ascii="Times New Roman" w:hAnsi="Times New Roman"/>
                <w:sz w:val="21"/>
                <w:szCs w:val="21"/>
              </w:rPr>
              <w:t xml:space="preserve">. Кромка по периметру столешницы 2 мм Стол  с лицевой стороны имеет декоративную накладку. Габаритный размер Д*Ш*В , мм 2000*700*760 . Цвет лдсп по согласованию с Заказчиком  </w:t>
            </w:r>
          </w:p>
        </w:tc>
        <w:tc>
          <w:tcPr>
            <w:tcW w:w="1241" w:type="dxa"/>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1</w:t>
            </w:r>
          </w:p>
        </w:tc>
      </w:tr>
      <w:tr w:rsidR="007A42A6" w:rsidRPr="007717D3" w:rsidTr="000A2E7B">
        <w:tc>
          <w:tcPr>
            <w:tcW w:w="976"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1.4.4</w:t>
            </w:r>
          </w:p>
        </w:tc>
        <w:tc>
          <w:tcPr>
            <w:tcW w:w="7813"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Стул в президиум</w:t>
            </w:r>
          </w:p>
          <w:p w:rsidR="007A42A6" w:rsidRDefault="007A42A6" w:rsidP="007A42A6">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971550" cy="971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Ширина620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Глубина630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Высота810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Ширина сиденья450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Глубина сиденья410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Высота до сиденья470 мм</w:t>
            </w:r>
          </w:p>
          <w:p w:rsidR="007A42A6" w:rsidRPr="00243FAE" w:rsidRDefault="007A42A6" w:rsidP="007A42A6">
            <w:pPr>
              <w:spacing w:after="0" w:line="240" w:lineRule="auto"/>
              <w:rPr>
                <w:rFonts w:ascii="Times New Roman" w:hAnsi="Times New Roman"/>
                <w:color w:val="0C1638"/>
                <w:sz w:val="21"/>
                <w:szCs w:val="21"/>
              </w:rPr>
            </w:pPr>
            <w:r w:rsidRPr="00243FAE">
              <w:rPr>
                <w:rFonts w:ascii="Times New Roman" w:hAnsi="Times New Roman"/>
                <w:color w:val="0C1638"/>
                <w:sz w:val="21"/>
                <w:szCs w:val="21"/>
              </w:rPr>
              <w:t>Материал каркасахром</w:t>
            </w:r>
          </w:p>
          <w:p w:rsidR="007A42A6" w:rsidRDefault="007A42A6" w:rsidP="007A42A6">
            <w:pPr>
              <w:spacing w:after="0" w:line="240" w:lineRule="auto"/>
              <w:rPr>
                <w:rFonts w:ascii="Times New Roman" w:hAnsi="Times New Roman"/>
                <w:b/>
                <w:sz w:val="21"/>
                <w:szCs w:val="21"/>
              </w:rPr>
            </w:pPr>
            <w:r w:rsidRPr="00243FAE">
              <w:rPr>
                <w:rFonts w:ascii="Times New Roman" w:hAnsi="Times New Roman"/>
                <w:b/>
                <w:sz w:val="21"/>
                <w:szCs w:val="21"/>
              </w:rPr>
              <w:t>Обивка искусственная кожа, накладки на подлокотники дерево</w:t>
            </w:r>
          </w:p>
        </w:tc>
        <w:tc>
          <w:tcPr>
            <w:tcW w:w="1241" w:type="dxa"/>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4</w:t>
            </w:r>
          </w:p>
        </w:tc>
      </w:tr>
      <w:tr w:rsidR="007A42A6" w:rsidRPr="007717D3" w:rsidTr="000A2E7B">
        <w:tc>
          <w:tcPr>
            <w:tcW w:w="976"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1.4.1</w:t>
            </w:r>
          </w:p>
        </w:tc>
        <w:tc>
          <w:tcPr>
            <w:tcW w:w="7813" w:type="dxa"/>
            <w:shd w:val="clear" w:color="auto" w:fill="auto"/>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Кресло для актового зала</w:t>
            </w:r>
          </w:p>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t>Эскиз:</w:t>
            </w:r>
          </w:p>
          <w:p w:rsidR="007A42A6" w:rsidRDefault="007A42A6" w:rsidP="007A42A6">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238250" cy="1219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0" cy="1219200"/>
                          </a:xfrm>
                          <a:prstGeom prst="rect">
                            <a:avLst/>
                          </a:prstGeom>
                          <a:noFill/>
                          <a:ln>
                            <a:noFill/>
                          </a:ln>
                        </pic:spPr>
                      </pic:pic>
                    </a:graphicData>
                  </a:graphic>
                </wp:inline>
              </w:drawing>
            </w:r>
          </w:p>
          <w:p w:rsidR="007A42A6" w:rsidRPr="00A36014" w:rsidRDefault="007A42A6" w:rsidP="007A42A6">
            <w:pPr>
              <w:spacing w:after="0" w:line="240" w:lineRule="auto"/>
              <w:rPr>
                <w:rFonts w:ascii="Times New Roman" w:hAnsi="Times New Roman"/>
                <w:sz w:val="21"/>
                <w:szCs w:val="21"/>
              </w:rPr>
            </w:pPr>
            <w:r w:rsidRPr="00A36014">
              <w:rPr>
                <w:rFonts w:ascii="Times New Roman" w:hAnsi="Times New Roman"/>
                <w:sz w:val="21"/>
                <w:szCs w:val="21"/>
              </w:rPr>
              <w:t xml:space="preserve">Габаритный размер 860*770*680 </w:t>
            </w:r>
          </w:p>
          <w:p w:rsidR="007A42A6" w:rsidRDefault="007A42A6" w:rsidP="007A42A6">
            <w:pPr>
              <w:spacing w:after="0" w:line="240" w:lineRule="auto"/>
              <w:rPr>
                <w:rFonts w:ascii="Times New Roman" w:hAnsi="Times New Roman"/>
                <w:b/>
                <w:sz w:val="21"/>
                <w:szCs w:val="21"/>
              </w:rPr>
            </w:pPr>
            <w:r w:rsidRPr="00A36014">
              <w:rPr>
                <w:rFonts w:ascii="Times New Roman" w:hAnsi="Times New Roman"/>
                <w:sz w:val="21"/>
                <w:szCs w:val="21"/>
              </w:rPr>
              <w:lastRenderedPageBreak/>
              <w:t>Материал обивки искусственная кожа наполнитель поролон, корпус дерево. Металлические ножки</w:t>
            </w:r>
            <w:r>
              <w:rPr>
                <w:rFonts w:ascii="Times New Roman" w:hAnsi="Times New Roman"/>
                <w:sz w:val="21"/>
                <w:szCs w:val="21"/>
              </w:rPr>
              <w:t>. Прошивочные строчки- наличие</w:t>
            </w:r>
          </w:p>
        </w:tc>
        <w:tc>
          <w:tcPr>
            <w:tcW w:w="1241" w:type="dxa"/>
          </w:tcPr>
          <w:p w:rsidR="007A42A6" w:rsidRDefault="007A42A6" w:rsidP="007A42A6">
            <w:pPr>
              <w:spacing w:after="0" w:line="240" w:lineRule="auto"/>
              <w:rPr>
                <w:rFonts w:ascii="Times New Roman" w:hAnsi="Times New Roman"/>
                <w:b/>
                <w:sz w:val="21"/>
                <w:szCs w:val="21"/>
              </w:rPr>
            </w:pPr>
            <w:r>
              <w:rPr>
                <w:rFonts w:ascii="Times New Roman" w:hAnsi="Times New Roman"/>
                <w:b/>
                <w:sz w:val="21"/>
                <w:szCs w:val="21"/>
              </w:rPr>
              <w:lastRenderedPageBreak/>
              <w:t>3</w:t>
            </w:r>
          </w:p>
        </w:tc>
      </w:tr>
    </w:tbl>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21"/>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7CE5"/>
    <w:multiLevelType w:val="multilevel"/>
    <w:tmpl w:val="5BF6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60A39"/>
    <w:multiLevelType w:val="multilevel"/>
    <w:tmpl w:val="B02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
  </w:num>
  <w:num w:numId="3">
    <w:abstractNumId w:val="4"/>
  </w:num>
  <w:num w:numId="4">
    <w:abstractNumId w:val="23"/>
  </w:num>
  <w:num w:numId="5">
    <w:abstractNumId w:val="12"/>
  </w:num>
  <w:num w:numId="6">
    <w:abstractNumId w:val="6"/>
  </w:num>
  <w:num w:numId="7">
    <w:abstractNumId w:val="2"/>
  </w:num>
  <w:num w:numId="8">
    <w:abstractNumId w:val="7"/>
  </w:num>
  <w:num w:numId="9">
    <w:abstractNumId w:val="13"/>
  </w:num>
  <w:num w:numId="10">
    <w:abstractNumId w:val="11"/>
  </w:num>
  <w:num w:numId="11">
    <w:abstractNumId w:val="24"/>
  </w:num>
  <w:num w:numId="12">
    <w:abstractNumId w:val="16"/>
  </w:num>
  <w:num w:numId="13">
    <w:abstractNumId w:val="25"/>
  </w:num>
  <w:num w:numId="14">
    <w:abstractNumId w:val="30"/>
  </w:num>
  <w:num w:numId="15">
    <w:abstractNumId w:val="5"/>
  </w:num>
  <w:num w:numId="16">
    <w:abstractNumId w:val="14"/>
  </w:num>
  <w:num w:numId="17">
    <w:abstractNumId w:val="10"/>
  </w:num>
  <w:num w:numId="18">
    <w:abstractNumId w:val="17"/>
  </w:num>
  <w:num w:numId="19">
    <w:abstractNumId w:val="20"/>
  </w:num>
  <w:num w:numId="20">
    <w:abstractNumId w:val="28"/>
  </w:num>
  <w:num w:numId="21">
    <w:abstractNumId w:val="15"/>
  </w:num>
  <w:num w:numId="22">
    <w:abstractNumId w:val="8"/>
  </w:num>
  <w:num w:numId="23">
    <w:abstractNumId w:val="26"/>
  </w:num>
  <w:num w:numId="24">
    <w:abstractNumId w:val="27"/>
  </w:num>
  <w:num w:numId="25">
    <w:abstractNumId w:val="9"/>
  </w:num>
  <w:num w:numId="26">
    <w:abstractNumId w:val="21"/>
  </w:num>
  <w:num w:numId="27">
    <w:abstractNumId w:val="29"/>
  </w:num>
  <w:num w:numId="28">
    <w:abstractNumId w:val="2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19A0"/>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2A6"/>
    <w:rsid w:val="007A4822"/>
    <w:rsid w:val="007C7F51"/>
    <w:rsid w:val="007D34B9"/>
    <w:rsid w:val="007D3FD2"/>
    <w:rsid w:val="007E203A"/>
    <w:rsid w:val="007F7D27"/>
    <w:rsid w:val="008145C2"/>
    <w:rsid w:val="00822060"/>
    <w:rsid w:val="008302FA"/>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251C9"/>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2AB3-D080-4416-AC0C-A77969B6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26448</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12</cp:revision>
  <cp:lastPrinted>2025-04-10T13:58:00Z</cp:lastPrinted>
  <dcterms:created xsi:type="dcterms:W3CDTF">2026-05-14T13:00:00Z</dcterms:created>
  <dcterms:modified xsi:type="dcterms:W3CDTF">2026-05-25T11:21:00Z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