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Обоснование начальной (максимальной) цены контракта</w:t>
      </w:r>
    </w:p>
    <w:p>
      <w:pPr>
        <w:pStyle w:val="Normal"/>
        <w:spacing w:lineRule="auto" w:line="240" w:before="0" w:after="0"/>
        <w:ind w:firstLine="709" w:left="0" w:right="0"/>
        <w:jc w:val="center"/>
        <w:rPr>
          <w:rFonts w:ascii="Times New Roman" w:hAnsi="Times New Roman"/>
          <w:b/>
          <w:sz w:val="20"/>
          <w:highlight w:val="none"/>
          <w:shd w:fill="auto" w:val="clear"/>
        </w:rPr>
      </w:pPr>
      <w:r>
        <w:rPr>
          <w:rFonts w:asciiTheme="minorAscii" w:hAnsiTheme="minorHAnsi" w:ascii="Times New Roman" w:hAnsi="Times New Roman"/>
          <w:b/>
          <w:sz w:val="20"/>
          <w:shd w:fill="auto" w:val="clear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firstLine="709" w:left="0" w:right="0"/>
        <w:jc w:val="both"/>
        <w:outlineLvl w:val="1"/>
        <w:rPr>
          <w:rFonts w:asciiTheme="minorAscii" w:hAnsiTheme="minorHAnsi"/>
          <w:highlight w:val="none"/>
          <w:shd w:fill="auto" w:val="clear"/>
        </w:rPr>
      </w:pPr>
      <w:r>
        <w:rPr>
          <w:rFonts w:asciiTheme="minorAscii" w:hAnsiTheme="minorHAnsi" w:ascii="Times New Roman" w:hAnsi="Times New Roman"/>
          <w:sz w:val="20"/>
          <w:shd w:fill="auto" w:val="clear"/>
        </w:rPr>
        <w:t xml:space="preserve"> </w:t>
      </w:r>
      <w:r>
        <w:rPr>
          <w:rFonts w:asciiTheme="minorAscii" w:hAnsiTheme="minorHAnsi" w:ascii="Times New Roman" w:hAnsi="Times New Roman"/>
          <w:sz w:val="20"/>
          <w:shd w:fill="auto" w:val="clear"/>
        </w:rPr>
        <w:t>Используемый метод определения начальной (максимальной) цены контракта – метод сопоставимых рыночных цен (анализ рынка). Цена сформирована с учетом всех расходов Исполнителя, включая транспортные расходы, затраты на страхование, уплату налогов, налоговых пошлин, сборов и других обязательных платежей, а также прочих расходов, которые могут возникнуть в ходе оказания услуг в 2026 году.</w:t>
      </w:r>
    </w:p>
    <w:tbl>
      <w:tblPr>
        <w:tblStyle w:val="Style_3"/>
        <w:tblW w:w="93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5714"/>
      </w:tblGrid>
      <w:tr>
        <w:trPr>
          <w:trHeight w:val="300" w:hRule="exact"/>
        </w:trPr>
        <w:tc>
          <w:tcPr>
            <w:tcW w:w="935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3640" w:type="dxa"/>
            <w:tcBorders/>
            <w:shd w:fill="auto" w:val="clear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Основные характеристики объекта закупки</w:t>
            </w:r>
          </w:p>
        </w:tc>
        <w:tc>
          <w:tcPr>
            <w:tcW w:w="57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работ по межеванию и постановке на государственный кадастровый учет земельных участков</w:t>
            </w:r>
          </w:p>
        </w:tc>
      </w:tr>
      <w:tr>
        <w:trPr/>
        <w:tc>
          <w:tcPr>
            <w:tcW w:w="3640" w:type="dxa"/>
            <w:tcBorders/>
            <w:shd w:fill="auto" w:val="clear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57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35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Метод сопоставимых рыночных цен (анализа рынка).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Начальная (максимальная) цена контракта рассчитана в результате подсчета полученных данных от поставщиков о рыночных ценах на идентичные услуги </w:t>
            </w:r>
          </w:p>
        </w:tc>
      </w:tr>
      <w:tr>
        <w:trPr/>
        <w:tc>
          <w:tcPr>
            <w:tcW w:w="9354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Расчет НМЦК:</w:t>
            </w:r>
          </w:p>
        </w:tc>
      </w:tr>
      <w:tr>
        <w:trPr>
          <w:trHeight w:val="10011" w:hRule="atLeast"/>
        </w:trPr>
        <w:tc>
          <w:tcPr>
            <w:tcW w:w="9354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tbl>
            <w:tblPr>
              <w:tblStyle w:val="Style_3"/>
              <w:tblW w:w="903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2"/>
              <w:gridCol w:w="1158"/>
              <w:gridCol w:w="807"/>
              <w:gridCol w:w="2552"/>
              <w:gridCol w:w="959"/>
              <w:gridCol w:w="969"/>
              <w:gridCol w:w="1007"/>
              <w:gridCol w:w="14"/>
              <w:gridCol w:w="991"/>
            </w:tblGrid>
            <w:tr>
              <w:trPr>
                <w:trHeight w:val="1581" w:hRule="atLeast"/>
              </w:trPr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№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1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Площадь, 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работ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Поставщик 1</w:t>
                  </w:r>
                </w:p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(33-24926 от 15.07.26, руб.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Поставщик 2</w:t>
                  </w:r>
                </w:p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(33-24931 от 15.07.26), руб.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Поставщик 3</w:t>
                  </w:r>
                </w:p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(33-24990 от 15.07.26), руб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Средняя цена  за объект, руб.</w:t>
                  </w:r>
                </w:p>
              </w:tc>
            </w:tr>
            <w:tr>
              <w:trPr>
                <w:trHeight w:val="1080" w:hRule="atLeast"/>
              </w:trPr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360" w:before="0" w:after="200"/>
                    <w:ind w:hanging="0" w:left="113" w:right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pacing w:val="0"/>
                      <w:sz w:val="20"/>
                      <w:szCs w:val="20"/>
                      <w:u w:val="none"/>
                      <w:em w:val="none"/>
                    </w:rPr>
                    <w:t>33:01:001101:1520</w:t>
                  </w:r>
                </w:p>
              </w:tc>
              <w:tc>
                <w:tcPr>
                  <w:tcW w:w="8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bidi w:val="0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0"/>
                      <w:szCs w:val="20"/>
                      <w:u w:val="none"/>
                      <w:em w:val="none"/>
                    </w:rPr>
                    <w:t>11,6247</w:t>
                  </w:r>
                </w:p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bidi w:val="0"/>
                    <w:spacing w:before="0" w:after="200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pacing w:val="0"/>
                      <w:sz w:val="20"/>
                      <w:szCs w:val="20"/>
                      <w:u w:val="none"/>
                      <w:em w:val="none"/>
                    </w:rPr>
                    <w:t>Р</w:t>
                  </w:r>
                  <w:r>
                    <w:rPr>
                      <w:rFonts w:ascii="Times New Roman" w:hAnsi="Times New Roman"/>
                      <w:b w:val="false"/>
                      <w:i w:val="false"/>
                      <w:strike w:val="false"/>
                      <w:dstrike w:val="false"/>
                      <w:outline w:val="false"/>
                      <w:shadow w:val="false"/>
                      <w:sz w:val="20"/>
                      <w:szCs w:val="20"/>
                      <w:u w:val="none"/>
                      <w:em w:val="none"/>
                    </w:rPr>
                    <w:t>аздел земельного участка с сохранением исходного в измененных границах и образованием одного земельного участка под объектом недвижимости 33:01:001101:799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15000</w:t>
                  </w:r>
                </w:p>
              </w:tc>
              <w:tc>
                <w:tcPr>
                  <w:tcW w:w="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19000</w:t>
                  </w:r>
                </w:p>
              </w:tc>
              <w:tc>
                <w:tcPr>
                  <w:tcW w:w="10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17500</w:t>
                  </w:r>
                </w:p>
              </w:tc>
              <w:tc>
                <w:tcPr>
                  <w:tcW w:w="10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17170</w:t>
                  </w:r>
                </w:p>
              </w:tc>
            </w:tr>
            <w:tr>
              <w:trPr>
                <w:trHeight w:val="570" w:hRule="atLeast"/>
              </w:trPr>
              <w:tc>
                <w:tcPr>
                  <w:tcW w:w="8048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bookmarkStart w:id="0" w:name="__DdeLink__1896_3115092527_Копия_2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Итого НМЦК (руб.)</w:t>
                  </w:r>
                  <w:bookmarkEnd w:id="0"/>
                </w:p>
              </w:tc>
              <w:tc>
                <w:tcPr>
                  <w:tcW w:w="9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uppressAutoHyphens w:val="true"/>
                    <w:spacing w:lineRule="auto" w:line="240" w:before="0" w:after="0"/>
                    <w:jc w:val="center"/>
                    <w:rPr>
                      <w:sz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17170</w:t>
                  </w:r>
                </w:p>
              </w:tc>
            </w:tr>
          </w:tbl>
          <w:p>
            <w:pPr>
              <w:pStyle w:val="Normal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Normal"/>
              <w:spacing w:before="57" w:after="257"/>
              <w:ind w:firstLine="743" w:left="0" w:right="0"/>
              <w:jc w:val="both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 соответствии с пунктом 2 статьи 72 Бюджетного кодекса Российской Федерации и с учетом суммы выделенных лимитов бюджетных ассигнований по соответствующей статье расходов, доведенных до Межрегионального территориального управления Федерального агентства по управлению государственным имуществом во Владимирской, Ивановской, Костромской и Ярославской областях на 2026 год, начальная максимальная цена контракта составит </w:t>
            </w:r>
            <w:r>
              <w:rPr>
                <w:rFonts w:ascii="Times New Roman" w:hAnsi="Times New Roman"/>
                <w:sz w:val="20"/>
              </w:rPr>
              <w:t>17170</w:t>
            </w:r>
            <w:bookmarkStart w:id="1" w:name="__DdeLink__906_2943129912"/>
            <w:bookmarkStart w:id="2" w:name="__DdeLink__146_2426309346"/>
            <w:bookmarkStart w:id="3" w:name="__DdeLink__2933_4046018612"/>
            <w:bookmarkStart w:id="4" w:name="__DdeLink__1947_294949820"/>
            <w:r>
              <w:rPr>
                <w:rFonts w:ascii="Times New Roman" w:hAnsi="Times New Roman"/>
                <w:sz w:val="20"/>
              </w:rPr>
              <w:t xml:space="preserve"> руб. (</w:t>
            </w:r>
            <w:r>
              <w:rPr>
                <w:rFonts w:ascii="Times New Roman" w:hAnsi="Times New Roman"/>
                <w:sz w:val="20"/>
              </w:rPr>
              <w:t>семнадцать</w:t>
            </w:r>
            <w:r>
              <w:rPr>
                <w:rFonts w:ascii="Times New Roman" w:hAnsi="Times New Roman"/>
                <w:sz w:val="20"/>
              </w:rPr>
              <w:t xml:space="preserve"> тысяч </w:t>
            </w:r>
            <w:r>
              <w:rPr>
                <w:rFonts w:ascii="Times New Roman" w:hAnsi="Times New Roman"/>
                <w:sz w:val="20"/>
              </w:rPr>
              <w:t>сто семьдесят</w:t>
            </w:r>
            <w:r>
              <w:rPr>
                <w:rFonts w:ascii="Times New Roman" w:hAnsi="Times New Roman"/>
                <w:sz w:val="20"/>
              </w:rPr>
              <w:t xml:space="preserve">  рублей 00 коп.)</w:t>
            </w:r>
            <w:bookmarkEnd w:id="1"/>
            <w:bookmarkEnd w:id="2"/>
            <w:bookmarkEnd w:id="3"/>
            <w:bookmarkEnd w:id="4"/>
            <w:r>
              <w:rPr>
                <w:rFonts w:ascii="Times New Roman" w:hAnsi="Times New Roman"/>
                <w:sz w:val="20"/>
              </w:rPr>
              <w:t>.</w:t>
            </w:r>
          </w:p>
          <w:p>
            <w:pPr>
              <w:pStyle w:val="Normal"/>
              <w:spacing w:before="0" w:after="0"/>
              <w:ind w:firstLine="54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widowControl/>
        <w:spacing w:lineRule="auto" w:line="276" w:before="0" w:after="20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Приложение 1 к извещению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Приложение 1 к извещению</w:t>
    </w:r>
  </w:p>
</w:hdr>
</file>

<file path=word/settings.xml><?xml version="1.0" encoding="utf-8"?>
<w:settings xmlns:w="http://schemas.openxmlformats.org/wordprocessingml/2006/main">
  <w:zoom w:percent="75"/>
  <w:defaultTabStop w:val="4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Droid Sans Devanagari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Droid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DefaultParagraphFont">
    <w:name w:val="Default Paragraph Font"/>
    <w:qFormat/>
    <w:rPr/>
  </w:style>
  <w:style w:type="character" w:styleId="Caption1">
    <w:name w:val="Caption1"/>
    <w:qFormat/>
    <w:rPr>
      <w:i/>
      <w:sz w:val="24"/>
    </w:rPr>
  </w:style>
  <w:style w:type="character" w:styleId="Textbody">
    <w:name w:val="Text body"/>
    <w:qFormat/>
    <w:rPr/>
  </w:style>
  <w:style w:type="character" w:styleId="Style9">
    <w:name w:val="Нижний колонтитул Знак"/>
    <w:basedOn w:val="DefaultParagraphFont"/>
    <w:qFormat/>
    <w:rPr/>
  </w:style>
  <w:style w:type="character" w:styleId="Style10">
    <w:name w:val="Указатель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1">
    <w:name w:val="Заголовок"/>
    <w:qFormat/>
    <w:rPr>
      <w:rFonts w:ascii="Liberation Sans" w:hAnsi="Liberation San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/>
  </w:style>
  <w:style w:type="character" w:styleId="Footer1">
    <w:name w:val="Footer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2">
    <w:name w:val="Верхний колонтитул Знак"/>
    <w:basedOn w:val="DefaultParagraphFont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3">
    <w:name w:val="Заголовок таблицы"/>
    <w:basedOn w:val="Style14"/>
    <w:qFormat/>
    <w:rPr>
      <w:b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yle14">
    <w:name w:val="Содержимое таблицы"/>
    <w:qFormat/>
    <w:rPr/>
  </w:style>
  <w:style w:type="character" w:styleId="BalloonText">
    <w:name w:val="Balloon Text"/>
    <w:qFormat/>
    <w:rPr>
      <w:rFonts w:ascii="Segoe UI" w:hAnsi="Segoe UI"/>
      <w:sz w:val="1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15">
    <w:name w:val="Текст выноски Знак"/>
    <w:basedOn w:val="DefaultParagraphFont"/>
    <w:qFormat/>
    <w:rPr>
      <w:rFonts w:ascii="Segoe UI" w:hAnsi="Segoe UI"/>
      <w:sz w:val="18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1">
    <w:name w:val="Указатель1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user1">
    <w:name w:val="Указатель (user)"/>
    <w:basedOn w:val="Normal"/>
    <w:qFormat/>
    <w:pPr/>
    <w:rPr/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Колонтитулы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DefaultParagraphFont1">
    <w:name w:val="Default Paragraph Font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">
    <w:name w:val="Нижний колонтитул Знак1"/>
    <w:basedOn w:val="DefaultParagraphFont1"/>
    <w:qFormat/>
    <w:pPr/>
    <w:rPr/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Droid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3">
    <w:name w:val="Верхний колонтитул Знак1"/>
    <w:basedOn w:val="DefaultParagraphFont1"/>
    <w:qFormat/>
    <w:pPr/>
    <w:rPr/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Содержимое таблицы (user)"/>
    <w:basedOn w:val="Normal"/>
    <w:qFormat/>
    <w:pPr/>
    <w:rPr/>
  </w:style>
  <w:style w:type="paragraph" w:styleId="user3">
    <w:name w:val="Заголовок таблицы (user)"/>
    <w:basedOn w:val="user2"/>
    <w:qFormat/>
    <w:pPr>
      <w:jc w:val="center"/>
    </w:pPr>
    <w:rPr>
      <w:b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BalloonText1">
    <w:name w:val="Balloon Text1"/>
    <w:basedOn w:val="Normal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4">
    <w:name w:val="Текст выноски Знак1"/>
    <w:basedOn w:val="DefaultParagraphFont1"/>
    <w:qFormat/>
    <w:pPr/>
    <w:rPr>
      <w:rFonts w:ascii="Segoe UI" w:hAnsi="Segoe UI"/>
      <w:sz w:val="18"/>
    </w:rPr>
  </w:style>
  <w:style w:type="paragraph" w:styleId="15">
    <w:name w:val="Содержимое таблицы1"/>
    <w:basedOn w:val="Normal"/>
    <w:qFormat/>
    <w:pPr>
      <w:widowControl w:val="false"/>
      <w:suppressLineNumbers/>
    </w:pPr>
    <w:rPr/>
  </w:style>
  <w:style w:type="paragraph" w:styleId="16">
    <w:name w:val="Заголовок таблицы1"/>
    <w:basedOn w:val="15"/>
    <w:qFormat/>
    <w:pPr>
      <w:suppressLineNumbers/>
      <w:jc w:val="center"/>
    </w:pPr>
    <w:rPr>
      <w:b/>
      <w:bCs/>
    </w:r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Application>LibreOffice/24.8.7.2$Linux_X86_64 LibreOffice_project/480$Build-2</Application>
  <AppVersion>15.0000</AppVersion>
  <DocSecurity>0</DocSecurity>
  <Pages>1</Pages>
  <Words>227</Words>
  <Characters>1579</Characters>
  <CharactersWithSpaces>1780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2026-05-04T18:21:42Z</cp:lastPrinted>
  <dcterms:modified xsi:type="dcterms:W3CDTF">2026-07-28T11:22:17Z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0</vt:bool>
  </property>
</Properties>
</file>