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right="-6"/>
        <w:jc w:val="center"/>
        <w:rPr>
          <w:bCs/>
          <w:kern w:val="2"/>
          <w:sz w:val="24"/>
          <w:szCs w:val="24"/>
        </w:rPr>
      </w:pPr>
      <w:r>
        <w:rPr>
          <w:bCs/>
          <w:kern w:val="2"/>
          <w:sz w:val="24"/>
          <w:szCs w:val="24"/>
        </w:rPr>
        <w:t>ПРОЕКТ КОНТРАКТА</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t>Контракт №___________</w:t>
      </w:r>
    </w:p>
    <w:p>
      <w:pPr>
        <w:pStyle w:val="Normal"/>
        <w:shd w:val="clear" w:color="auto" w:fill="FFFFFF"/>
        <w:ind w:right="110"/>
        <w:jc w:val="center"/>
        <w:rPr>
          <w:sz w:val="24"/>
          <w:szCs w:val="24"/>
        </w:rPr>
      </w:pPr>
      <w:r>
        <w:rPr>
          <w:sz w:val="24"/>
          <w:szCs w:val="24"/>
        </w:rPr>
        <w:t>г. Рязань                                                                                                         «___» _______ 202__ г.</w:t>
      </w:r>
    </w:p>
    <w:p>
      <w:pPr>
        <w:pStyle w:val="Normal"/>
        <w:shd w:val="clear" w:color="auto" w:fill="FFFFFF"/>
        <w:ind w:right="110"/>
        <w:jc w:val="center"/>
        <w:rPr>
          <w:sz w:val="24"/>
          <w:szCs w:val="24"/>
        </w:rPr>
      </w:pPr>
      <w:r>
        <w:rPr>
          <w:sz w:val="24"/>
          <w:szCs w:val="24"/>
        </w:rPr>
      </w:r>
    </w:p>
    <w:p>
      <w:pPr>
        <w:pStyle w:val="Normal"/>
        <w:rPr>
          <w:b/>
          <w:sz w:val="24"/>
          <w:szCs w:val="24"/>
        </w:rPr>
      </w:pPr>
      <w:r>
        <w:rPr>
          <w:rFonts w:eastAsia="Calibri"/>
          <w:sz w:val="24"/>
          <w:szCs w:val="24"/>
          <w:lang w:eastAsia="en-US"/>
        </w:rPr>
        <w:t>ИКЗ -</w:t>
      </w:r>
      <w:r>
        <w:rPr>
          <w:rFonts w:eastAsia="Calibri" w:cs="Tahoma" w:ascii="Tahoma" w:hAnsi="Tahoma"/>
          <w:sz w:val="21"/>
          <w:szCs w:val="21"/>
          <w:lang w:eastAsia="en-US"/>
        </w:rPr>
        <w:t xml:space="preserve"> </w:t>
      </w:r>
      <w:r>
        <w:rPr>
          <w:rFonts w:eastAsia="Calibri" w:cs="Tahoma" w:ascii="Liberation Serif" w:hAnsi="Liberation Serif"/>
          <w:sz w:val="24"/>
          <w:szCs w:val="24"/>
          <w:lang w:eastAsia="en-US"/>
        </w:rPr>
        <w:t>261623100805462340100100200000000244</w:t>
      </w:r>
    </w:p>
    <w:p>
      <w:pPr>
        <w:pStyle w:val="Normal"/>
        <w:jc w:val="center"/>
        <w:rPr>
          <w:b/>
          <w:sz w:val="24"/>
          <w:szCs w:val="24"/>
        </w:rPr>
      </w:pPr>
      <w:r>
        <w:rPr>
          <w:b/>
          <w:sz w:val="24"/>
          <w:szCs w:val="24"/>
        </w:rPr>
      </w:r>
    </w:p>
    <w:p>
      <w:pPr>
        <w:pStyle w:val="Normal"/>
        <w:ind w:firstLine="708"/>
        <w:jc w:val="both"/>
        <w:rPr>
          <w:sz w:val="24"/>
          <w:szCs w:val="24"/>
        </w:rPr>
      </w:pPr>
      <w:r>
        <w:rPr>
          <w:sz w:val="24"/>
          <w:szCs w:val="24"/>
        </w:rPr>
        <w:t xml:space="preserve">Федеральное государственное бюджетное учреждение культуры «Рязанский историко-архитектурный музей-заповедник», именуемое в дальнейшем «Заказчик», в лице директора Робинова Олега Юрьевича, действующей на основании Устава, с одной стороны, и </w:t>
      </w:r>
    </w:p>
    <w:p>
      <w:pPr>
        <w:pStyle w:val="Normal"/>
        <w:ind w:firstLine="708"/>
        <w:jc w:val="both"/>
        <w:rPr>
          <w:sz w:val="24"/>
          <w:szCs w:val="24"/>
        </w:rPr>
      </w:pPr>
      <w:r>
        <w:rPr>
          <w:sz w:val="24"/>
          <w:szCs w:val="24"/>
        </w:rPr>
        <w:t>_______________, именуем___ в дальнейшем «Подрядчик», в лице ________________, действующего на основании _____________, с другой стороны, вместе именуемые в дальнейшем «Стороны», руководствуясь:</w:t>
      </w:r>
    </w:p>
    <w:p>
      <w:pPr>
        <w:pStyle w:val="Normal"/>
        <w:jc w:val="both"/>
        <w:rPr>
          <w:sz w:val="24"/>
          <w:szCs w:val="24"/>
        </w:rPr>
      </w:pPr>
      <w:r>
        <w:rPr>
          <w:sz w:val="24"/>
          <w:szCs w:val="24"/>
        </w:rPr>
        <w:tab/>
        <w:t>Итоговым протоколом закупочной сессии от ___ ___________ 2026 г. № ___________,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Normal"/>
        <w:jc w:val="both"/>
        <w:rPr>
          <w:sz w:val="24"/>
          <w:szCs w:val="24"/>
        </w:rPr>
      </w:pPr>
      <w:r>
        <w:rPr>
          <w:sz w:val="24"/>
          <w:szCs w:val="24"/>
        </w:rPr>
      </w:r>
    </w:p>
    <w:p>
      <w:pPr>
        <w:pStyle w:val="Normal"/>
        <w:numPr>
          <w:ilvl w:val="0"/>
          <w:numId w:val="2"/>
        </w:numPr>
        <w:jc w:val="center"/>
        <w:rPr>
          <w:rFonts w:eastAsia="Calibri"/>
          <w:b/>
          <w:bCs/>
          <w:caps/>
          <w:sz w:val="24"/>
          <w:szCs w:val="24"/>
        </w:rPr>
      </w:pPr>
      <w:r>
        <w:rPr>
          <w:rFonts w:eastAsia="Calibri"/>
          <w:b/>
          <w:bCs/>
          <w:caps/>
          <w:sz w:val="24"/>
          <w:szCs w:val="24"/>
        </w:rPr>
        <w:t>Предмет КОНТРАКТА</w:t>
      </w:r>
    </w:p>
    <w:p>
      <w:pPr>
        <w:pStyle w:val="Normal"/>
        <w:jc w:val="both"/>
        <w:rPr>
          <w:sz w:val="24"/>
          <w:szCs w:val="24"/>
        </w:rPr>
      </w:pPr>
      <w:r>
        <w:rPr>
          <w:sz w:val="24"/>
          <w:szCs w:val="24"/>
        </w:rPr>
      </w:r>
    </w:p>
    <w:p>
      <w:pPr>
        <w:pStyle w:val="Normal"/>
        <w:jc w:val="both"/>
        <w:rPr>
          <w:sz w:val="24"/>
          <w:szCs w:val="24"/>
        </w:rPr>
      </w:pPr>
      <w:r>
        <w:rPr>
          <w:sz w:val="24"/>
          <w:szCs w:val="24"/>
        </w:rPr>
        <w:t xml:space="preserve">1.1. Заказчик поручает, а Подрядчик принимает на себя выполнение следующих работ: </w:t>
      </w:r>
      <w:r>
        <w:rPr>
          <w:rStyle w:val="211pt"/>
          <w:b w:val="false"/>
          <w:bCs w:val="false"/>
          <w:u w:val="single"/>
        </w:rPr>
        <w:t xml:space="preserve"> </w:t>
      </w:r>
      <w:r>
        <w:rPr>
          <w:rStyle w:val="211pt"/>
          <w:rFonts w:eastAsia="Times New Roman CYR"/>
          <w:bCs w:val="false"/>
          <w:sz w:val="24"/>
          <w:szCs w:val="24"/>
          <w:u w:val="single"/>
        </w:rPr>
        <w:t>обустройство колодца</w:t>
      </w:r>
      <w:r>
        <w:rPr>
          <w:rStyle w:val="211pt"/>
          <w:b w:val="false"/>
          <w:bCs w:val="false"/>
          <w:i/>
          <w:iCs/>
          <w:sz w:val="24"/>
          <w:szCs w:val="24"/>
          <w:u w:val="single"/>
        </w:rPr>
        <w:t>.</w:t>
      </w:r>
    </w:p>
    <w:p>
      <w:pPr>
        <w:pStyle w:val="Normal"/>
        <w:jc w:val="both"/>
        <w:rPr>
          <w:sz w:val="24"/>
          <w:szCs w:val="24"/>
        </w:rPr>
      </w:pPr>
      <w:r>
        <w:rPr>
          <w:sz w:val="24"/>
          <w:szCs w:val="24"/>
        </w:rPr>
        <w:t xml:space="preserve">1.2. Работа  по  настоящему Контракту выполняется в  соответствии с согласованным Сторонами </w:t>
      </w:r>
      <w:r>
        <w:rPr>
          <w:spacing w:val="-3"/>
          <w:sz w:val="24"/>
          <w:szCs w:val="24"/>
        </w:rPr>
        <w:t>техническим заданием</w:t>
      </w:r>
      <w:r>
        <w:rPr>
          <w:sz w:val="24"/>
          <w:szCs w:val="24"/>
        </w:rPr>
        <w:t xml:space="preserve"> Заказчика (Приложение №1 к Контракту, далее – Техническое задание).</w:t>
      </w:r>
    </w:p>
    <w:p>
      <w:pPr>
        <w:pStyle w:val="Normal"/>
        <w:jc w:val="both"/>
        <w:rPr>
          <w:rFonts w:eastAsia="Calibri"/>
          <w:b/>
          <w:sz w:val="24"/>
          <w:szCs w:val="24"/>
          <w:lang w:eastAsia="en-US"/>
        </w:rPr>
      </w:pPr>
      <w:r>
        <w:rPr>
          <w:sz w:val="24"/>
          <w:szCs w:val="24"/>
        </w:rPr>
        <w:t>1.3. Работы по настоящему Контракту должны включать любые работы и сопутствующие услуги, которые необходимы для достижения качественного результата, определённого в п. 1.1. Контракта, или которые прямо предусмотрены для данного вида работ, действующими нормативно-правовыми и нормативно-техническими актами, а также все работы, прямо не упомянутые в Контракте, но необходимые для обеспечения качественного, безопасного, надежного и эффективного выполнения основных работ.</w:t>
      </w:r>
    </w:p>
    <w:p>
      <w:pPr>
        <w:pStyle w:val="Normal"/>
        <w:jc w:val="both"/>
        <w:rPr>
          <w:sz w:val="24"/>
          <w:szCs w:val="24"/>
        </w:rPr>
      </w:pPr>
      <w:r>
        <w:rPr>
          <w:sz w:val="24"/>
          <w:szCs w:val="24"/>
        </w:rPr>
      </w:r>
    </w:p>
    <w:p>
      <w:pPr>
        <w:pStyle w:val="Normal"/>
        <w:numPr>
          <w:ilvl w:val="0"/>
          <w:numId w:val="2"/>
        </w:numPr>
        <w:jc w:val="center"/>
        <w:rPr>
          <w:rFonts w:eastAsia="Calibri"/>
          <w:b/>
          <w:bCs/>
          <w:caps/>
          <w:sz w:val="24"/>
          <w:szCs w:val="24"/>
        </w:rPr>
      </w:pPr>
      <w:r>
        <w:rPr>
          <w:rFonts w:eastAsia="Calibri"/>
          <w:b/>
          <w:bCs/>
          <w:caps/>
          <w:sz w:val="24"/>
          <w:szCs w:val="24"/>
        </w:rPr>
        <w:t>Цена КОНТРАКТА и порядок оплаты работ</w:t>
      </w:r>
    </w:p>
    <w:p>
      <w:pPr>
        <w:pStyle w:val="Normal"/>
        <w:jc w:val="both"/>
        <w:rPr>
          <w:sz w:val="24"/>
          <w:szCs w:val="24"/>
        </w:rPr>
      </w:pPr>
      <w:r>
        <w:rPr>
          <w:sz w:val="24"/>
          <w:szCs w:val="24"/>
        </w:rPr>
      </w:r>
    </w:p>
    <w:p>
      <w:pPr>
        <w:pStyle w:val="Normal"/>
        <w:jc w:val="both"/>
        <w:rPr>
          <w:sz w:val="24"/>
          <w:szCs w:val="24"/>
        </w:rPr>
      </w:pPr>
      <w:r>
        <w:rPr>
          <w:sz w:val="24"/>
          <w:szCs w:val="24"/>
        </w:rPr>
        <w:t xml:space="preserve">2.1.  Стоимость работ по Контракту составляет ______________ руб. (сумма прописью),  включая НДС _____________ / НДС не облагается (если не применяется – указать на каком основании). </w:t>
      </w:r>
    </w:p>
    <w:p>
      <w:pPr>
        <w:pStyle w:val="Normal"/>
        <w:jc w:val="both"/>
        <w:rPr>
          <w:sz w:val="24"/>
          <w:szCs w:val="24"/>
        </w:rPr>
      </w:pPr>
      <w:r>
        <w:rPr>
          <w:sz w:val="24"/>
          <w:szCs w:val="24"/>
        </w:rPr>
        <w:t>2.2. Оплата производится из средств бюджетного учреждения. Авансовый платеж не предусмотрен. Оплачивается закрытый Сторонами отчётный период равный сроку выполнения работ.</w:t>
      </w:r>
    </w:p>
    <w:p>
      <w:pPr>
        <w:pStyle w:val="Normal"/>
        <w:jc w:val="both"/>
        <w:rPr>
          <w:sz w:val="24"/>
          <w:szCs w:val="24"/>
        </w:rPr>
      </w:pPr>
      <w:r>
        <w:rPr>
          <w:sz w:val="24"/>
          <w:szCs w:val="24"/>
        </w:rPr>
        <w:t>2.3. Цена Контракта включает все затраты Подрядчика на материалы, все виды транспортировки, страхование, таможенные расходы, уплату налогов, сборов и других обязательных платежей.</w:t>
      </w:r>
    </w:p>
    <w:p>
      <w:pPr>
        <w:pStyle w:val="Normal"/>
        <w:jc w:val="both"/>
        <w:rPr>
          <w:sz w:val="24"/>
          <w:szCs w:val="24"/>
        </w:rPr>
      </w:pPr>
      <w:r>
        <w:rPr>
          <w:sz w:val="24"/>
          <w:szCs w:val="24"/>
        </w:rPr>
        <w:t>2.4. Цена настоящего Контракта является твердой и определяется на весь срок исполнения Контракта, за исключением случаев, предусмотренных настоящим Контрактом. Подрядчик несёт ответственность за правильность расчёта НДС.</w:t>
      </w:r>
    </w:p>
    <w:p>
      <w:pPr>
        <w:pStyle w:val="Normal"/>
        <w:jc w:val="both"/>
        <w:rPr>
          <w:sz w:val="24"/>
          <w:szCs w:val="24"/>
        </w:rPr>
      </w:pPr>
      <w:r>
        <w:rPr>
          <w:sz w:val="24"/>
          <w:szCs w:val="24"/>
        </w:rPr>
        <w:t>2.5. Основанием для оплаты работ является подписанная сторонами документация о приемке без претензий Заказчика.</w:t>
      </w:r>
    </w:p>
    <w:p>
      <w:pPr>
        <w:pStyle w:val="Normal"/>
        <w:jc w:val="both"/>
        <w:rPr>
          <w:sz w:val="24"/>
          <w:szCs w:val="24"/>
        </w:rPr>
      </w:pPr>
      <w:r>
        <w:rPr>
          <w:sz w:val="24"/>
          <w:szCs w:val="24"/>
        </w:rPr>
        <w:t>2.6. Оплата производится Заказчиком за каждый этап Контракта за фактически выполненные услуги в течение 7</w:t>
      </w:r>
      <w:r>
        <w:rPr>
          <w:b/>
          <w:sz w:val="24"/>
          <w:szCs w:val="24"/>
        </w:rPr>
        <w:t xml:space="preserve"> (семи) рабочих </w:t>
      </w:r>
      <w:r>
        <w:rPr>
          <w:sz w:val="24"/>
          <w:szCs w:val="24"/>
        </w:rPr>
        <w:t xml:space="preserve">дней со дня подписания сторонами </w:t>
      </w:r>
      <w:r>
        <w:rPr>
          <w:b/>
          <w:sz w:val="24"/>
          <w:szCs w:val="24"/>
        </w:rPr>
        <w:t>документа о приемке</w:t>
      </w:r>
      <w:r>
        <w:rPr>
          <w:sz w:val="24"/>
          <w:szCs w:val="24"/>
        </w:rPr>
        <w:t xml:space="preserve"> (в соответствии с разделом 7 Контракта).</w:t>
      </w:r>
    </w:p>
    <w:p>
      <w:pPr>
        <w:pStyle w:val="Normal"/>
        <w:widowControl/>
        <w:jc w:val="both"/>
        <w:rPr>
          <w:sz w:val="24"/>
          <w:szCs w:val="24"/>
        </w:rPr>
      </w:pPr>
      <w:r>
        <w:rPr>
          <w:sz w:val="24"/>
          <w:szCs w:val="24"/>
        </w:rPr>
        <w:t>2.7. Сумма по Контракту,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jc w:val="both"/>
        <w:rPr>
          <w:sz w:val="24"/>
          <w:szCs w:val="24"/>
        </w:rPr>
      </w:pPr>
      <w:r>
        <w:rPr>
          <w:sz w:val="24"/>
          <w:szCs w:val="24"/>
        </w:rPr>
        <w:t>2.8. В случае, если Подрядчиком является физическое лицо (за исключением индивидуального предпринимателя или иного занимающегося частной практикой лица) денежная сумма, подлежащая уплате Подрядчику за оказанные услуги, уменьшается на размер налоговых платежей, связанных с оплатой Контракта. Налоговым агентом для Подрядчика в данном случае выступает Заказчик.</w:t>
      </w:r>
    </w:p>
    <w:p>
      <w:pPr>
        <w:pStyle w:val="Normal"/>
        <w:jc w:val="both"/>
        <w:rPr>
          <w:sz w:val="24"/>
          <w:szCs w:val="24"/>
        </w:rPr>
      </w:pPr>
      <w:r>
        <w:rPr>
          <w:sz w:val="24"/>
          <w:szCs w:val="24"/>
        </w:rPr>
        <w:t>2.9. В случае, если Подрядчик является плательщиком налога на профессиональный доход, то Заказчик не выполняет для него функции налогового агента, Подрядчик самостоятельно несёт бремя уплаты всех обязательных налогов и сборов.</w:t>
      </w:r>
    </w:p>
    <w:p>
      <w:pPr>
        <w:pStyle w:val="Normal"/>
        <w:jc w:val="both"/>
        <w:rPr>
          <w:sz w:val="24"/>
          <w:szCs w:val="24"/>
        </w:rPr>
      </w:pPr>
      <w:r>
        <w:rPr>
          <w:sz w:val="24"/>
          <w:szCs w:val="24"/>
        </w:rPr>
      </w:r>
    </w:p>
    <w:p>
      <w:pPr>
        <w:pStyle w:val="Normal"/>
        <w:numPr>
          <w:ilvl w:val="0"/>
          <w:numId w:val="2"/>
        </w:numPr>
        <w:jc w:val="center"/>
        <w:rPr>
          <w:rFonts w:eastAsia="Calibri"/>
          <w:b/>
          <w:bCs/>
          <w:caps/>
          <w:sz w:val="24"/>
          <w:szCs w:val="24"/>
        </w:rPr>
      </w:pPr>
      <w:r>
        <w:rPr>
          <w:rFonts w:eastAsia="Calibri"/>
          <w:b/>
          <w:bCs/>
          <w:caps/>
          <w:sz w:val="24"/>
          <w:szCs w:val="24"/>
        </w:rPr>
        <w:t>Права и обязанности сторон</w:t>
      </w:r>
    </w:p>
    <w:p>
      <w:pPr>
        <w:pStyle w:val="Normal"/>
        <w:jc w:val="both"/>
        <w:rPr>
          <w:sz w:val="24"/>
          <w:szCs w:val="24"/>
        </w:rPr>
      </w:pPr>
      <w:r>
        <w:rPr>
          <w:sz w:val="24"/>
          <w:szCs w:val="24"/>
        </w:rPr>
      </w:r>
    </w:p>
    <w:p>
      <w:pPr>
        <w:pStyle w:val="Normal"/>
        <w:jc w:val="both"/>
        <w:rPr>
          <w:sz w:val="24"/>
          <w:szCs w:val="24"/>
          <w:u w:val="single"/>
        </w:rPr>
      </w:pPr>
      <w:r>
        <w:rPr>
          <w:sz w:val="24"/>
          <w:szCs w:val="24"/>
          <w:u w:val="single"/>
        </w:rPr>
        <w:t>3.1. Подрядчик обязуется:</w:t>
      </w:r>
    </w:p>
    <w:p>
      <w:pPr>
        <w:pStyle w:val="Normal"/>
        <w:jc w:val="both"/>
        <w:rPr>
          <w:sz w:val="24"/>
          <w:szCs w:val="24"/>
        </w:rPr>
      </w:pPr>
      <w:r>
        <w:rPr>
          <w:sz w:val="24"/>
          <w:szCs w:val="24"/>
        </w:rPr>
        <w:t xml:space="preserve">3.1.1. Выполнить работы, предусмотренные настоящим Контрактом, в полном объеме и с надлежащим качеством и в установленный срок в точном соответствии с Техническим заданием Заказчика. </w:t>
      </w:r>
    </w:p>
    <w:p>
      <w:pPr>
        <w:pStyle w:val="Normal"/>
        <w:jc w:val="both"/>
        <w:rPr>
          <w:sz w:val="24"/>
          <w:szCs w:val="24"/>
        </w:rPr>
      </w:pPr>
      <w:r>
        <w:rPr>
          <w:sz w:val="24"/>
          <w:szCs w:val="24"/>
        </w:rPr>
        <w:t>3.1.2. Обеспечить качество всех работ в соответствии с действующими нормами,  техническими условиями и прочими требованиями, применяемыми для данного вида работ.</w:t>
      </w:r>
    </w:p>
    <w:p>
      <w:pPr>
        <w:pStyle w:val="Normal"/>
        <w:jc w:val="both"/>
        <w:rPr>
          <w:sz w:val="24"/>
          <w:szCs w:val="24"/>
        </w:rPr>
      </w:pPr>
      <w:r>
        <w:rPr>
          <w:sz w:val="24"/>
          <w:szCs w:val="24"/>
        </w:rPr>
        <w:t>3.1.3. Нести ответственность перед Заказчиком за ненадлежащее выполнение работ по настоящему Контракту его субподрядчиками в случае их привлечения.</w:t>
      </w:r>
    </w:p>
    <w:p>
      <w:pPr>
        <w:pStyle w:val="Normal"/>
        <w:jc w:val="both"/>
        <w:rPr>
          <w:sz w:val="24"/>
          <w:szCs w:val="24"/>
        </w:rPr>
      </w:pPr>
      <w:r>
        <w:rPr>
          <w:sz w:val="24"/>
          <w:szCs w:val="24"/>
        </w:rPr>
        <w:t>3.1.4. Обеспечить выполнение работ необходимыми мероприятиями по технике безопасности с полным соблюдением норм охраны труда и требований пожарной безопасности.</w:t>
      </w:r>
    </w:p>
    <w:p>
      <w:pPr>
        <w:pStyle w:val="Normal"/>
        <w:jc w:val="both"/>
        <w:rPr>
          <w:sz w:val="24"/>
          <w:szCs w:val="24"/>
        </w:rPr>
      </w:pPr>
      <w:r>
        <w:rPr>
          <w:sz w:val="24"/>
          <w:szCs w:val="24"/>
        </w:rPr>
        <w:t>3.1.5. При выполнении работ по настоящему Контракту не изменять в одностороннем порядке график работ. Изменение сроков выполнения работ в сторону продления влечёт привлечение Подрядчика к ответственности, предусмотренной Контрактом за ненадлежащее выполнение обязанностей и срыв сроков их выполнения.</w:t>
      </w:r>
    </w:p>
    <w:p>
      <w:pPr>
        <w:pStyle w:val="Normal"/>
        <w:jc w:val="both"/>
        <w:rPr>
          <w:sz w:val="24"/>
          <w:szCs w:val="24"/>
        </w:rPr>
      </w:pPr>
      <w:r>
        <w:rPr>
          <w:sz w:val="24"/>
          <w:szCs w:val="24"/>
        </w:rPr>
        <w:t>3.1.6. На Подрядчике лежит риск случайного уничтожения или повреждения результата работ до момента сдачи его Заказчику, кроме случаев, связанных с обстоятельствами непреодолимой силы.</w:t>
      </w:r>
    </w:p>
    <w:p>
      <w:pPr>
        <w:pStyle w:val="Normal"/>
        <w:jc w:val="both"/>
        <w:rPr>
          <w:sz w:val="24"/>
          <w:szCs w:val="24"/>
        </w:rPr>
      </w:pPr>
      <w:r>
        <w:rPr>
          <w:sz w:val="24"/>
          <w:szCs w:val="24"/>
        </w:rPr>
        <w:t>3.1.7. Немедленно известить Заказчика и до получения от него указаний приостановить работы при обнаружении:</w:t>
      </w:r>
    </w:p>
    <w:p>
      <w:pPr>
        <w:pStyle w:val="Normal"/>
        <w:jc w:val="both"/>
        <w:rPr>
          <w:sz w:val="24"/>
          <w:szCs w:val="24"/>
        </w:rPr>
      </w:pPr>
      <w:r>
        <w:rPr>
          <w:sz w:val="24"/>
          <w:szCs w:val="24"/>
        </w:rPr>
        <w:t>- возможных неблагоприятных для Заказчика последствий выполнения его указаний о способе исполнения работы;</w:t>
      </w:r>
    </w:p>
    <w:p>
      <w:pPr>
        <w:pStyle w:val="Normal"/>
        <w:jc w:val="both"/>
        <w:rPr>
          <w:sz w:val="24"/>
          <w:szCs w:val="24"/>
        </w:rPr>
      </w:pPr>
      <w:r>
        <w:rPr>
          <w:sz w:val="24"/>
          <w:szCs w:val="24"/>
        </w:rPr>
        <w:t>- иных обстоятельств, угрожающих годности или прочности результатов выполняемой работы, либо создающих невозможность её завершения в установленный срок.</w:t>
      </w:r>
    </w:p>
    <w:p>
      <w:pPr>
        <w:pStyle w:val="Normal"/>
        <w:jc w:val="both"/>
        <w:rPr>
          <w:sz w:val="24"/>
          <w:szCs w:val="24"/>
        </w:rPr>
      </w:pPr>
      <w:r>
        <w:rPr>
          <w:sz w:val="24"/>
          <w:szCs w:val="24"/>
        </w:rPr>
        <w:t xml:space="preserve">3.1.8. В случае возникновения любых обстоятельств, замедляющих ход работ или делающих дальнейшее продолжение работ невозможным, немедленно поставить об этом в известность Заказчика (ст. 716 ГК РФ). </w:t>
      </w:r>
    </w:p>
    <w:p>
      <w:pPr>
        <w:pStyle w:val="Normal"/>
        <w:jc w:val="both"/>
        <w:rPr>
          <w:sz w:val="24"/>
          <w:szCs w:val="24"/>
        </w:rPr>
      </w:pPr>
      <w:r>
        <w:rPr>
          <w:sz w:val="24"/>
          <w:szCs w:val="24"/>
        </w:rPr>
        <w:t xml:space="preserve">3.1.9. Безвозмездно устранять по требованию Заказчика недостатки и дефекты в работе в течение 10 дней с момента обнаружения и предъявления претензии. </w:t>
      </w:r>
    </w:p>
    <w:p>
      <w:pPr>
        <w:pStyle w:val="Normal"/>
        <w:jc w:val="both"/>
        <w:rPr>
          <w:sz w:val="24"/>
          <w:szCs w:val="24"/>
        </w:rPr>
      </w:pPr>
      <w:r>
        <w:rPr>
          <w:sz w:val="24"/>
          <w:szCs w:val="24"/>
        </w:rPr>
        <w:t>3.1.10. Выполнить в полном объеме все свои обязательства, предусмотренные настоящим Контрактом.</w:t>
      </w:r>
    </w:p>
    <w:p>
      <w:pPr>
        <w:pStyle w:val="Normal"/>
        <w:jc w:val="both"/>
        <w:rPr>
          <w:sz w:val="24"/>
          <w:szCs w:val="24"/>
          <w:u w:val="single"/>
        </w:rPr>
      </w:pPr>
      <w:r>
        <w:rPr>
          <w:sz w:val="24"/>
          <w:szCs w:val="24"/>
          <w:u w:val="single"/>
        </w:rPr>
        <w:t>3.2. Заказчик обязуется:</w:t>
      </w:r>
    </w:p>
    <w:p>
      <w:pPr>
        <w:pStyle w:val="Normal"/>
        <w:jc w:val="both"/>
        <w:rPr>
          <w:sz w:val="24"/>
          <w:szCs w:val="24"/>
        </w:rPr>
      </w:pPr>
      <w:r>
        <w:rPr>
          <w:sz w:val="24"/>
          <w:szCs w:val="24"/>
        </w:rPr>
        <w:t xml:space="preserve">3.2.1. Принять выполненные надлежащим образом работы в порядке, предусмотренном настоящим Контрактом; </w:t>
      </w:r>
    </w:p>
    <w:p>
      <w:pPr>
        <w:pStyle w:val="Normal"/>
        <w:jc w:val="both"/>
        <w:rPr>
          <w:sz w:val="24"/>
          <w:szCs w:val="24"/>
        </w:rPr>
      </w:pPr>
      <w:r>
        <w:rPr>
          <w:sz w:val="24"/>
          <w:szCs w:val="24"/>
        </w:rPr>
        <w:t>3.2.2. Оплатить выполненную работу Подрядчика в соответствии с разделом 2 настоящего Контракта.</w:t>
      </w:r>
    </w:p>
    <w:p>
      <w:pPr>
        <w:pStyle w:val="Normal"/>
        <w:jc w:val="both"/>
        <w:rPr>
          <w:sz w:val="24"/>
          <w:szCs w:val="24"/>
          <w:u w:val="single"/>
        </w:rPr>
      </w:pPr>
      <w:r>
        <w:rPr>
          <w:sz w:val="24"/>
          <w:szCs w:val="24"/>
          <w:u w:val="single"/>
        </w:rPr>
        <w:t>3.3. Права Подрядчика:</w:t>
      </w:r>
    </w:p>
    <w:p>
      <w:pPr>
        <w:pStyle w:val="Normal"/>
        <w:jc w:val="both"/>
        <w:rPr>
          <w:sz w:val="24"/>
          <w:szCs w:val="24"/>
        </w:rPr>
      </w:pPr>
      <w:r>
        <w:rPr>
          <w:sz w:val="24"/>
          <w:szCs w:val="24"/>
        </w:rPr>
        <w:t xml:space="preserve">3.3.1. Подрядчик имеет право на получение от Заказчика всей необходимой исходной информации об Объекте, непосредственно требуемой для осуществления работ, а также на консультационную помощь относительно способов и методов выполнения работ. </w:t>
      </w:r>
    </w:p>
    <w:p>
      <w:pPr>
        <w:pStyle w:val="Normal"/>
        <w:jc w:val="both"/>
        <w:rPr>
          <w:sz w:val="24"/>
          <w:szCs w:val="24"/>
          <w:u w:val="single"/>
        </w:rPr>
      </w:pPr>
      <w:r>
        <w:rPr>
          <w:sz w:val="24"/>
          <w:szCs w:val="24"/>
          <w:u w:val="single"/>
        </w:rPr>
        <w:t>3.4. Права Заказчика:</w:t>
      </w:r>
    </w:p>
    <w:p>
      <w:pPr>
        <w:pStyle w:val="Normal"/>
        <w:jc w:val="both"/>
        <w:rPr>
          <w:sz w:val="24"/>
          <w:szCs w:val="24"/>
        </w:rPr>
      </w:pPr>
      <w:r>
        <w:rPr>
          <w:sz w:val="24"/>
          <w:szCs w:val="24"/>
        </w:rPr>
        <w:t>3.4.1. Заказчик вправе во всякое время проверять ход и качество работы, выполняемой Подрядчиком, не создавая препятствий для его деятельности. В целях такой проверки Заказчик вправе создавать различные комиссии, как с участием представителя Подрядчика, так и без него.</w:t>
      </w:r>
    </w:p>
    <w:p>
      <w:pPr>
        <w:pStyle w:val="Normal"/>
        <w:jc w:val="both"/>
        <w:rPr>
          <w:sz w:val="24"/>
          <w:szCs w:val="24"/>
        </w:rPr>
      </w:pPr>
      <w:r>
        <w:rPr>
          <w:sz w:val="24"/>
          <w:szCs w:val="24"/>
        </w:rPr>
        <w:t>3.4.2. Заказчик вправе требовать от Подрядчика предоставления промежуточного отчёта о ходе выполнения работ в любой промежуток её выполнения.</w:t>
      </w:r>
    </w:p>
    <w:p>
      <w:pPr>
        <w:pStyle w:val="Normal"/>
        <w:jc w:val="both"/>
        <w:rPr>
          <w:sz w:val="24"/>
          <w:szCs w:val="24"/>
        </w:rPr>
      </w:pPr>
      <w:r>
        <w:rPr>
          <w:sz w:val="24"/>
          <w:szCs w:val="24"/>
        </w:rPr>
        <w:t>3.4.3. Если Подрядчик не приступает своевременно к исполнению настоящего Контракта или выполняет работу настолько медленно, что её окончание к сроку становится явно невозможным, Заказчик вправе отказаться от исполнения Контракта и потребовать от Подрядчика возмещения связанных с этим убытков.</w:t>
      </w:r>
    </w:p>
    <w:p>
      <w:pPr>
        <w:pStyle w:val="Normal"/>
        <w:jc w:val="both"/>
        <w:rPr>
          <w:sz w:val="24"/>
          <w:szCs w:val="24"/>
        </w:rPr>
      </w:pPr>
      <w:r>
        <w:rPr>
          <w:sz w:val="24"/>
          <w:szCs w:val="24"/>
        </w:rPr>
        <w:t>3.4.4.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Контракта,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СРОК ВЫПОЛНЕНИЯ РАБОТ</w:t>
      </w:r>
    </w:p>
    <w:p>
      <w:pPr>
        <w:pStyle w:val="Normal"/>
        <w:jc w:val="both"/>
        <w:rPr>
          <w:sz w:val="24"/>
          <w:szCs w:val="24"/>
        </w:rPr>
      </w:pPr>
      <w:r>
        <w:rPr>
          <w:sz w:val="24"/>
          <w:szCs w:val="24"/>
        </w:rPr>
      </w:r>
    </w:p>
    <w:p>
      <w:pPr>
        <w:pStyle w:val="Normal"/>
        <w:jc w:val="both"/>
        <w:rPr>
          <w:sz w:val="24"/>
          <w:szCs w:val="24"/>
        </w:rPr>
      </w:pPr>
      <w:r>
        <w:rPr>
          <w:sz w:val="24"/>
          <w:szCs w:val="24"/>
        </w:rPr>
        <w:t xml:space="preserve">4.1. Сроки выполнения работ: </w:t>
      </w:r>
      <w:r>
        <w:rPr>
          <w:b/>
          <w:bCs/>
          <w:sz w:val="24"/>
          <w:szCs w:val="24"/>
        </w:rPr>
        <w:t xml:space="preserve">в течение 10 (десяти) рабочих дней </w:t>
      </w:r>
      <w:r>
        <w:rPr>
          <w:b/>
          <w:bCs/>
          <w:color w:val="000000"/>
          <w:sz w:val="24"/>
          <w:szCs w:val="24"/>
        </w:rPr>
        <w:t>с даты заключения Контракта.</w:t>
      </w:r>
    </w:p>
    <w:p>
      <w:pPr>
        <w:pStyle w:val="Normal"/>
        <w:jc w:val="both"/>
        <w:rPr>
          <w:sz w:val="24"/>
          <w:szCs w:val="24"/>
        </w:rPr>
      </w:pPr>
      <w:r>
        <w:rPr>
          <w:color w:val="000000"/>
          <w:sz w:val="24"/>
          <w:szCs w:val="24"/>
        </w:rPr>
        <w:t xml:space="preserve">4.2. Срок действия настоящего Контракта устанавливается </w:t>
      </w:r>
      <w:r>
        <w:rPr>
          <w:b/>
          <w:bCs/>
          <w:color w:val="000000"/>
          <w:sz w:val="24"/>
          <w:szCs w:val="24"/>
        </w:rPr>
        <w:t>с момента его заключения и по 24.08.2026 года</w:t>
      </w:r>
      <w:r>
        <w:rPr>
          <w:color w:val="000000"/>
          <w:sz w:val="24"/>
          <w:szCs w:val="24"/>
        </w:rPr>
        <w:t>, а в части расчетов – до полного  урегулирования.</w:t>
      </w:r>
    </w:p>
    <w:p>
      <w:pPr>
        <w:pStyle w:val="Normal"/>
        <w:jc w:val="both"/>
        <w:rPr>
          <w:color w:val="000000"/>
          <w:sz w:val="24"/>
          <w:szCs w:val="24"/>
        </w:rPr>
      </w:pPr>
      <w:r>
        <w:rPr>
          <w:color w:val="000000"/>
          <w:sz w:val="24"/>
          <w:szCs w:val="24"/>
        </w:rPr>
      </w:r>
    </w:p>
    <w:p>
      <w:pPr>
        <w:pStyle w:val="Normal"/>
        <w:numPr>
          <w:ilvl w:val="0"/>
          <w:numId w:val="2"/>
        </w:numPr>
        <w:jc w:val="center"/>
        <w:rPr>
          <w:rFonts w:eastAsia="Calibri"/>
          <w:b/>
          <w:bCs/>
          <w:sz w:val="24"/>
          <w:szCs w:val="24"/>
        </w:rPr>
      </w:pPr>
      <w:r>
        <w:rPr>
          <w:rFonts w:eastAsia="Calibri"/>
          <w:b/>
          <w:bCs/>
          <w:sz w:val="24"/>
          <w:szCs w:val="24"/>
        </w:rPr>
        <w:t>ПОРЯДОК ВЫПОЛНЕНИЯ РАБОТ</w:t>
      </w:r>
    </w:p>
    <w:p>
      <w:pPr>
        <w:pStyle w:val="Normal"/>
        <w:jc w:val="both"/>
        <w:rPr>
          <w:sz w:val="24"/>
          <w:szCs w:val="24"/>
        </w:rPr>
      </w:pPr>
      <w:r>
        <w:rPr>
          <w:sz w:val="24"/>
          <w:szCs w:val="24"/>
        </w:rPr>
      </w:r>
    </w:p>
    <w:p>
      <w:pPr>
        <w:pStyle w:val="Normal"/>
        <w:jc w:val="both"/>
        <w:rPr>
          <w:sz w:val="24"/>
          <w:szCs w:val="24"/>
        </w:rPr>
      </w:pPr>
      <w:r>
        <w:rPr>
          <w:sz w:val="24"/>
          <w:szCs w:val="24"/>
        </w:rPr>
        <w:t>5.1. Подрядчик самостоятельно организует производство работ в соответствии со сроками, указанными в разделе 4 настоящего Контракта и Техническом задании.</w:t>
      </w:r>
    </w:p>
    <w:p>
      <w:pPr>
        <w:pStyle w:val="Normal"/>
        <w:jc w:val="both"/>
        <w:rPr>
          <w:sz w:val="24"/>
          <w:szCs w:val="24"/>
        </w:rPr>
      </w:pPr>
      <w:r>
        <w:rPr>
          <w:sz w:val="24"/>
          <w:szCs w:val="24"/>
        </w:rPr>
        <w:t>5.2. Обеспечение производственного порядка и чистоты на объекте в месте выполнения работ является обязанностью Подрядчика.</w:t>
      </w:r>
    </w:p>
    <w:p>
      <w:pPr>
        <w:pStyle w:val="Normal"/>
        <w:jc w:val="both"/>
        <w:rPr>
          <w:sz w:val="24"/>
          <w:szCs w:val="24"/>
        </w:rPr>
      </w:pPr>
      <w:r>
        <w:rPr>
          <w:sz w:val="24"/>
          <w:szCs w:val="24"/>
        </w:rPr>
        <w:t>5.3. Для осуществления контроля за ходом выполнения работ Заказчик вправе назначить комиссию, члены которой имеют право беспрепятственного доступа ко всем видам работ в течение всего периода их выполнения и в любое время производства. Настоящая комиссия вправе с помощью актов фиксировать ненадлежащее выполнение Подрядчиком обязательств по Контракту с участием в таком комиссионном обследовании уполномоченного представителя Подрядчика, а при его уклонении или невозможности участия – в одностороннем порядке.</w:t>
      </w:r>
    </w:p>
    <w:p>
      <w:pPr>
        <w:pStyle w:val="Normal"/>
        <w:jc w:val="both"/>
        <w:rPr>
          <w:sz w:val="24"/>
          <w:szCs w:val="24"/>
        </w:rPr>
      </w:pPr>
      <w:r>
        <w:rPr>
          <w:sz w:val="24"/>
          <w:szCs w:val="24"/>
        </w:rPr>
        <w:t>5.4. В случае если Заказчиком будут обнаружены некачественно выполненные работы, то Подрядчик своими силами и без увеличения стоимости работ обязан в согласованный срок переделать эти работы для обеспечения их надлежащего качества.</w:t>
      </w:r>
    </w:p>
    <w:p>
      <w:pPr>
        <w:pStyle w:val="Normal"/>
        <w:jc w:val="both"/>
        <w:rPr>
          <w:sz w:val="24"/>
          <w:szCs w:val="24"/>
        </w:rPr>
      </w:pPr>
      <w:r>
        <w:rPr>
          <w:sz w:val="24"/>
          <w:szCs w:val="24"/>
        </w:rPr>
        <w:t>5.5. До начала производства работ Подрядчик назначает ответственное должностное лицо по настоящему Контракту и представляет его Заказчику. Полномочия ответственного лица по Контракту со стороны Подрядчика подтверждаются оригиналом доверенности или заверенной копией приказа уполномоченного органа Подрядчика, которые сдаются Заказчику для допуска указанного лица к выполнению работ. Уполномоченное лицо Подрядчика должно обладать правом подписи документации, необходимой для исполнения Контракта.</w:t>
      </w:r>
    </w:p>
    <w:p>
      <w:pPr>
        <w:pStyle w:val="Normal"/>
        <w:ind w:firstLine="708"/>
        <w:jc w:val="both"/>
        <w:rPr>
          <w:sz w:val="24"/>
          <w:szCs w:val="24"/>
        </w:rPr>
      </w:pPr>
      <w:r>
        <w:rPr>
          <w:sz w:val="24"/>
          <w:szCs w:val="24"/>
        </w:rPr>
        <w:t>Для соблюдения режима охраны объекта Заказчика в виду его особого статуса, Подрядчиком до начала выполнения работ в службу безопасности Заказчика предоставляется список всех сотрудников Подрядчика и привлекаемых лиц, которые будут выполнять работы на территории и в помещениях Заказчика. Данный список должен содержать Ф.И.О. работников и их должности. В случае изменения состава указанных лиц, Подрядчик незамедлительно представляет в адрес Заказчика информацию о соответствующих изменениях.</w:t>
      </w:r>
    </w:p>
    <w:p>
      <w:pPr>
        <w:pStyle w:val="Normal"/>
        <w:ind w:firstLine="708"/>
        <w:jc w:val="both"/>
        <w:rPr>
          <w:sz w:val="24"/>
          <w:szCs w:val="24"/>
        </w:rPr>
      </w:pPr>
      <w:r>
        <w:rPr>
          <w:sz w:val="24"/>
          <w:szCs w:val="24"/>
        </w:rPr>
        <w:t xml:space="preserve">Заблаговременно до начала выполнения работ по Контракту персонал Подрядчика в обязательном порядке должен пройти все необходимые инструктажи на Объекте в уполномоченных службах Заказчика (не позднее, чем за 5 дней до начала работ). </w:t>
      </w:r>
    </w:p>
    <w:p>
      <w:pPr>
        <w:pStyle w:val="Normal"/>
        <w:ind w:firstLine="708"/>
        <w:jc w:val="both"/>
        <w:rPr>
          <w:sz w:val="24"/>
          <w:szCs w:val="24"/>
        </w:rPr>
      </w:pPr>
      <w:r>
        <w:rPr>
          <w:sz w:val="24"/>
          <w:szCs w:val="24"/>
        </w:rPr>
        <w:t>Ответственным по Контракту лицом со стороны Заказчика является:</w:t>
      </w:r>
    </w:p>
    <w:p>
      <w:pPr>
        <w:pStyle w:val="Normal"/>
        <w:ind w:firstLine="708"/>
        <w:jc w:val="both"/>
        <w:rPr>
          <w:sz w:val="24"/>
          <w:szCs w:val="24"/>
        </w:rPr>
      </w:pPr>
      <w:r>
        <w:rPr>
          <w:b/>
          <w:bCs/>
          <w:color w:val="000000"/>
          <w:sz w:val="24"/>
          <w:szCs w:val="24"/>
        </w:rPr>
        <w:t>С.В. Моховиков (тел.: +7(915) 626 80 94; почта: zakupkiriamz@yandex.ru).</w:t>
      </w:r>
    </w:p>
    <w:p>
      <w:pPr>
        <w:pStyle w:val="Normal"/>
        <w:ind w:firstLine="708"/>
        <w:jc w:val="both"/>
        <w:rPr>
          <w:sz w:val="24"/>
          <w:szCs w:val="24"/>
        </w:rPr>
      </w:pPr>
      <w:r>
        <w:rPr>
          <w:sz w:val="24"/>
          <w:szCs w:val="24"/>
        </w:rPr>
        <w:t>На время отсутствия указанного лица (отпуск, болезнь или иное) Заказчик приказом назначает ответственным по Контракту другое лицо.</w:t>
      </w:r>
    </w:p>
    <w:p>
      <w:pPr>
        <w:pStyle w:val="Normal"/>
        <w:jc w:val="both"/>
        <w:rPr>
          <w:sz w:val="24"/>
          <w:szCs w:val="24"/>
        </w:rPr>
      </w:pPr>
      <w:r>
        <w:rPr>
          <w:sz w:val="24"/>
          <w:szCs w:val="24"/>
        </w:rPr>
        <w:t>5.6. В случае невыполнения Подрядчиком обязательных условий п. 5.5 Контракта, Заказчик не допускает Подрядчика к выполнению работ до устранения имеющихся нарушений требований Контракта, а в случае предварительного допуска или самостоятельного несогласованного выполнения работ Подрядчиком – Заказчик обязан отстранить такого Подрядчика от выполнения работ. Все нарушения сроков выполнения работ, обусловленные неисполнением Подрядчиком указанных обязательств, являются нарушением обязательных условий Контракта с применением к Подрядчику мер ответственности согласно положений раздела 11 настоящего Контракта.</w:t>
      </w:r>
    </w:p>
    <w:p>
      <w:pPr>
        <w:pStyle w:val="Normal"/>
        <w:jc w:val="both"/>
        <w:rPr>
          <w:sz w:val="24"/>
          <w:szCs w:val="24"/>
        </w:rPr>
      </w:pPr>
      <w:r>
        <w:rPr>
          <w:sz w:val="24"/>
          <w:szCs w:val="24"/>
        </w:rPr>
        <w:t>5.7. В целях взаимодействия ответственных лиц, Сторонами признаётся официальной переписка уполномоченных лиц путём обмена электронными письмами. Сторона имеет право ссылаться на электронные почтовые отправления только в случае соблюдения всех необходимых требований к такой переписке: наличия в письме реквизитов, позволяющих однозначно идентифицировать привязку указанного письма к настоящему Контракту и установить лицо, участвующее в переписке; наличие подтверждения почтового сервиса о доставке письма адресату (уведомление о доставке). По всем значимым вопросам, по которым принято предварительное решение путём электронной переписки, Сторонам необходимо осуществить обмен документацией на физических носителях (в бумажном виде) в срок не позднее трёх рабочих дней с момента обмена электронными письмами. Данное условие не является обязательным в случае использования сторонами в электронной переписке квалифицированных электронных цифровых подписей – в таком случае электронная переписка полностью тождественна официальной переписке на бумажных носителях.</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ОБСТОЯТЕЛЬСТВА НЕПРЕОДОЛИМОЙ СИЛЫ</w:t>
      </w:r>
    </w:p>
    <w:p>
      <w:pPr>
        <w:pStyle w:val="Normal"/>
        <w:jc w:val="both"/>
        <w:rPr>
          <w:sz w:val="24"/>
          <w:szCs w:val="24"/>
        </w:rPr>
      </w:pPr>
      <w:r>
        <w:rPr>
          <w:sz w:val="24"/>
          <w:szCs w:val="24"/>
        </w:rPr>
      </w:r>
    </w:p>
    <w:p>
      <w:pPr>
        <w:pStyle w:val="Normal"/>
        <w:jc w:val="both"/>
        <w:rPr>
          <w:sz w:val="24"/>
          <w:szCs w:val="24"/>
        </w:rPr>
      </w:pPr>
      <w:r>
        <w:rPr>
          <w:sz w:val="24"/>
          <w:szCs w:val="24"/>
        </w:rPr>
        <w:t xml:space="preserve">6.1. Стороны освобождаются от ответственности за неисполнение обязательств по настоящему Контракту, если оно явилось следствием обстоятельств непреодолимой силы (понятие и их характер определяются в соответствии с действующим гражданским законодательством). </w:t>
      </w:r>
    </w:p>
    <w:p>
      <w:pPr>
        <w:pStyle w:val="Normal"/>
        <w:jc w:val="both"/>
        <w:rPr>
          <w:sz w:val="24"/>
          <w:szCs w:val="24"/>
        </w:rPr>
      </w:pPr>
      <w:r>
        <w:rPr>
          <w:sz w:val="24"/>
          <w:szCs w:val="24"/>
        </w:rPr>
        <w:t>6.2. 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pStyle w:val="Normal"/>
        <w:jc w:val="both"/>
        <w:rPr>
          <w:sz w:val="24"/>
          <w:szCs w:val="24"/>
        </w:rPr>
      </w:pPr>
      <w:r>
        <w:rPr>
          <w:sz w:val="24"/>
          <w:szCs w:val="24"/>
        </w:rPr>
        <w:t>6.3.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условий настоящего Контракта. В противном случае, сторона утрачивает право ссылаться на данные обстоятельства, как препятствие к исполнению Контракта и освобождению от ответственности.</w:t>
      </w:r>
    </w:p>
    <w:p>
      <w:pPr>
        <w:pStyle w:val="Normal"/>
        <w:jc w:val="both"/>
        <w:rPr>
          <w:sz w:val="24"/>
          <w:szCs w:val="24"/>
        </w:rPr>
      </w:pPr>
      <w:r>
        <w:rPr>
          <w:sz w:val="24"/>
          <w:szCs w:val="24"/>
        </w:rPr>
        <w:t>6.4. Надлежащим подтверждением наступления указанных обстоятельств может служить документ уполномоченного государственного органа или учреждения.</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ПРИЕМКА РЕЗУЛЬТАТА ВЫПОЛНЕННЫХ РАБОТ</w:t>
      </w:r>
    </w:p>
    <w:p>
      <w:pPr>
        <w:pStyle w:val="Normal"/>
        <w:jc w:val="both"/>
        <w:rPr>
          <w:i/>
          <w:iCs/>
          <w:sz w:val="24"/>
          <w:szCs w:val="24"/>
        </w:rPr>
      </w:pPr>
      <w:r>
        <w:rPr>
          <w:i/>
          <w:iCs/>
          <w:sz w:val="24"/>
          <w:szCs w:val="24"/>
        </w:rPr>
      </w:r>
    </w:p>
    <w:p>
      <w:pPr>
        <w:pStyle w:val="ListParagraph"/>
        <w:numPr>
          <w:ilvl w:val="0"/>
          <w:numId w:val="4"/>
        </w:numPr>
        <w:tabs>
          <w:tab w:val="clear" w:pos="708"/>
          <w:tab w:val="left" w:pos="993" w:leader="none"/>
          <w:tab w:val="left" w:pos="1276" w:leader="none"/>
        </w:tabs>
        <w:jc w:val="both"/>
        <w:rPr>
          <w:i/>
          <w:iCs/>
          <w:vanish/>
          <w:sz w:val="24"/>
          <w:szCs w:val="24"/>
        </w:rPr>
      </w:pPr>
      <w:r>
        <w:rPr>
          <w:i/>
          <w:iCs/>
          <w:vanish/>
          <w:sz w:val="24"/>
          <w:szCs w:val="24"/>
        </w:rPr>
      </w:r>
    </w:p>
    <w:p>
      <w:pPr>
        <w:pStyle w:val="ListParagraph"/>
        <w:numPr>
          <w:ilvl w:val="0"/>
          <w:numId w:val="4"/>
        </w:numPr>
        <w:tabs>
          <w:tab w:val="clear" w:pos="708"/>
          <w:tab w:val="left" w:pos="993" w:leader="none"/>
          <w:tab w:val="left" w:pos="1276" w:leader="none"/>
        </w:tabs>
        <w:jc w:val="both"/>
        <w:rPr>
          <w:i/>
          <w:iCs/>
          <w:vanish/>
          <w:sz w:val="24"/>
          <w:szCs w:val="24"/>
        </w:rPr>
      </w:pPr>
      <w:r>
        <w:rPr>
          <w:i/>
          <w:iCs/>
          <w:vanish/>
          <w:sz w:val="24"/>
          <w:szCs w:val="24"/>
        </w:rPr>
      </w:r>
    </w:p>
    <w:p>
      <w:pPr>
        <w:pStyle w:val="ListParagraph"/>
        <w:numPr>
          <w:ilvl w:val="0"/>
          <w:numId w:val="4"/>
        </w:numPr>
        <w:tabs>
          <w:tab w:val="clear" w:pos="708"/>
          <w:tab w:val="left" w:pos="993" w:leader="none"/>
          <w:tab w:val="left" w:pos="1276" w:leader="none"/>
        </w:tabs>
        <w:jc w:val="both"/>
        <w:rPr>
          <w:i/>
          <w:iCs/>
          <w:vanish/>
          <w:sz w:val="24"/>
          <w:szCs w:val="24"/>
        </w:rPr>
      </w:pPr>
      <w:r>
        <w:rPr>
          <w:i/>
          <w:iCs/>
          <w:vanish/>
          <w:sz w:val="24"/>
          <w:szCs w:val="24"/>
        </w:rPr>
      </w:r>
    </w:p>
    <w:p>
      <w:pPr>
        <w:pStyle w:val="ListParagraph"/>
        <w:numPr>
          <w:ilvl w:val="0"/>
          <w:numId w:val="4"/>
        </w:numPr>
        <w:tabs>
          <w:tab w:val="clear" w:pos="708"/>
          <w:tab w:val="left" w:pos="993" w:leader="none"/>
          <w:tab w:val="left" w:pos="1276" w:leader="none"/>
        </w:tabs>
        <w:jc w:val="both"/>
        <w:rPr>
          <w:i/>
          <w:iCs/>
          <w:vanish/>
          <w:sz w:val="24"/>
          <w:szCs w:val="24"/>
        </w:rPr>
      </w:pPr>
      <w:r>
        <w:rPr>
          <w:i/>
          <w:iCs/>
          <w:vanish/>
          <w:sz w:val="24"/>
          <w:szCs w:val="24"/>
        </w:rPr>
      </w:r>
    </w:p>
    <w:p>
      <w:pPr>
        <w:pStyle w:val="ListParagraph"/>
        <w:numPr>
          <w:ilvl w:val="1"/>
          <w:numId w:val="4"/>
        </w:numPr>
        <w:tabs>
          <w:tab w:val="clear" w:pos="708"/>
          <w:tab w:val="left" w:pos="0" w:leader="none"/>
          <w:tab w:val="left" w:pos="567" w:leader="none"/>
        </w:tabs>
        <w:ind w:hanging="0" w:left="57"/>
        <w:jc w:val="both"/>
        <w:rPr>
          <w:b/>
          <w:bCs/>
          <w:i/>
          <w:iCs/>
        </w:rPr>
      </w:pPr>
      <w:r>
        <w:rPr>
          <w:i/>
          <w:iCs/>
          <w:sz w:val="24"/>
          <w:szCs w:val="24"/>
        </w:rPr>
        <w:t xml:space="preserve">По </w:t>
      </w:r>
      <w:r>
        <w:rPr>
          <w:b/>
          <w:bCs/>
          <w:i/>
          <w:iCs/>
          <w:sz w:val="24"/>
          <w:szCs w:val="24"/>
        </w:rPr>
        <w:t xml:space="preserve">окончанию выполнения работ Подрядчик в течение двух рабочих дней направляет Заказчику </w:t>
      </w:r>
      <w:r>
        <w:rPr>
          <w:b/>
          <w:bCs/>
          <w:i/>
          <w:iCs/>
          <w:sz w:val="24"/>
          <w:szCs w:val="24"/>
          <w:shd w:fill="auto" w:val="clear"/>
        </w:rPr>
        <w:t>всю</w:t>
      </w:r>
      <w:r>
        <w:rPr>
          <w:b/>
          <w:bCs/>
          <w:i/>
          <w:iCs/>
          <w:sz w:val="24"/>
          <w:szCs w:val="24"/>
        </w:rPr>
        <w:t xml:space="preserve"> необходимую закрывающую документацию по Контракту (оригиналы исполнительной документации на бумажном носителе в 2 экз. и в эл. виде, акты выполненных работ, счет и счет-фактуру (при необходимости).</w:t>
      </w:r>
    </w:p>
    <w:p>
      <w:pPr>
        <w:pStyle w:val="ListParagraph"/>
        <w:numPr>
          <w:ilvl w:val="1"/>
          <w:numId w:val="4"/>
        </w:numPr>
        <w:tabs>
          <w:tab w:val="clear" w:pos="708"/>
          <w:tab w:val="left" w:pos="426" w:leader="none"/>
          <w:tab w:val="left" w:pos="1276" w:leader="none"/>
        </w:tabs>
        <w:ind w:hanging="0" w:left="57"/>
        <w:jc w:val="both"/>
        <w:rPr>
          <w:b/>
          <w:bCs/>
          <w:i/>
          <w:iCs/>
        </w:rPr>
      </w:pPr>
      <w:r>
        <w:rPr>
          <w:b/>
          <w:bCs/>
          <w:i/>
          <w:iCs/>
          <w:sz w:val="24"/>
          <w:szCs w:val="24"/>
        </w:rPr>
        <w:t xml:space="preserve">Приемка выполненных работ осуществляется Заказчиком в течение 20 (двадцати) рабочих дней, по результатам которой Заказчик подписывает акты выполненных работ или направляет Подрядчику мотивированный отказ. </w:t>
      </w:r>
    </w:p>
    <w:p>
      <w:pPr>
        <w:pStyle w:val="ListParagraph"/>
        <w:numPr>
          <w:ilvl w:val="1"/>
          <w:numId w:val="4"/>
        </w:numPr>
        <w:tabs>
          <w:tab w:val="clear" w:pos="708"/>
          <w:tab w:val="left" w:pos="426" w:leader="none"/>
          <w:tab w:val="left" w:pos="1276" w:leader="none"/>
        </w:tabs>
        <w:ind w:hanging="0" w:left="0"/>
        <w:jc w:val="both"/>
        <w:rPr>
          <w:rFonts w:eastAsia="Calibri"/>
          <w:sz w:val="24"/>
          <w:szCs w:val="24"/>
          <w:lang w:eastAsia="en-US"/>
        </w:rPr>
      </w:pPr>
      <w:r>
        <w:rPr>
          <w:rFonts w:eastAsia="Calibri"/>
          <w:color w:themeColor="text1" w:val="000000"/>
          <w:sz w:val="24"/>
          <w:szCs w:val="24"/>
          <w:lang w:eastAsia="en-US"/>
        </w:rPr>
        <w:t xml:space="preserve">Для </w:t>
      </w:r>
      <w:r>
        <w:rPr>
          <w:rFonts w:eastAsia="Calibri"/>
          <w:sz w:val="24"/>
          <w:szCs w:val="24"/>
          <w:lang w:eastAsia="en-US"/>
        </w:rPr>
        <w:t>проверки</w:t>
      </w:r>
      <w:r>
        <w:rPr>
          <w:sz w:val="24"/>
          <w:szCs w:val="24"/>
          <w:shd w:fill="FFFFFF" w:val="clear"/>
        </w:rPr>
        <w:t xml:space="preserve"> предоставленных </w:t>
      </w:r>
      <w:r>
        <w:rPr>
          <w:sz w:val="24"/>
          <w:szCs w:val="24"/>
        </w:rPr>
        <w:t>Подрядчиком</w:t>
      </w:r>
      <w:r>
        <w:rPr>
          <w:sz w:val="24"/>
          <w:szCs w:val="24"/>
          <w:shd w:fill="FFFFFF" w:val="clear"/>
        </w:rPr>
        <w:t xml:space="preserve"> результатов, предусмотренных Контрактом, в части их соответствия условиям Контракта, </w:t>
      </w:r>
      <w:r>
        <w:rPr>
          <w:rFonts w:eastAsia="Calibri"/>
          <w:sz w:val="24"/>
          <w:szCs w:val="24"/>
          <w:lang w:eastAsia="en-US"/>
        </w:rPr>
        <w:t xml:space="preserve">Заказчик обязан провести экспертизу. Экспертиза результатов работ,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установленном порядке. </w:t>
      </w:r>
    </w:p>
    <w:p>
      <w:pPr>
        <w:pStyle w:val="ListParagraph"/>
        <w:tabs>
          <w:tab w:val="clear" w:pos="708"/>
          <w:tab w:val="left" w:pos="993" w:leader="none"/>
          <w:tab w:val="left" w:pos="1276" w:leader="none"/>
        </w:tabs>
        <w:ind w:left="0"/>
        <w:jc w:val="both"/>
        <w:rPr>
          <w:rFonts w:eastAsia="Calibri"/>
          <w:sz w:val="24"/>
          <w:szCs w:val="24"/>
          <w:lang w:eastAsia="en-US"/>
        </w:rPr>
      </w:pPr>
      <w:r>
        <w:rPr>
          <w:rFonts w:eastAsia="Calibri"/>
          <w:sz w:val="24"/>
          <w:szCs w:val="24"/>
          <w:lang w:eastAsia="en-US"/>
        </w:rPr>
        <w:t>В случае, если по результатам такой экспертизы установлены нарушения требований Контракта, не препятствующи</w:t>
      </w:r>
      <w:r>
        <w:rPr>
          <w:rFonts w:eastAsia="Calibri"/>
          <w:color w:themeColor="text1" w:val="000000"/>
          <w:sz w:val="24"/>
          <w:szCs w:val="24"/>
          <w:lang w:eastAsia="en-US"/>
        </w:rPr>
        <w:t>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pPr>
        <w:pStyle w:val="ListParagraph"/>
        <w:numPr>
          <w:ilvl w:val="1"/>
          <w:numId w:val="4"/>
        </w:numPr>
        <w:tabs>
          <w:tab w:val="clear" w:pos="708"/>
          <w:tab w:val="left" w:pos="426" w:leader="none"/>
          <w:tab w:val="left" w:pos="1276" w:leader="none"/>
        </w:tabs>
        <w:ind w:hanging="0" w:left="0"/>
        <w:jc w:val="both"/>
        <w:rPr>
          <w:rFonts w:eastAsia="Calibri"/>
          <w:sz w:val="24"/>
          <w:szCs w:val="24"/>
          <w:lang w:eastAsia="en-US"/>
        </w:rPr>
      </w:pPr>
      <w:r>
        <w:rPr>
          <w:rFonts w:eastAsia="Calibri" w:eastAsiaTheme="minorHAnsi"/>
          <w:color w:themeColor="text1" w:val="000000"/>
          <w:sz w:val="24"/>
          <w:szCs w:val="24"/>
          <w:lang w:eastAsia="en-US"/>
        </w:rPr>
        <w:t>По решению Заказчика для приемки выполненных работ может создаваться приемочная комиссия, которая состоит не менее чем из пяти человек.</w:t>
      </w:r>
    </w:p>
    <w:p>
      <w:pPr>
        <w:pStyle w:val="ListParagraph"/>
        <w:numPr>
          <w:ilvl w:val="1"/>
          <w:numId w:val="4"/>
        </w:numPr>
        <w:tabs>
          <w:tab w:val="clear" w:pos="708"/>
          <w:tab w:val="left" w:pos="426" w:leader="none"/>
          <w:tab w:val="left" w:pos="1276" w:leader="none"/>
        </w:tabs>
        <w:ind w:hanging="0" w:left="0"/>
        <w:jc w:val="both"/>
        <w:rPr>
          <w:rFonts w:eastAsia="Calibri"/>
          <w:sz w:val="24"/>
          <w:szCs w:val="24"/>
          <w:lang w:eastAsia="en-US"/>
        </w:rPr>
      </w:pPr>
      <w:r>
        <w:rPr>
          <w:rFonts w:eastAsia="Calibri"/>
          <w:sz w:val="24"/>
          <w:szCs w:val="24"/>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ListParagraph"/>
        <w:numPr>
          <w:ilvl w:val="1"/>
          <w:numId w:val="4"/>
        </w:numPr>
        <w:tabs>
          <w:tab w:val="clear" w:pos="708"/>
          <w:tab w:val="left" w:pos="567" w:leader="none"/>
          <w:tab w:val="left" w:pos="1276" w:leader="none"/>
        </w:tabs>
        <w:ind w:hanging="0" w:left="0"/>
        <w:jc w:val="both"/>
        <w:rPr>
          <w:rFonts w:eastAsia="Calibri"/>
          <w:sz w:val="24"/>
          <w:szCs w:val="24"/>
          <w:lang w:eastAsia="en-US"/>
        </w:rPr>
      </w:pPr>
      <w:r>
        <w:rPr>
          <w:rFonts w:eastAsia="Calibri"/>
          <w:sz w:val="24"/>
          <w:szCs w:val="24"/>
          <w:lang w:eastAsia="en-US"/>
        </w:rPr>
        <w:t>Датой приемки выполненных работ считается дата подписания акта выполненных работ  Сторонами.</w:t>
      </w:r>
    </w:p>
    <w:p>
      <w:pPr>
        <w:pStyle w:val="Normal"/>
        <w:jc w:val="both"/>
        <w:rPr>
          <w:sz w:val="24"/>
          <w:szCs w:val="24"/>
        </w:rPr>
      </w:pPr>
      <w:r>
        <w:rPr>
          <w:sz w:val="24"/>
          <w:szCs w:val="24"/>
        </w:rPr>
        <w:t>7.7. При закрытии Контракта Заказчик и Подрядчик могут направить в адрес противоположной стороны акт сверки взаиморасчетов, от согласования и подписания которого вторая сторона не может уклоняться.</w:t>
      </w:r>
    </w:p>
    <w:p>
      <w:pPr>
        <w:pStyle w:val="Normal"/>
        <w:jc w:val="both"/>
        <w:rPr>
          <w:sz w:val="24"/>
          <w:szCs w:val="24"/>
        </w:rPr>
      </w:pPr>
      <w:r>
        <w:rPr>
          <w:sz w:val="24"/>
          <w:szCs w:val="24"/>
        </w:rPr>
        <w:t xml:space="preserve">7.8. В случае если в результате выполнения работ Подрядчиком создаётся продукт интеллектуальной деятельности (индивидуально или дополнительно), неотделимо связанный с деятельностью Подрядчика в рамках настоящего Контракта – все исключительные права (право интеллектуальной собственности) на данный объект интеллектуальной собственности переходят от Подрядчика Заказчику с момента подписания сторонами документации о приёмке выполненных работ. Если такой объект требует отдельного выделения, также может оформляться акт приёма передачи объекта интеллектуальной собственности. </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ГАРАНТИИ</w:t>
      </w:r>
    </w:p>
    <w:p>
      <w:pPr>
        <w:pStyle w:val="Normal"/>
        <w:jc w:val="both"/>
        <w:rPr>
          <w:sz w:val="24"/>
          <w:szCs w:val="24"/>
        </w:rPr>
      </w:pPr>
      <w:r>
        <w:rPr>
          <w:sz w:val="24"/>
          <w:szCs w:val="24"/>
        </w:rPr>
      </w:r>
    </w:p>
    <w:p>
      <w:pPr>
        <w:pStyle w:val="Normal"/>
        <w:jc w:val="both"/>
        <w:rPr>
          <w:sz w:val="24"/>
          <w:szCs w:val="24"/>
        </w:rPr>
      </w:pPr>
      <w:r>
        <w:rPr>
          <w:sz w:val="24"/>
          <w:szCs w:val="24"/>
        </w:rPr>
        <w:t>8.1. Подрядчик гарантирует:</w:t>
      </w:r>
    </w:p>
    <w:p>
      <w:pPr>
        <w:pStyle w:val="Normal"/>
        <w:jc w:val="both"/>
        <w:rPr>
          <w:sz w:val="24"/>
          <w:szCs w:val="24"/>
        </w:rPr>
      </w:pPr>
      <w:r>
        <w:rPr>
          <w:sz w:val="24"/>
          <w:szCs w:val="24"/>
        </w:rPr>
        <w:t>- достоверность всей представленной Заказчику информации о себе, работах (товарах, услугах) являющихся предметом настоящего Контракта, а также прямо или косвенно связанной с данным Контрактом;</w:t>
      </w:r>
    </w:p>
    <w:p>
      <w:pPr>
        <w:pStyle w:val="Normal"/>
        <w:jc w:val="both"/>
        <w:rPr>
          <w:sz w:val="24"/>
          <w:szCs w:val="24"/>
        </w:rPr>
      </w:pPr>
      <w:r>
        <w:rPr>
          <w:sz w:val="24"/>
          <w:szCs w:val="24"/>
        </w:rPr>
        <w:t>- выполнение всех работ в полном объеме и в сроки, определенные условиями настоящего Контракта;</w:t>
      </w:r>
    </w:p>
    <w:p>
      <w:pPr>
        <w:pStyle w:val="Normal"/>
        <w:jc w:val="both"/>
        <w:rPr>
          <w:sz w:val="24"/>
          <w:szCs w:val="24"/>
        </w:rPr>
      </w:pPr>
      <w:r>
        <w:rPr>
          <w:sz w:val="24"/>
          <w:szCs w:val="24"/>
        </w:rPr>
        <w:t>- качество выполнения всех работ в соответствии с требованиями Заказчика и действующими нормами для данного вида работ, качество всех применяемых материалов согласно требованиям действующего законодательства;</w:t>
      </w:r>
    </w:p>
    <w:p>
      <w:pPr>
        <w:pStyle w:val="Normal"/>
        <w:jc w:val="both"/>
        <w:rPr>
          <w:sz w:val="24"/>
          <w:szCs w:val="24"/>
        </w:rPr>
      </w:pPr>
      <w:r>
        <w:rPr>
          <w:sz w:val="24"/>
          <w:szCs w:val="24"/>
        </w:rPr>
        <w:t>- своевременное, полное и качественное устранение недостатков (как существенных, так и незначительных дефектов), выявленных при приемке работ.</w:t>
      </w:r>
    </w:p>
    <w:p>
      <w:pPr>
        <w:pStyle w:val="Normal"/>
        <w:jc w:val="both"/>
        <w:rPr>
          <w:sz w:val="24"/>
          <w:szCs w:val="24"/>
        </w:rPr>
      </w:pPr>
      <w:r>
        <w:rPr>
          <w:sz w:val="24"/>
          <w:szCs w:val="24"/>
        </w:rPr>
      </w:r>
    </w:p>
    <w:p>
      <w:pPr>
        <w:pStyle w:val="Normal"/>
        <w:numPr>
          <w:ilvl w:val="0"/>
          <w:numId w:val="2"/>
        </w:numPr>
        <w:jc w:val="center"/>
        <w:rPr>
          <w:b/>
          <w:bCs/>
          <w:sz w:val="24"/>
          <w:szCs w:val="24"/>
        </w:rPr>
      </w:pPr>
      <w:r>
        <w:rPr>
          <w:b/>
          <w:bCs/>
          <w:sz w:val="24"/>
          <w:szCs w:val="24"/>
        </w:rPr>
        <w:t>КОНФИДЕНЦИАЛЬНОСТЬ ИНФОРМАЦИИ</w:t>
      </w:r>
    </w:p>
    <w:p>
      <w:pPr>
        <w:pStyle w:val="Normal"/>
        <w:jc w:val="both"/>
        <w:rPr>
          <w:sz w:val="24"/>
          <w:szCs w:val="24"/>
        </w:rPr>
      </w:pPr>
      <w:r>
        <w:rPr>
          <w:sz w:val="24"/>
          <w:szCs w:val="24"/>
        </w:rPr>
      </w:r>
    </w:p>
    <w:p>
      <w:pPr>
        <w:pStyle w:val="Normal"/>
        <w:jc w:val="both"/>
        <w:rPr>
          <w:sz w:val="24"/>
          <w:szCs w:val="24"/>
        </w:rPr>
      </w:pPr>
      <w:r>
        <w:rPr>
          <w:sz w:val="24"/>
          <w:szCs w:val="24"/>
        </w:rPr>
        <w:t>9.1. Условия настоящего Контракта, приложений и соглашений к нему, а также любая другая информация о Стороне, ставшая доступной другой Стороне в связи с исполнением настоящего Контракта, конфиденциальны и не подлежат разглашению Сторонами, за исключением случаев, предусмотренных действующим законодательством Российской Федерации.</w:t>
      </w:r>
    </w:p>
    <w:p>
      <w:pPr>
        <w:pStyle w:val="Normal"/>
        <w:jc w:val="both"/>
        <w:rPr>
          <w:sz w:val="24"/>
          <w:szCs w:val="24"/>
        </w:rPr>
      </w:pPr>
      <w:r>
        <w:rPr>
          <w:sz w:val="24"/>
          <w:szCs w:val="24"/>
        </w:rPr>
        <w:t>9.2.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содержании данного Контракта, приложений и соглашений к нему.</w:t>
      </w:r>
    </w:p>
    <w:p>
      <w:pPr>
        <w:pStyle w:val="Normal"/>
        <w:jc w:val="both"/>
        <w:rPr>
          <w:sz w:val="24"/>
          <w:szCs w:val="24"/>
        </w:rPr>
      </w:pPr>
      <w:r>
        <w:rPr>
          <w:bCs/>
          <w:sz w:val="24"/>
          <w:szCs w:val="24"/>
        </w:rPr>
        <w:t>9.3. Вся полученная Сторонами в рамках исполнения настоящего Контракта информация, содержащая персональные данные лиц, участвующих в исполнении Контракта, используется только в целях исполнения данного Контракта, принимается, хранится и обрабатывается в соответствии с требованиями Федерального закона от 27.07.2006 № 152-ФЗ «О персональных данных».</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ПОРЯДОК ИЗМЕНЕНИЯ И РАСТОРЖЕНИЯ КОНТРАКТА</w:t>
      </w:r>
    </w:p>
    <w:p>
      <w:pPr>
        <w:pStyle w:val="Normal"/>
        <w:jc w:val="both"/>
        <w:rPr>
          <w:sz w:val="24"/>
          <w:szCs w:val="24"/>
        </w:rPr>
      </w:pPr>
      <w:r>
        <w:rPr>
          <w:sz w:val="24"/>
          <w:szCs w:val="24"/>
        </w:rPr>
      </w:r>
    </w:p>
    <w:p>
      <w:pPr>
        <w:pStyle w:val="Normal"/>
        <w:jc w:val="both"/>
        <w:rPr>
          <w:sz w:val="24"/>
          <w:szCs w:val="24"/>
        </w:rPr>
      </w:pPr>
      <w:r>
        <w:rPr>
          <w:sz w:val="24"/>
          <w:szCs w:val="24"/>
        </w:rPr>
        <w:t>10.1. Любые изменения и дополнения к настоящему Контракту имеют силу, если они оформлены в письменном виде и подписаны обеими сторонами.</w:t>
      </w:r>
    </w:p>
    <w:p>
      <w:pPr>
        <w:pStyle w:val="Normal"/>
        <w:jc w:val="both"/>
        <w:rPr>
          <w:sz w:val="24"/>
          <w:szCs w:val="24"/>
        </w:rPr>
      </w:pPr>
      <w:r>
        <w:rPr>
          <w:sz w:val="24"/>
          <w:szCs w:val="24"/>
        </w:rPr>
        <w:t xml:space="preserve">При исполнении Контракта допускаются следующие изменения условий Контракта по соглашению сторон: </w:t>
      </w:r>
    </w:p>
    <w:p>
      <w:pPr>
        <w:pStyle w:val="Normal"/>
        <w:jc w:val="both"/>
        <w:rPr>
          <w:sz w:val="24"/>
          <w:szCs w:val="24"/>
        </w:rPr>
      </w:pPr>
      <w:r>
        <w:rPr>
          <w:sz w:val="24"/>
          <w:szCs w:val="24"/>
        </w:rPr>
        <w:t>- снижение цены Контракта без изменения иных условий Контракта;</w:t>
      </w:r>
    </w:p>
    <w:p>
      <w:pPr>
        <w:pStyle w:val="Normal"/>
        <w:jc w:val="both"/>
        <w:rPr>
          <w:sz w:val="24"/>
          <w:szCs w:val="24"/>
        </w:rPr>
      </w:pPr>
      <w:r>
        <w:rPr>
          <w:sz w:val="24"/>
          <w:szCs w:val="24"/>
        </w:rPr>
        <w:t>- увеличение или уменьшение предусмотренного Контрактом объема работ не более чем на десять процентов с пропорциональным изменением цены Контракта;</w:t>
      </w:r>
    </w:p>
    <w:p>
      <w:pPr>
        <w:pStyle w:val="Normal"/>
        <w:jc w:val="both"/>
        <w:rPr>
          <w:sz w:val="24"/>
          <w:szCs w:val="24"/>
        </w:rPr>
      </w:pPr>
      <w:r>
        <w:rPr>
          <w:sz w:val="24"/>
          <w:szCs w:val="24"/>
        </w:rPr>
        <w:t>- улучшение качественных, функциональных характеристик работ по сравнению с характеристиками, установленными Контрактом, без изменения цены Контракта.</w:t>
      </w:r>
    </w:p>
    <w:p>
      <w:pPr>
        <w:pStyle w:val="Normal"/>
        <w:jc w:val="both"/>
        <w:rPr>
          <w:sz w:val="24"/>
          <w:szCs w:val="24"/>
        </w:rPr>
      </w:pPr>
      <w:r>
        <w:rPr>
          <w:sz w:val="24"/>
          <w:szCs w:val="24"/>
        </w:rPr>
        <w:t>10.2. Настоящий Контракт может быть расторгнут по соглашению Сторон, по решению суда или по решению одной стороны об одностороннем отказе от исполнения Контракта в порядке, предусмотренном законодательством Российской Федерации.</w:t>
      </w:r>
    </w:p>
    <w:p>
      <w:pPr>
        <w:pStyle w:val="Normal"/>
        <w:jc w:val="both"/>
        <w:rPr>
          <w:sz w:val="24"/>
          <w:szCs w:val="24"/>
        </w:rPr>
      </w:pPr>
      <w:r>
        <w:rPr>
          <w:sz w:val="24"/>
          <w:szCs w:val="24"/>
        </w:rPr>
        <w:t>10.3. Расторжение Контракта в связи с односторонним отказом стороны от исполнения осуществляется в соответствии с ч.8 - 26 ст. 95 Федерального закона от 05.04.2013 № 44-ФЗ.</w:t>
      </w:r>
    </w:p>
    <w:p>
      <w:pPr>
        <w:pStyle w:val="Normal"/>
        <w:jc w:val="both"/>
        <w:rPr>
          <w:sz w:val="24"/>
          <w:szCs w:val="24"/>
        </w:rPr>
      </w:pPr>
      <w:r>
        <w:rPr>
          <w:sz w:val="24"/>
          <w:szCs w:val="24"/>
        </w:rPr>
        <w:t>10.4. При расторжении Контракта по соглашению Сторон, Стороны определяют и производят взаиморасчеты по возмещению понесенных затрат и убытков, связанных с исполнением Контракта.</w:t>
      </w:r>
    </w:p>
    <w:p>
      <w:pPr>
        <w:pStyle w:val="Normal"/>
        <w:jc w:val="both"/>
        <w:rPr>
          <w:sz w:val="24"/>
          <w:szCs w:val="24"/>
        </w:rPr>
      </w:pPr>
      <w:r>
        <w:rPr>
          <w:sz w:val="24"/>
          <w:szCs w:val="24"/>
        </w:rPr>
        <w:t>10.5. Заказчик вправе потребовать расторжения Контракта у Подрядчика в следующих случаях:</w:t>
      </w:r>
    </w:p>
    <w:p>
      <w:pPr>
        <w:pStyle w:val="Normal"/>
        <w:jc w:val="both"/>
        <w:rPr>
          <w:sz w:val="24"/>
          <w:szCs w:val="24"/>
        </w:rPr>
      </w:pPr>
      <w:r>
        <w:rPr>
          <w:sz w:val="24"/>
          <w:szCs w:val="24"/>
        </w:rPr>
        <w:t>- задержки Подрядчиком хода выполнения работ по его вине, когда срок окончания выполнения работ, установленный в Контракте, увеличивается более чем на 10 дней;</w:t>
      </w:r>
    </w:p>
    <w:p>
      <w:pPr>
        <w:pStyle w:val="Normal"/>
        <w:jc w:val="both"/>
        <w:rPr>
          <w:sz w:val="24"/>
          <w:szCs w:val="24"/>
        </w:rPr>
      </w:pPr>
      <w:r>
        <w:rPr>
          <w:sz w:val="24"/>
          <w:szCs w:val="24"/>
        </w:rPr>
        <w:t>- нарушения Подрядчиком условий Контракта, ведущего к снижению качества работ;</w:t>
      </w:r>
    </w:p>
    <w:p>
      <w:pPr>
        <w:pStyle w:val="Normal"/>
        <w:jc w:val="both"/>
        <w:rPr>
          <w:sz w:val="24"/>
          <w:szCs w:val="24"/>
        </w:rPr>
      </w:pPr>
      <w:r>
        <w:rPr>
          <w:sz w:val="24"/>
          <w:szCs w:val="24"/>
        </w:rPr>
        <w:t>- отказа Подрядчика исправлять обоснованные недоделки или некачественно сделанные работы.</w:t>
      </w:r>
    </w:p>
    <w:p>
      <w:pPr>
        <w:pStyle w:val="Normal"/>
        <w:jc w:val="both"/>
        <w:rPr>
          <w:sz w:val="24"/>
          <w:szCs w:val="24"/>
        </w:rPr>
      </w:pPr>
      <w:r>
        <w:rPr>
          <w:sz w:val="24"/>
          <w:szCs w:val="24"/>
        </w:rPr>
        <w:t>10.6. При расторжении Контракта по соглашению Сторон незавершенный результат работ передается Заказчику, который оплачивает Подрядчику стоимость фактически выполненных работ в объеме, определяемом ими совместно.</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 xml:space="preserve">ОТВЕТСТВЕННОСТЬ СТОРОН                                                                                                                                                                                                                                                                                                                                                                                                                                                                                                                                                                      </w:t>
      </w:r>
    </w:p>
    <w:p>
      <w:pPr>
        <w:pStyle w:val="Normal"/>
        <w:jc w:val="both"/>
        <w:rPr>
          <w:sz w:val="24"/>
          <w:szCs w:val="24"/>
        </w:rPr>
      </w:pPr>
      <w:r>
        <w:rPr>
          <w:sz w:val="24"/>
          <w:szCs w:val="24"/>
        </w:rPr>
      </w:r>
    </w:p>
    <w:p>
      <w:pPr>
        <w:pStyle w:val="Normal"/>
        <w:snapToGrid w:val="false"/>
        <w:jc w:val="both"/>
        <w:rPr>
          <w:sz w:val="24"/>
          <w:szCs w:val="24"/>
        </w:rPr>
      </w:pPr>
      <w:r>
        <w:rPr>
          <w:sz w:val="24"/>
          <w:szCs w:val="24"/>
        </w:rPr>
        <w:t>11.1. В случае если Подрядчик отказывается исправлять дефекты, выявленные Заказчиком, или не принимает для этого реальных мер Заказчик имеет право:</w:t>
      </w:r>
    </w:p>
    <w:p>
      <w:pPr>
        <w:pStyle w:val="Normal"/>
        <w:snapToGrid w:val="false"/>
        <w:jc w:val="both"/>
        <w:rPr>
          <w:sz w:val="24"/>
          <w:szCs w:val="24"/>
        </w:rPr>
      </w:pPr>
      <w:r>
        <w:rPr>
          <w:sz w:val="24"/>
          <w:szCs w:val="24"/>
        </w:rPr>
        <w:t>- не оплачивать выполненные работы.</w:t>
      </w:r>
    </w:p>
    <w:p>
      <w:pPr>
        <w:pStyle w:val="Normal"/>
        <w:snapToGrid w:val="false"/>
        <w:jc w:val="both"/>
        <w:rPr>
          <w:sz w:val="24"/>
          <w:szCs w:val="24"/>
        </w:rPr>
      </w:pPr>
      <w:r>
        <w:rPr>
          <w:sz w:val="24"/>
          <w:szCs w:val="24"/>
        </w:rPr>
        <w:t>- Заказчик вправе устранить выявленные недостатки своими силами или с привлечением третьих лиц с возложением расходов на Подрядчика.</w:t>
      </w:r>
    </w:p>
    <w:p>
      <w:pPr>
        <w:pStyle w:val="Normal"/>
        <w:snapToGrid w:val="false"/>
        <w:jc w:val="both"/>
        <w:rPr>
          <w:sz w:val="24"/>
          <w:szCs w:val="24"/>
        </w:rPr>
      </w:pPr>
      <w:r>
        <w:rPr>
          <w:sz w:val="24"/>
          <w:szCs w:val="24"/>
        </w:rPr>
        <w:t>- предъявлять Подрядчику штрафные санкции за нарушение условий Контракта.</w:t>
      </w:r>
    </w:p>
    <w:p>
      <w:pPr>
        <w:pStyle w:val="Normal"/>
        <w:snapToGrid w:val="false"/>
        <w:jc w:val="both"/>
        <w:rPr>
          <w:sz w:val="24"/>
          <w:szCs w:val="24"/>
        </w:rPr>
      </w:pPr>
      <w:r>
        <w:rPr>
          <w:sz w:val="24"/>
          <w:szCs w:val="24"/>
        </w:rPr>
        <w:t>- расторгнуть Контракт с взысканием с Подрядчика всех понесённых убытков.</w:t>
      </w:r>
    </w:p>
    <w:p>
      <w:pPr>
        <w:pStyle w:val="Normal"/>
        <w:snapToGrid w:val="false"/>
        <w:jc w:val="both"/>
        <w:rPr>
          <w:sz w:val="24"/>
          <w:szCs w:val="24"/>
        </w:rPr>
      </w:pPr>
      <w:r>
        <w:rPr>
          <w:sz w:val="24"/>
          <w:szCs w:val="24"/>
        </w:rPr>
        <w:t>11.2. Ущерб, нанесенный третьему лицу в результате выполнения работ по вине Подрядчика, компенсируется Подрядчиком.</w:t>
      </w:r>
    </w:p>
    <w:p>
      <w:pPr>
        <w:pStyle w:val="Normal"/>
        <w:snapToGrid w:val="false"/>
        <w:jc w:val="both"/>
        <w:rPr>
          <w:sz w:val="24"/>
          <w:szCs w:val="24"/>
        </w:rPr>
      </w:pPr>
      <w:r>
        <w:rPr>
          <w:sz w:val="24"/>
          <w:szCs w:val="24"/>
        </w:rPr>
        <w:t xml:space="preserve">11.3. В случае полного или частичного невыполнения Контракта одной из сторон последняя обязана возместить другой стороне причиненные в результате этого убытки. </w:t>
      </w:r>
    </w:p>
    <w:p>
      <w:pPr>
        <w:pStyle w:val="Normal"/>
        <w:snapToGrid w:val="false"/>
        <w:jc w:val="both"/>
        <w:rPr>
          <w:sz w:val="24"/>
          <w:szCs w:val="24"/>
        </w:rPr>
      </w:pPr>
      <w:r>
        <w:rPr>
          <w:sz w:val="24"/>
          <w:szCs w:val="24"/>
        </w:rPr>
        <w:t>11.4. Применение штрафных санкций не освобождает стороны от выполнения принятых обязательств.</w:t>
      </w:r>
    </w:p>
    <w:p>
      <w:pPr>
        <w:pStyle w:val="Normal"/>
        <w:snapToGrid w:val="false"/>
        <w:jc w:val="both"/>
        <w:rPr>
          <w:sz w:val="24"/>
          <w:szCs w:val="24"/>
        </w:rPr>
      </w:pPr>
      <w:r>
        <w:rPr>
          <w:sz w:val="24"/>
          <w:szCs w:val="24"/>
        </w:rPr>
        <w:t>11.5. В случае нарушения Подрядчиком сроков (начальных, промежуточных и окончательных), предусмотренных настоящим Контрактом или соглашением Сторон в рамках Контракта, Подрядчик обязуется уплатить Заказчику неустойку.</w:t>
      </w:r>
    </w:p>
    <w:p>
      <w:pPr>
        <w:pStyle w:val="Normal"/>
        <w:widowControl/>
        <w:ind w:firstLine="540"/>
        <w:jc w:val="both"/>
        <w:rPr>
          <w:rFonts w:eastAsia="Calibri"/>
          <w:sz w:val="24"/>
          <w:szCs w:val="24"/>
          <w:lang w:eastAsia="en-US"/>
        </w:rPr>
      </w:pPr>
      <w:r>
        <w:rPr>
          <w:rFonts w:eastAsia="Calibri"/>
          <w:sz w:val="24"/>
          <w:szCs w:val="24"/>
          <w:lang w:eastAsia="en-U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widowControl/>
        <w:jc w:val="both"/>
        <w:rPr>
          <w:rFonts w:eastAsia="Calibri"/>
          <w:sz w:val="24"/>
          <w:szCs w:val="24"/>
          <w:lang w:eastAsia="en-US"/>
        </w:rPr>
      </w:pPr>
      <w:r>
        <w:rPr>
          <w:sz w:val="24"/>
          <w:szCs w:val="24"/>
        </w:rPr>
        <w:t xml:space="preserve">11.6. В случае ненадлежащего исполнения Подрядчиком обязательств, предусмотренных Контрактом или соглашением Сторон в рамках Контракта (неисполнение требований к качеству выполняемых работ или выполнения их в неполном объёме, отказ от устранения недостатков, отсутствие контроля, несвоевременное информирование о вероятности наступления негативных последствий и прочее), за исключением случаев просрочки исполнения обязательств, Подрядчик </w:t>
      </w:r>
      <w:r>
        <w:rPr>
          <w:rFonts w:eastAsia="Calibri"/>
          <w:sz w:val="24"/>
          <w:szCs w:val="24"/>
          <w:lang w:eastAsia="en-US"/>
        </w:rPr>
        <w:t>за каждый факт неисполнения или ненадлежащего исполнения обязательств</w:t>
      </w:r>
      <w:r>
        <w:rPr>
          <w:sz w:val="24"/>
          <w:szCs w:val="24"/>
        </w:rPr>
        <w:t xml:space="preserve"> уплачивает Заказчику штрафную неустойку в размере 10 процентов цены Контракта</w:t>
      </w:r>
      <w:r>
        <w:rPr>
          <w:rFonts w:eastAsia="Calibri"/>
          <w:sz w:val="24"/>
          <w:szCs w:val="24"/>
          <w:lang w:eastAsia="en-US"/>
        </w:rPr>
        <w:t>.</w:t>
      </w:r>
    </w:p>
    <w:p>
      <w:pPr>
        <w:pStyle w:val="Normal"/>
        <w:snapToGrid w:val="false"/>
        <w:jc w:val="both"/>
        <w:rPr>
          <w:sz w:val="24"/>
          <w:szCs w:val="24"/>
        </w:rPr>
      </w:pPr>
      <w:r>
        <w:rPr>
          <w:sz w:val="24"/>
          <w:szCs w:val="24"/>
        </w:rPr>
        <w:t>11.7.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размере 1000 рублей.</w:t>
      </w:r>
    </w:p>
    <w:p>
      <w:pPr>
        <w:pStyle w:val="Normal"/>
        <w:snapToGrid w:val="false"/>
        <w:jc w:val="both"/>
        <w:rPr>
          <w:sz w:val="24"/>
          <w:szCs w:val="24"/>
        </w:rPr>
      </w:pPr>
      <w:r>
        <w:rPr>
          <w:sz w:val="24"/>
          <w:szCs w:val="24"/>
        </w:rPr>
        <w:t>11.8. З</w:t>
      </w:r>
      <w:r>
        <w:rPr>
          <w:rFonts w:eastAsia="Calibri"/>
          <w:sz w:val="24"/>
          <w:szCs w:val="24"/>
          <w:lang w:eastAsia="en-US"/>
        </w:rPr>
        <w:t xml:space="preserve">а каждый факт неисполнения Заказчиком обязательств, предусмотренных Контрактом, за исключением просрочки исполнения обязательств </w:t>
      </w:r>
      <w:r>
        <w:rPr>
          <w:sz w:val="24"/>
          <w:szCs w:val="24"/>
        </w:rPr>
        <w:t>Заказчик уплачивает Подрядчику штрафную неустойку в размере 1 000 рублей.</w:t>
      </w:r>
    </w:p>
    <w:p>
      <w:pPr>
        <w:pStyle w:val="Normal"/>
        <w:snapToGrid w:val="false"/>
        <w:jc w:val="both"/>
        <w:rPr>
          <w:sz w:val="24"/>
          <w:szCs w:val="24"/>
        </w:rPr>
      </w:pPr>
      <w:r>
        <w:rPr>
          <w:sz w:val="24"/>
          <w:szCs w:val="24"/>
        </w:rPr>
        <w:t xml:space="preserve">11.9. </w:t>
      </w:r>
      <w:r>
        <w:rPr>
          <w:sz w:val="24"/>
          <w:szCs w:val="24"/>
          <w:lang w:bidi="ru-RU"/>
        </w:rPr>
        <w:t xml:space="preserve">В случае просрочки исполнения Заказчиком обязательств, предусмотренных Контрактом </w:t>
      </w:r>
      <w:r>
        <w:rPr>
          <w:sz w:val="24"/>
          <w:szCs w:val="24"/>
        </w:rPr>
        <w:t>или соглашением Сторон в рамках Контракта</w:t>
      </w:r>
      <w:r>
        <w:rPr>
          <w:sz w:val="24"/>
          <w:szCs w:val="24"/>
          <w:lang w:bidi="ru-RU"/>
        </w:rPr>
        <w:t>, Подрядчик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Normal"/>
        <w:snapToGrid w:val="false"/>
        <w:jc w:val="both"/>
        <w:rPr>
          <w:sz w:val="24"/>
          <w:szCs w:val="24"/>
        </w:rPr>
      </w:pPr>
      <w:r>
        <w:rPr>
          <w:sz w:val="24"/>
          <w:szCs w:val="24"/>
        </w:rPr>
        <w:t>11.10.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pPr>
        <w:pStyle w:val="Normal"/>
        <w:snapToGrid w:val="false"/>
        <w:jc w:val="both"/>
        <w:rPr>
          <w:sz w:val="24"/>
          <w:szCs w:val="24"/>
        </w:rPr>
      </w:pPr>
      <w:r>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napToGrid w:val="false"/>
        <w:jc w:val="both"/>
        <w:rPr>
          <w:sz w:val="24"/>
          <w:szCs w:val="24"/>
        </w:rPr>
      </w:pPr>
      <w:r>
        <w:rPr>
          <w:sz w:val="24"/>
          <w:szCs w:val="24"/>
        </w:rPr>
        <w:t>11.11. Все споры и разногласия, которые могут возникнуть по настоящему Контракту или в связи с ним, разрешаются Сторонами путем переговоров. Претензии за ненадлежащее исполнение обязательств предъявляются в письменной форме и подписываются уполномоченным лицом заявителя.</w:t>
      </w:r>
    </w:p>
    <w:p>
      <w:pPr>
        <w:pStyle w:val="Normal"/>
        <w:snapToGrid w:val="false"/>
        <w:jc w:val="both"/>
        <w:rPr>
          <w:sz w:val="24"/>
          <w:szCs w:val="24"/>
        </w:rPr>
      </w:pPr>
      <w:r>
        <w:rPr>
          <w:sz w:val="24"/>
          <w:szCs w:val="24"/>
        </w:rPr>
        <w:t>11.12. Сторона, получившая претензию, обязана в течение 5 (пяти) рабочих дней с даты получения претензии рассмотреть её по существу и направить письменный ответ другой стороне с достоверным подтверждением его получения.</w:t>
      </w:r>
    </w:p>
    <w:p>
      <w:pPr>
        <w:pStyle w:val="Normal"/>
        <w:snapToGrid w:val="false"/>
        <w:jc w:val="both"/>
        <w:rPr>
          <w:sz w:val="24"/>
          <w:szCs w:val="24"/>
        </w:rPr>
      </w:pPr>
      <w:r>
        <w:rPr>
          <w:sz w:val="24"/>
          <w:szCs w:val="24"/>
        </w:rPr>
        <w:t>11.13. При неполучении ответа на претензию в указанный срок, претензия считается признанной получателем.</w:t>
      </w:r>
    </w:p>
    <w:p>
      <w:pPr>
        <w:pStyle w:val="Normal"/>
        <w:snapToGrid w:val="false"/>
        <w:jc w:val="both"/>
        <w:rPr>
          <w:sz w:val="24"/>
          <w:szCs w:val="24"/>
        </w:rPr>
      </w:pPr>
      <w:r>
        <w:rPr>
          <w:sz w:val="24"/>
          <w:szCs w:val="24"/>
        </w:rPr>
        <w:t>11.14. Уплата неустойки осуществляется Подрядчиком добровольно на основании претензии и расчёта, выставленных Заказчиком на обращение Подрядчика, или путём удержания из подлежащей оплате суммы при отсутствии обращения Подрядчика.</w:t>
      </w:r>
    </w:p>
    <w:p>
      <w:pPr>
        <w:pStyle w:val="Normal"/>
        <w:snapToGrid w:val="false"/>
        <w:jc w:val="both"/>
        <w:rPr>
          <w:sz w:val="24"/>
          <w:szCs w:val="24"/>
        </w:rPr>
      </w:pPr>
      <w:r>
        <w:rPr>
          <w:sz w:val="24"/>
          <w:szCs w:val="24"/>
        </w:rPr>
        <w:t>11.15. Уплата неустойки не освобождает Стороны от надлежащего исполнения обязательств, предусмотренных Контрактом.</w:t>
      </w:r>
    </w:p>
    <w:p>
      <w:pPr>
        <w:pStyle w:val="Normal"/>
        <w:jc w:val="both"/>
        <w:rPr>
          <w:rFonts w:eastAsia="Arial Unicode MS"/>
          <w:sz w:val="24"/>
          <w:szCs w:val="24"/>
        </w:rPr>
      </w:pPr>
      <w:r>
        <w:rPr>
          <w:rFonts w:eastAsia="Arial Unicode MS"/>
          <w:sz w:val="24"/>
          <w:szCs w:val="24"/>
        </w:rPr>
      </w:r>
    </w:p>
    <w:p>
      <w:pPr>
        <w:pStyle w:val="Normal"/>
        <w:numPr>
          <w:ilvl w:val="0"/>
          <w:numId w:val="2"/>
        </w:numPr>
        <w:jc w:val="center"/>
        <w:rPr>
          <w:rFonts w:eastAsia="Arial Unicode MS"/>
          <w:b/>
          <w:bCs/>
          <w:sz w:val="24"/>
          <w:szCs w:val="24"/>
        </w:rPr>
      </w:pPr>
      <w:r>
        <w:rPr>
          <w:rFonts w:eastAsia="Arial Unicode MS"/>
          <w:b/>
          <w:bCs/>
          <w:sz w:val="24"/>
          <w:szCs w:val="24"/>
        </w:rPr>
        <w:t>АНТИКОРРУПЦИОННАЯ ОГОВОРКА</w:t>
      </w:r>
    </w:p>
    <w:p>
      <w:pPr>
        <w:pStyle w:val="Normal"/>
        <w:ind w:left="720"/>
        <w:rPr>
          <w:rFonts w:eastAsia="Arial Unicode MS"/>
          <w:b/>
          <w:bCs/>
          <w:sz w:val="24"/>
          <w:szCs w:val="24"/>
        </w:rPr>
      </w:pPr>
      <w:r>
        <w:rPr>
          <w:rFonts w:eastAsia="Arial Unicode MS"/>
          <w:b/>
          <w:bCs/>
          <w:sz w:val="24"/>
          <w:szCs w:val="24"/>
        </w:rPr>
      </w:r>
    </w:p>
    <w:p>
      <w:pPr>
        <w:pStyle w:val="Normal"/>
        <w:numPr>
          <w:ilvl w:val="1"/>
          <w:numId w:val="2"/>
        </w:numPr>
        <w:ind w:hanging="0" w:left="0"/>
        <w:jc w:val="both"/>
        <w:rPr>
          <w:rFonts w:eastAsia="Arial Unicode MS"/>
          <w:sz w:val="24"/>
          <w:szCs w:val="24"/>
        </w:rPr>
      </w:pPr>
      <w:r>
        <w:rPr>
          <w:rFonts w:eastAsia="Arial Unicode MS"/>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иных целей.</w:t>
      </w:r>
    </w:p>
    <w:p>
      <w:pPr>
        <w:pStyle w:val="Normal"/>
        <w:ind w:firstLine="709"/>
        <w:jc w:val="both"/>
        <w:rPr>
          <w:rFonts w:eastAsia="Arial Unicode MS"/>
          <w:sz w:val="24"/>
          <w:szCs w:val="24"/>
        </w:rPr>
      </w:pPr>
      <w:r>
        <w:rPr>
          <w:rFonts w:eastAsia="Arial Unicode MS"/>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квалифицированные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numPr>
          <w:ilvl w:val="1"/>
          <w:numId w:val="2"/>
        </w:numPr>
        <w:ind w:hanging="0" w:left="0"/>
        <w:jc w:val="both"/>
        <w:rPr>
          <w:rFonts w:eastAsia="Arial Unicode MS"/>
          <w:sz w:val="24"/>
          <w:szCs w:val="24"/>
        </w:rPr>
      </w:pPr>
      <w:r>
        <w:rPr>
          <w:rFonts w:eastAsia="Arial Unicode MS"/>
          <w:sz w:val="24"/>
          <w:szCs w:val="24"/>
        </w:rPr>
        <w:t>В случае возникновения у Сторон подозрений, что произошли или могут произойти противоправные действия, обозначенные в п. 12.1 настоящего Контракта, соответствующая Сторона обязуется уведомить об этом другую Сторону в письменной форме с информированием соответствующей службы безопасности. В письменном уведомлении Сторона обязана сослаться на факты или предоставить материалы, достоверно подтверждающие или дающие основание полагать, что произошли или могут произойти указанные нарушения со стороны определённых лиц (контрагентом, его аффилированными лицами, работниками, посредниками и т.д.), выражающиеся в действиях, квалифицируемых действующим законодательством как дача/получение взятки, коммерческий подкуп или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ind w:firstLine="709"/>
        <w:jc w:val="both"/>
        <w:rPr>
          <w:rFonts w:eastAsia="Arial Unicode MS"/>
          <w:sz w:val="24"/>
          <w:szCs w:val="24"/>
        </w:rPr>
      </w:pPr>
      <w:r>
        <w:rPr>
          <w:rFonts w:eastAsia="Arial Unicode MS"/>
          <w:sz w:val="24"/>
          <w:szCs w:val="24"/>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произойдёт в будущем. Это подтверждение должно быть направлено в течение десяти рабочих дней с даты направления уведомления.</w:t>
      </w:r>
    </w:p>
    <w:p>
      <w:pPr>
        <w:pStyle w:val="Normal"/>
        <w:numPr>
          <w:ilvl w:val="1"/>
          <w:numId w:val="2"/>
        </w:numPr>
        <w:ind w:hanging="0" w:left="0"/>
        <w:jc w:val="both"/>
        <w:rPr>
          <w:rFonts w:eastAsia="Arial Unicode MS"/>
          <w:sz w:val="24"/>
          <w:szCs w:val="24"/>
        </w:rPr>
      </w:pPr>
      <w:r>
        <w:rPr>
          <w:rFonts w:eastAsia="Arial Unicode MS"/>
          <w:sz w:val="24"/>
          <w:szCs w:val="24"/>
        </w:rPr>
        <w:t>В случае нарушения одной Стороной обязательств по несовершению, указанных в настоящем разделе действий, надлежащем и своевременном информировании другой Стороны, неполучения другой Стороной в установленный срок подтверждения, что нарушение не произошло или не произойдёт, другая Сторона вправе расторгнуть настоящий Договор в одностороннем порядке полностью или в части, направив соответствующее уведомление о расторжении и приняв соответствующие меры по недопущению совершения противоправных действий.</w:t>
      </w:r>
    </w:p>
    <w:p>
      <w:pPr>
        <w:pStyle w:val="Normal"/>
        <w:ind w:firstLine="709"/>
        <w:jc w:val="both"/>
        <w:rPr>
          <w:rFonts w:eastAsia="Arial Unicode MS"/>
          <w:sz w:val="24"/>
          <w:szCs w:val="24"/>
        </w:rPr>
      </w:pPr>
      <w:r>
        <w:rPr>
          <w:rFonts w:eastAsia="Arial Unicode MS"/>
          <w:sz w:val="24"/>
          <w:szCs w:val="24"/>
        </w:rPr>
        <w:t>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Normal"/>
        <w:ind w:firstLine="709"/>
        <w:jc w:val="both"/>
        <w:rPr>
          <w:rFonts w:eastAsia="Arial Unicode MS"/>
          <w:sz w:val="24"/>
          <w:szCs w:val="24"/>
        </w:rPr>
      </w:pPr>
      <w:r>
        <w:rPr>
          <w:rFonts w:eastAsia="Arial Unicode MS"/>
          <w:sz w:val="24"/>
          <w:szCs w:val="24"/>
        </w:rPr>
      </w:r>
    </w:p>
    <w:p>
      <w:pPr>
        <w:pStyle w:val="Normal"/>
        <w:suppressLineNumbers/>
        <w:shd w:val="clear" w:color="auto" w:fill="FFFFFF"/>
        <w:ind w:firstLine="709"/>
        <w:jc w:val="center"/>
        <w:rPr>
          <w:b/>
          <w:bCs/>
          <w:sz w:val="24"/>
          <w:szCs w:val="24"/>
        </w:rPr>
      </w:pPr>
      <w:r>
        <w:rPr>
          <w:b/>
          <w:bCs/>
          <w:sz w:val="24"/>
          <w:szCs w:val="24"/>
        </w:rPr>
        <w:t xml:space="preserve">13. </w:t>
      </w:r>
      <w:r>
        <w:rPr>
          <w:rFonts w:eastAsia="Calibri"/>
          <w:b/>
          <w:bCs/>
          <w:sz w:val="24"/>
          <w:szCs w:val="24"/>
        </w:rPr>
        <w:t>ПРОЧИЕ УСЛОВИЯ</w:t>
      </w:r>
      <w:r>
        <w:rPr>
          <w:b/>
          <w:bCs/>
          <w:sz w:val="24"/>
          <w:szCs w:val="24"/>
        </w:rPr>
        <w:t xml:space="preserve"> </w:t>
      </w:r>
    </w:p>
    <w:p>
      <w:pPr>
        <w:pStyle w:val="Normal"/>
        <w:suppressLineNumbers/>
        <w:shd w:val="clear" w:color="auto" w:fill="FFFFFF"/>
        <w:ind w:firstLine="709"/>
        <w:jc w:val="center"/>
        <w:rPr>
          <w:b/>
          <w:bCs/>
          <w:sz w:val="24"/>
          <w:szCs w:val="24"/>
        </w:rPr>
      </w:pPr>
      <w:r>
        <w:rPr>
          <w:b/>
          <w:bCs/>
          <w:sz w:val="24"/>
          <w:szCs w:val="24"/>
        </w:rPr>
      </w:r>
    </w:p>
    <w:p>
      <w:pPr>
        <w:pStyle w:val="Normal"/>
        <w:jc w:val="both"/>
        <w:rPr>
          <w:sz w:val="24"/>
          <w:szCs w:val="24"/>
        </w:rPr>
      </w:pPr>
      <w:r>
        <w:rPr>
          <w:rFonts w:eastAsia="Arial Unicode MS"/>
          <w:sz w:val="24"/>
          <w:szCs w:val="24"/>
        </w:rPr>
        <w:t>13.1.</w:t>
      </w:r>
      <w:r>
        <w:rPr>
          <w:sz w:val="24"/>
          <w:szCs w:val="24"/>
        </w:rPr>
        <w:t xml:space="preserve"> Все изменения и дополнения к настоящему Контракту считаются действительными, если они оформлены в письменном виде и подписаны сторонами.</w:t>
      </w:r>
    </w:p>
    <w:p>
      <w:pPr>
        <w:pStyle w:val="Normal"/>
        <w:jc w:val="both"/>
        <w:rPr>
          <w:sz w:val="24"/>
          <w:szCs w:val="24"/>
        </w:rPr>
      </w:pPr>
      <w:r>
        <w:rPr>
          <w:sz w:val="24"/>
          <w:szCs w:val="24"/>
        </w:rPr>
        <w:t>13.2. При изменении адреса и платежных реквизитов Стороны обязаны известить друг друга в пятидневный срок.</w:t>
      </w:r>
    </w:p>
    <w:p>
      <w:pPr>
        <w:pStyle w:val="Normal"/>
        <w:jc w:val="both"/>
        <w:rPr>
          <w:sz w:val="24"/>
          <w:szCs w:val="24"/>
        </w:rPr>
      </w:pPr>
      <w:r>
        <w:rPr>
          <w:sz w:val="24"/>
          <w:szCs w:val="24"/>
        </w:rPr>
        <w:t>13.3. Во всем остальном, что не предусмотрено настоящим Контрактом, применяются нормы действующего законодательства РФ.</w:t>
      </w:r>
    </w:p>
    <w:p>
      <w:pPr>
        <w:pStyle w:val="Normal"/>
        <w:jc w:val="both"/>
        <w:rPr>
          <w:sz w:val="24"/>
          <w:szCs w:val="24"/>
        </w:rPr>
      </w:pPr>
      <w:r>
        <w:rPr>
          <w:sz w:val="24"/>
          <w:szCs w:val="24"/>
        </w:rPr>
        <w:t>13.4. Настоящий Контракт составлен на русском языке в двух экземплярах, по одному для каждой из сторон, имеющих одинаковую юридическую силу.</w:t>
      </w:r>
    </w:p>
    <w:p>
      <w:pPr>
        <w:pStyle w:val="Normal"/>
        <w:jc w:val="both"/>
        <w:rPr>
          <w:sz w:val="24"/>
          <w:szCs w:val="24"/>
        </w:rPr>
      </w:pPr>
      <w:r>
        <w:rPr>
          <w:sz w:val="24"/>
          <w:szCs w:val="24"/>
        </w:rPr>
        <w:t>13.5. По результатам исполнения настоящего Контракта Заказчик вправе разместить у себя на информационных ресурсах информацию о полученных результатах в рамках настоящего Контракта с оценкой деятельности Подрядчика. При отсутствии претензий или замечаний к выполненным работам деятельность Подрядчика оценивается как положительная (качественная и результативная); в случае наличия претензий и замечаний такая деятельность по совокупности факторов оценивается как удовлетворительная (средний или посредственный, но допустимый уровень качества) или неудовлетворительная (ненадлежащий, некачественный уровень оказания услуг, выполнения работ).</w:t>
      </w:r>
    </w:p>
    <w:p>
      <w:pPr>
        <w:pStyle w:val="Normal"/>
        <w:jc w:val="both"/>
        <w:rPr>
          <w:sz w:val="24"/>
          <w:szCs w:val="24"/>
        </w:rPr>
      </w:pPr>
      <w:r>
        <w:rPr>
          <w:sz w:val="24"/>
          <w:szCs w:val="24"/>
        </w:rPr>
      </w:r>
    </w:p>
    <w:p>
      <w:pPr>
        <w:pStyle w:val="Normal"/>
        <w:spacing w:lineRule="auto" w:line="360"/>
        <w:jc w:val="both"/>
        <w:rPr>
          <w:sz w:val="24"/>
          <w:szCs w:val="24"/>
        </w:rPr>
      </w:pPr>
      <w:r>
        <w:rPr>
          <w:sz w:val="24"/>
          <w:szCs w:val="24"/>
        </w:rPr>
        <w:t>Приложение № 1 – Техническое задание;</w:t>
      </w:r>
    </w:p>
    <w:p>
      <w:pPr>
        <w:pStyle w:val="Normal"/>
        <w:spacing w:lineRule="auto" w:line="360"/>
        <w:jc w:val="both"/>
        <w:rPr>
          <w:sz w:val="24"/>
          <w:szCs w:val="24"/>
        </w:rPr>
      </w:pPr>
      <w:r>
        <w:rPr>
          <w:sz w:val="24"/>
          <w:szCs w:val="24"/>
        </w:rPr>
        <w:t>Приложение № 2 – Смета.</w:t>
      </w:r>
    </w:p>
    <w:p>
      <w:pPr>
        <w:pStyle w:val="Normal"/>
        <w:spacing w:lineRule="auto" w:line="360"/>
        <w:jc w:val="both"/>
        <w:rPr>
          <w:sz w:val="24"/>
          <w:szCs w:val="24"/>
        </w:rPr>
      </w:pPr>
      <w:r>
        <w:rPr>
          <w:sz w:val="24"/>
          <w:szCs w:val="24"/>
        </w:rPr>
      </w:r>
    </w:p>
    <w:p>
      <w:pPr>
        <w:pStyle w:val="Normal"/>
        <w:widowControl/>
        <w:numPr>
          <w:ilvl w:val="0"/>
          <w:numId w:val="3"/>
        </w:numPr>
        <w:spacing w:lineRule="auto" w:line="360"/>
        <w:jc w:val="center"/>
        <w:rPr>
          <w:b/>
          <w:bCs/>
          <w:sz w:val="24"/>
          <w:szCs w:val="24"/>
        </w:rPr>
      </w:pPr>
      <w:r>
        <w:rPr>
          <w:b/>
          <w:bCs/>
          <w:sz w:val="24"/>
          <w:szCs w:val="24"/>
        </w:rPr>
        <w:t>ЮРИДИЧЕСКИЕ АДРЕСА И БАНКОВСКИЕ РЕКВИЗИТЫ СТОРОН</w:t>
      </w:r>
    </w:p>
    <w:tbl>
      <w:tblPr>
        <w:tblW w:w="9805" w:type="dxa"/>
        <w:jc w:val="left"/>
        <w:tblInd w:w="109" w:type="dxa"/>
        <w:tblLayout w:type="fixed"/>
        <w:tblCellMar>
          <w:top w:w="0" w:type="dxa"/>
          <w:left w:w="108" w:type="dxa"/>
          <w:bottom w:w="0" w:type="dxa"/>
          <w:right w:w="108" w:type="dxa"/>
        </w:tblCellMar>
        <w:tblLook w:noHBand="0" w:noVBand="0" w:firstColumn="1" w:lastRow="0" w:lastColumn="0" w:firstRow="1" w:val="00a0"/>
      </w:tblPr>
      <w:tblGrid>
        <w:gridCol w:w="5094"/>
        <w:gridCol w:w="4711"/>
      </w:tblGrid>
      <w:tr>
        <w:trPr/>
        <w:tc>
          <w:tcPr>
            <w:tcW w:w="5094" w:type="dxa"/>
            <w:tcBorders>
              <w:top w:val="single" w:sz="4" w:space="0" w:color="000000"/>
              <w:left w:val="single" w:sz="4" w:space="0" w:color="000000"/>
              <w:bottom w:val="single" w:sz="4" w:space="0" w:color="000000"/>
              <w:right w:val="single" w:sz="4" w:space="0" w:color="000000"/>
            </w:tcBorders>
          </w:tcPr>
          <w:p>
            <w:pPr>
              <w:pStyle w:val="Normal"/>
              <w:ind w:right="-6"/>
              <w:jc w:val="both"/>
              <w:rPr>
                <w:b/>
                <w:bCs/>
                <w:sz w:val="24"/>
                <w:szCs w:val="24"/>
                <w:lang w:eastAsia="en-US"/>
              </w:rPr>
            </w:pPr>
            <w:r>
              <w:rPr>
                <w:b/>
                <w:bCs/>
                <w:sz w:val="24"/>
                <w:szCs w:val="24"/>
                <w:lang w:eastAsia="ar-SA"/>
              </w:rPr>
              <w:t>Заказчик:</w:t>
            </w:r>
          </w:p>
        </w:tc>
        <w:tc>
          <w:tcPr>
            <w:tcW w:w="4711" w:type="dxa"/>
            <w:tcBorders>
              <w:top w:val="single" w:sz="4" w:space="0" w:color="000000"/>
              <w:left w:val="single" w:sz="4" w:space="0" w:color="000000"/>
              <w:bottom w:val="single" w:sz="4" w:space="0" w:color="000000"/>
              <w:right w:val="single" w:sz="4" w:space="0" w:color="000000"/>
            </w:tcBorders>
          </w:tcPr>
          <w:p>
            <w:pPr>
              <w:pStyle w:val="Normal"/>
              <w:ind w:right="-6"/>
              <w:jc w:val="both"/>
              <w:rPr>
                <w:b/>
                <w:bCs/>
                <w:sz w:val="24"/>
                <w:szCs w:val="24"/>
                <w:lang w:eastAsia="en-US"/>
              </w:rPr>
            </w:pPr>
            <w:r>
              <w:rPr>
                <w:b/>
                <w:bCs/>
                <w:sz w:val="24"/>
                <w:szCs w:val="24"/>
                <w:lang w:eastAsia="en-US"/>
              </w:rPr>
              <w:t>Подрядчик:</w:t>
            </w:r>
          </w:p>
        </w:tc>
      </w:tr>
      <w:tr>
        <w:trPr/>
        <w:tc>
          <w:tcPr>
            <w:tcW w:w="5094" w:type="dxa"/>
            <w:tcBorders>
              <w:top w:val="single" w:sz="4" w:space="0" w:color="000000"/>
              <w:left w:val="single" w:sz="4" w:space="0" w:color="000000"/>
              <w:bottom w:val="single" w:sz="4" w:space="0" w:color="000000"/>
              <w:right w:val="single" w:sz="4" w:space="0" w:color="000000"/>
            </w:tcBorders>
          </w:tcPr>
          <w:p>
            <w:pPr>
              <w:pStyle w:val="Normal"/>
              <w:textAlignment w:val="baseline"/>
              <w:rPr>
                <w:sz w:val="24"/>
                <w:szCs w:val="24"/>
              </w:rPr>
            </w:pPr>
            <w:r>
              <w:rPr>
                <w:b/>
                <w:bCs/>
                <w:sz w:val="24"/>
                <w:szCs w:val="24"/>
              </w:rPr>
              <w:t>Федеральное государственное бюджетное учреждение культуры «Рязанский историко-архитектурный музей-заповедник»</w:t>
            </w:r>
          </w:p>
          <w:p>
            <w:pPr>
              <w:pStyle w:val="Normal"/>
              <w:rPr>
                <w:sz w:val="24"/>
                <w:szCs w:val="24"/>
              </w:rPr>
            </w:pPr>
            <w:r>
              <w:rPr>
                <w:sz w:val="24"/>
                <w:szCs w:val="24"/>
              </w:rPr>
              <w:t>Юридический адрес: 390000, г. Рязань, ул. Соборная, стр. 22.</w:t>
            </w:r>
          </w:p>
          <w:p>
            <w:pPr>
              <w:pStyle w:val="Normal"/>
              <w:rPr>
                <w:sz w:val="24"/>
                <w:szCs w:val="24"/>
              </w:rPr>
            </w:pPr>
            <w:r>
              <w:rPr>
                <w:sz w:val="24"/>
                <w:szCs w:val="24"/>
              </w:rPr>
              <w:t>ИНН 6231008054</w:t>
            </w:r>
          </w:p>
          <w:p>
            <w:pPr>
              <w:pStyle w:val="Normal"/>
              <w:rPr>
                <w:sz w:val="24"/>
                <w:szCs w:val="24"/>
              </w:rPr>
            </w:pPr>
            <w:r>
              <w:rPr>
                <w:sz w:val="24"/>
                <w:szCs w:val="24"/>
              </w:rPr>
              <w:t>КПП 623401001</w:t>
            </w:r>
          </w:p>
          <w:p>
            <w:pPr>
              <w:pStyle w:val="Normal"/>
              <w:rPr>
                <w:sz w:val="24"/>
                <w:szCs w:val="24"/>
              </w:rPr>
            </w:pPr>
            <w:r>
              <w:rPr>
                <w:sz w:val="24"/>
                <w:szCs w:val="24"/>
              </w:rPr>
              <w:t xml:space="preserve">УФК по Рязанской области </w:t>
              <w:br/>
              <w:t>(РИАМЗ л/с 20596У77830)</w:t>
            </w:r>
          </w:p>
          <w:p>
            <w:pPr>
              <w:pStyle w:val="Normal"/>
              <w:rPr>
                <w:sz w:val="24"/>
                <w:szCs w:val="24"/>
              </w:rPr>
            </w:pPr>
            <w:r>
              <w:rPr>
                <w:sz w:val="24"/>
                <w:szCs w:val="24"/>
              </w:rPr>
              <w:t>Расчетный счет   № 03214643000000015900</w:t>
            </w:r>
          </w:p>
          <w:p>
            <w:pPr>
              <w:pStyle w:val="Normal"/>
              <w:rPr>
                <w:sz w:val="24"/>
                <w:szCs w:val="24"/>
              </w:rPr>
            </w:pPr>
            <w:r>
              <w:rPr>
                <w:sz w:val="24"/>
                <w:szCs w:val="24"/>
              </w:rPr>
              <w:t>(казначейский счет)</w:t>
            </w:r>
          </w:p>
          <w:p>
            <w:pPr>
              <w:pStyle w:val="Normal"/>
              <w:rPr>
                <w:sz w:val="24"/>
                <w:szCs w:val="24"/>
              </w:rPr>
            </w:pPr>
            <w:r>
              <w:rPr>
                <w:sz w:val="24"/>
                <w:szCs w:val="24"/>
              </w:rPr>
              <w:t xml:space="preserve">Банк: </w:t>
            </w:r>
            <w:r>
              <w:rPr>
                <w:b/>
                <w:sz w:val="24"/>
                <w:szCs w:val="24"/>
              </w:rPr>
              <w:t>ОКЦ № 10 ГУ Банка России по ЦФО</w:t>
            </w:r>
            <w:r>
              <w:rPr>
                <w:sz w:val="24"/>
                <w:szCs w:val="24"/>
              </w:rPr>
              <w:t>//УФК по Рязанской области г. Рязань</w:t>
            </w:r>
          </w:p>
          <w:p>
            <w:pPr>
              <w:pStyle w:val="Normal"/>
              <w:rPr>
                <w:sz w:val="24"/>
                <w:szCs w:val="24"/>
              </w:rPr>
            </w:pPr>
            <w:r>
              <w:rPr>
                <w:sz w:val="24"/>
                <w:szCs w:val="24"/>
              </w:rPr>
              <w:t>БИК 016126031</w:t>
            </w:r>
          </w:p>
          <w:p>
            <w:pPr>
              <w:pStyle w:val="Normal"/>
              <w:rPr>
                <w:sz w:val="24"/>
                <w:szCs w:val="24"/>
              </w:rPr>
            </w:pPr>
            <w:r>
              <w:rPr>
                <w:sz w:val="24"/>
                <w:szCs w:val="24"/>
              </w:rPr>
              <w:t>Корреспондентский счет № 40102810345370000051</w:t>
            </w:r>
          </w:p>
          <w:p>
            <w:pPr>
              <w:pStyle w:val="Normal"/>
              <w:rPr>
                <w:sz w:val="24"/>
                <w:szCs w:val="24"/>
              </w:rPr>
            </w:pPr>
            <w:r>
              <w:rPr>
                <w:sz w:val="24"/>
                <w:szCs w:val="24"/>
              </w:rPr>
              <w:t>(Единый казначейский счет)</w:t>
            </w:r>
          </w:p>
          <w:p>
            <w:pPr>
              <w:pStyle w:val="Normal"/>
              <w:rPr>
                <w:sz w:val="24"/>
                <w:szCs w:val="24"/>
              </w:rPr>
            </w:pPr>
            <w:r>
              <w:rPr>
                <w:sz w:val="24"/>
                <w:szCs w:val="24"/>
              </w:rPr>
              <w:t>ОКПО 02185340</w:t>
            </w:r>
          </w:p>
          <w:p>
            <w:pPr>
              <w:pStyle w:val="Normal"/>
              <w:rPr>
                <w:sz w:val="24"/>
                <w:szCs w:val="24"/>
              </w:rPr>
            </w:pPr>
            <w:r>
              <w:rPr>
                <w:sz w:val="24"/>
                <w:szCs w:val="24"/>
              </w:rPr>
              <w:t>ОКТМО 61701000</w:t>
            </w:r>
          </w:p>
          <w:p>
            <w:pPr>
              <w:pStyle w:val="Normal"/>
              <w:rPr>
                <w:sz w:val="24"/>
                <w:szCs w:val="24"/>
              </w:rPr>
            </w:pPr>
            <w:r>
              <w:rPr>
                <w:sz w:val="24"/>
                <w:szCs w:val="24"/>
              </w:rPr>
              <w:t>ОГРН 1026201265221</w:t>
            </w:r>
          </w:p>
          <w:p>
            <w:pPr>
              <w:pStyle w:val="Normal"/>
              <w:rPr>
                <w:sz w:val="24"/>
                <w:szCs w:val="24"/>
              </w:rPr>
            </w:pPr>
            <w:r>
              <w:rPr>
                <w:sz w:val="24"/>
                <w:szCs w:val="24"/>
              </w:rPr>
              <w:t>ОКАТО  61401380000</w:t>
            </w:r>
          </w:p>
          <w:p>
            <w:pPr>
              <w:pStyle w:val="Normal"/>
              <w:rPr>
                <w:sz w:val="24"/>
                <w:szCs w:val="24"/>
              </w:rPr>
            </w:pPr>
            <w:r>
              <w:rPr>
                <w:sz w:val="24"/>
                <w:szCs w:val="24"/>
              </w:rPr>
              <w:t>Тел: (4912) 27-60-65 секретарь</w:t>
            </w:r>
          </w:p>
          <w:p>
            <w:pPr>
              <w:pStyle w:val="Normal"/>
              <w:rPr>
                <w:sz w:val="24"/>
                <w:szCs w:val="24"/>
              </w:rPr>
            </w:pPr>
            <w:r>
              <w:rPr>
                <w:sz w:val="24"/>
                <w:szCs w:val="24"/>
              </w:rPr>
              <w:t>Электронный адрес бухгалтерии: finriamz@yandex.ru</w:t>
            </w:r>
          </w:p>
          <w:p>
            <w:pPr>
              <w:pStyle w:val="Normal"/>
              <w:pBdr>
                <w:bottom w:val="single" w:sz="6" w:space="1" w:color="000000"/>
              </w:pBdr>
              <w:rPr>
                <w:sz w:val="24"/>
              </w:rPr>
            </w:pPr>
            <w:r>
              <w:rPr>
                <w:sz w:val="24"/>
                <w:szCs w:val="24"/>
                <w:lang w:val="en-US"/>
              </w:rPr>
              <w:t>E</w:t>
            </w:r>
            <w:r>
              <w:rPr>
                <w:sz w:val="24"/>
                <w:szCs w:val="24"/>
              </w:rPr>
              <w:t>-</w:t>
            </w:r>
            <w:r>
              <w:rPr>
                <w:sz w:val="24"/>
                <w:szCs w:val="24"/>
                <w:lang w:val="en-US"/>
              </w:rPr>
              <w:t>mail</w:t>
            </w:r>
            <w:r>
              <w:rPr>
                <w:sz w:val="24"/>
                <w:szCs w:val="24"/>
              </w:rPr>
              <w:t xml:space="preserve">: </w:t>
            </w:r>
            <w:r>
              <w:rPr>
                <w:rFonts w:ascii="Liberation Serif" w:hAnsi="Liberation Serif"/>
                <w:color w:val="000000"/>
                <w:sz w:val="24"/>
                <w:szCs w:val="24"/>
                <w:lang w:val="en-US"/>
              </w:rPr>
              <w:t>zakupkiriamz</w:t>
            </w:r>
            <w:r>
              <w:rPr>
                <w:rFonts w:ascii="Liberation Serif" w:hAnsi="Liberation Serif"/>
                <w:color w:val="000000"/>
                <w:sz w:val="24"/>
                <w:szCs w:val="24"/>
              </w:rPr>
              <w:t>@</w:t>
            </w:r>
            <w:r>
              <w:rPr>
                <w:rFonts w:ascii="Liberation Serif" w:hAnsi="Liberation Serif"/>
                <w:color w:val="000000"/>
                <w:sz w:val="24"/>
                <w:szCs w:val="24"/>
                <w:lang w:val="en-US"/>
              </w:rPr>
              <w:t>yandex</w:t>
            </w:r>
          </w:p>
          <w:p>
            <w:pPr>
              <w:pStyle w:val="Normal"/>
              <w:ind w:right="-6"/>
              <w:jc w:val="both"/>
              <w:rPr>
                <w:b/>
                <w:bCs/>
                <w:sz w:val="24"/>
                <w:szCs w:val="24"/>
                <w:lang w:eastAsia="en-US"/>
              </w:rPr>
            </w:pPr>
            <w:r>
              <w:rPr>
                <w:b/>
                <w:bCs/>
                <w:sz w:val="24"/>
                <w:szCs w:val="24"/>
                <w:lang w:eastAsia="en-US"/>
              </w:rPr>
            </w:r>
          </w:p>
          <w:p>
            <w:pPr>
              <w:pStyle w:val="Normal"/>
              <w:ind w:right="-6"/>
              <w:jc w:val="both"/>
              <w:rPr>
                <w:sz w:val="24"/>
                <w:szCs w:val="24"/>
              </w:rPr>
            </w:pPr>
            <w:r>
              <w:rPr>
                <w:sz w:val="24"/>
                <w:szCs w:val="24"/>
                <w:lang w:eastAsia="en-US"/>
              </w:rPr>
              <w:t>__________________  (О.Ю. Робинов)</w:t>
            </w:r>
          </w:p>
          <w:p>
            <w:pPr>
              <w:pStyle w:val="Normal"/>
              <w:ind w:right="-6"/>
              <w:jc w:val="both"/>
              <w:rPr>
                <w:b/>
                <w:bCs/>
                <w:sz w:val="24"/>
                <w:szCs w:val="24"/>
                <w:lang w:eastAsia="en-US"/>
              </w:rPr>
            </w:pPr>
            <w:r>
              <w:rPr>
                <w:b/>
                <w:bCs/>
                <w:sz w:val="24"/>
                <w:szCs w:val="24"/>
                <w:lang w:eastAsia="en-US"/>
              </w:rPr>
            </w:r>
          </w:p>
          <w:p>
            <w:pPr>
              <w:pStyle w:val="Normal"/>
              <w:ind w:right="-6"/>
              <w:jc w:val="both"/>
              <w:rPr>
                <w:sz w:val="24"/>
                <w:szCs w:val="24"/>
              </w:rPr>
            </w:pPr>
            <w:r>
              <w:rPr>
                <w:sz w:val="24"/>
                <w:szCs w:val="24"/>
                <w:lang w:eastAsia="en-US"/>
              </w:rPr>
              <w:t>«_____»______________202_г.</w:t>
            </w:r>
          </w:p>
          <w:p>
            <w:pPr>
              <w:pStyle w:val="Normal"/>
              <w:ind w:right="-6"/>
              <w:jc w:val="both"/>
              <w:rPr>
                <w:b/>
                <w:bCs/>
                <w:sz w:val="24"/>
                <w:szCs w:val="24"/>
                <w:lang w:eastAsia="en-US"/>
              </w:rPr>
            </w:pPr>
            <w:r>
              <w:rPr>
                <w:b/>
                <w:bCs/>
                <w:sz w:val="24"/>
                <w:szCs w:val="24"/>
                <w:lang w:eastAsia="en-US"/>
              </w:rPr>
            </w:r>
          </w:p>
        </w:tc>
        <w:tc>
          <w:tcPr>
            <w:tcW w:w="4711" w:type="dxa"/>
            <w:tcBorders>
              <w:top w:val="single" w:sz="4" w:space="0" w:color="000000"/>
              <w:left w:val="single" w:sz="4" w:space="0" w:color="000000"/>
              <w:bottom w:val="single" w:sz="4" w:space="0" w:color="000000"/>
              <w:right w:val="single" w:sz="4" w:space="0" w:color="000000"/>
            </w:tcBorders>
          </w:tcPr>
          <w:p>
            <w:pPr>
              <w:pStyle w:val="Normal"/>
              <w:textAlignment w:val="baseline"/>
              <w:rPr>
                <w:sz w:val="24"/>
                <w:szCs w:val="24"/>
              </w:rPr>
            </w:pPr>
            <w:r>
              <w:rPr>
                <w:sz w:val="24"/>
                <w:szCs w:val="24"/>
              </w:rPr>
            </w:r>
          </w:p>
          <w:p>
            <w:pPr>
              <w:pStyle w:val="Normal"/>
              <w:textAlignment w:val="baseline"/>
              <w:rPr>
                <w:sz w:val="24"/>
                <w:szCs w:val="24"/>
              </w:rPr>
            </w:pPr>
            <w:r>
              <w:rPr>
                <w:sz w:val="24"/>
                <w:szCs w:val="24"/>
              </w:rPr>
            </w:r>
          </w:p>
          <w:p>
            <w:pPr>
              <w:pStyle w:val="Normal"/>
              <w:textAlignment w:val="baseline"/>
              <w:rPr>
                <w:sz w:val="24"/>
                <w:szCs w:val="24"/>
              </w:rPr>
            </w:pPr>
            <w:r>
              <w:rPr>
                <w:sz w:val="24"/>
                <w:szCs w:val="24"/>
              </w:rPr>
            </w:r>
          </w:p>
          <w:p>
            <w:pPr>
              <w:pStyle w:val="Normal"/>
              <w:textAlignment w:val="baseline"/>
              <w:rPr>
                <w:sz w:val="24"/>
                <w:szCs w:val="24"/>
              </w:rPr>
            </w:pPr>
            <w:r>
              <w:rPr>
                <w:sz w:val="24"/>
                <w:szCs w:val="24"/>
              </w:rPr>
            </w:r>
          </w:p>
          <w:p>
            <w:pPr>
              <w:pStyle w:val="Normal"/>
              <w:rPr>
                <w:sz w:val="24"/>
                <w:szCs w:val="24"/>
              </w:rPr>
            </w:pPr>
            <w:r>
              <w:rPr>
                <w:sz w:val="24"/>
                <w:szCs w:val="24"/>
              </w:rPr>
              <w:t>Юридический адрес:</w:t>
            </w:r>
          </w:p>
          <w:p>
            <w:pPr>
              <w:pStyle w:val="Normal"/>
              <w:rPr>
                <w:sz w:val="24"/>
                <w:szCs w:val="24"/>
              </w:rPr>
            </w:pPr>
            <w:r>
              <w:rPr>
                <w:sz w:val="24"/>
                <w:szCs w:val="24"/>
              </w:rPr>
              <w:t>Почтовый адрес:</w:t>
            </w:r>
          </w:p>
          <w:p>
            <w:pPr>
              <w:pStyle w:val="Normal"/>
              <w:rPr>
                <w:sz w:val="24"/>
                <w:szCs w:val="24"/>
              </w:rPr>
            </w:pPr>
            <w:r>
              <w:rPr>
                <w:sz w:val="24"/>
                <w:szCs w:val="24"/>
              </w:rPr>
              <w:t>ИНН</w:t>
            </w:r>
          </w:p>
          <w:p>
            <w:pPr>
              <w:pStyle w:val="Normal"/>
              <w:rPr>
                <w:sz w:val="24"/>
                <w:szCs w:val="24"/>
              </w:rPr>
            </w:pPr>
            <w:r>
              <w:rPr>
                <w:sz w:val="24"/>
                <w:szCs w:val="24"/>
              </w:rPr>
              <w:t>КПП</w:t>
            </w:r>
          </w:p>
          <w:p>
            <w:pPr>
              <w:pStyle w:val="Normal"/>
              <w:rPr>
                <w:sz w:val="24"/>
                <w:szCs w:val="24"/>
              </w:rPr>
            </w:pPr>
            <w:r>
              <w:rPr>
                <w:sz w:val="24"/>
                <w:szCs w:val="24"/>
              </w:rPr>
              <w:t>Банк:</w:t>
            </w:r>
          </w:p>
          <w:p>
            <w:pPr>
              <w:pStyle w:val="Normal"/>
              <w:rPr>
                <w:sz w:val="24"/>
                <w:szCs w:val="24"/>
              </w:rPr>
            </w:pPr>
            <w:r>
              <w:rPr>
                <w:sz w:val="24"/>
                <w:szCs w:val="24"/>
              </w:rPr>
              <w:t>Расчетный счет №</w:t>
            </w:r>
          </w:p>
          <w:p>
            <w:pPr>
              <w:pStyle w:val="Normal"/>
              <w:rPr>
                <w:sz w:val="24"/>
                <w:szCs w:val="24"/>
              </w:rPr>
            </w:pPr>
            <w:r>
              <w:rPr>
                <w:sz w:val="24"/>
                <w:szCs w:val="24"/>
              </w:rPr>
              <w:t>БИК</w:t>
            </w:r>
          </w:p>
          <w:p>
            <w:pPr>
              <w:pStyle w:val="Normal"/>
              <w:rPr>
                <w:sz w:val="24"/>
                <w:szCs w:val="24"/>
              </w:rPr>
            </w:pPr>
            <w:r>
              <w:rPr>
                <w:sz w:val="24"/>
                <w:szCs w:val="24"/>
              </w:rPr>
              <w:t>Корреспондентский счет №</w:t>
            </w:r>
          </w:p>
          <w:p>
            <w:pPr>
              <w:pStyle w:val="Normal"/>
              <w:rPr>
                <w:sz w:val="24"/>
                <w:szCs w:val="24"/>
              </w:rPr>
            </w:pPr>
            <w:r>
              <w:rPr>
                <w:sz w:val="24"/>
                <w:szCs w:val="24"/>
              </w:rPr>
              <w:t>ОКПО</w:t>
            </w:r>
          </w:p>
          <w:p>
            <w:pPr>
              <w:pStyle w:val="Normal"/>
              <w:rPr>
                <w:sz w:val="24"/>
                <w:szCs w:val="24"/>
              </w:rPr>
            </w:pPr>
            <w:r>
              <w:rPr>
                <w:sz w:val="24"/>
                <w:szCs w:val="24"/>
              </w:rPr>
              <w:t>ОКТМО</w:t>
            </w:r>
          </w:p>
          <w:p>
            <w:pPr>
              <w:pStyle w:val="Normal"/>
              <w:rPr>
                <w:sz w:val="24"/>
                <w:szCs w:val="24"/>
              </w:rPr>
            </w:pPr>
            <w:r>
              <w:rPr>
                <w:sz w:val="24"/>
                <w:szCs w:val="24"/>
              </w:rPr>
              <w:t>ОГРН</w:t>
            </w:r>
          </w:p>
          <w:p>
            <w:pPr>
              <w:pStyle w:val="Normal"/>
              <w:rPr>
                <w:sz w:val="24"/>
                <w:szCs w:val="24"/>
              </w:rPr>
            </w:pPr>
            <w:r>
              <w:rPr>
                <w:sz w:val="24"/>
                <w:szCs w:val="24"/>
              </w:rPr>
              <w:t>Тел:</w:t>
            </w:r>
          </w:p>
          <w:p>
            <w:pPr>
              <w:pStyle w:val="Normal"/>
              <w:pBdr>
                <w:bottom w:val="single" w:sz="6" w:space="1" w:color="000000"/>
              </w:pBdr>
              <w:rPr>
                <w:sz w:val="24"/>
                <w:szCs w:val="24"/>
              </w:rPr>
            </w:pPr>
            <w:r>
              <w:rPr>
                <w:sz w:val="24"/>
                <w:szCs w:val="24"/>
                <w:lang w:val="en-US"/>
              </w:rPr>
              <w:t>E</w:t>
            </w:r>
            <w:r>
              <w:rPr>
                <w:sz w:val="24"/>
                <w:szCs w:val="24"/>
              </w:rPr>
              <w:t>-</w:t>
            </w:r>
            <w:r>
              <w:rPr>
                <w:sz w:val="24"/>
                <w:szCs w:val="24"/>
                <w:lang w:val="en-US"/>
              </w:rPr>
              <w:t>mail</w:t>
            </w:r>
            <w:r>
              <w:rPr>
                <w:sz w:val="24"/>
                <w:szCs w:val="24"/>
              </w:rPr>
              <w:t>:</w:t>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ind w:right="-6"/>
              <w:jc w:val="both"/>
              <w:rPr>
                <w:b/>
                <w:bCs/>
                <w:sz w:val="24"/>
                <w:szCs w:val="24"/>
                <w:lang w:eastAsia="en-US"/>
              </w:rPr>
            </w:pPr>
            <w:r>
              <w:rPr>
                <w:b/>
                <w:bCs/>
                <w:sz w:val="24"/>
                <w:szCs w:val="24"/>
                <w:lang w:eastAsia="en-US"/>
              </w:rPr>
            </w:r>
          </w:p>
          <w:p>
            <w:pPr>
              <w:pStyle w:val="Normal"/>
              <w:ind w:right="-6"/>
              <w:jc w:val="both"/>
              <w:rPr>
                <w:sz w:val="24"/>
                <w:szCs w:val="24"/>
              </w:rPr>
            </w:pPr>
            <w:r>
              <w:rPr>
                <w:sz w:val="24"/>
                <w:szCs w:val="24"/>
                <w:lang w:eastAsia="en-US"/>
              </w:rPr>
              <w:t>__________________  ()</w:t>
            </w:r>
          </w:p>
          <w:p>
            <w:pPr>
              <w:pStyle w:val="Normal"/>
              <w:ind w:right="-6"/>
              <w:jc w:val="both"/>
              <w:rPr>
                <w:b/>
                <w:bCs/>
                <w:sz w:val="24"/>
                <w:szCs w:val="24"/>
                <w:lang w:eastAsia="en-US"/>
              </w:rPr>
            </w:pPr>
            <w:r>
              <w:rPr>
                <w:b/>
                <w:bCs/>
                <w:sz w:val="24"/>
                <w:szCs w:val="24"/>
                <w:lang w:eastAsia="en-US"/>
              </w:rPr>
            </w:r>
          </w:p>
          <w:p>
            <w:pPr>
              <w:pStyle w:val="Normal"/>
              <w:ind w:right="-6"/>
              <w:jc w:val="both"/>
              <w:rPr>
                <w:sz w:val="24"/>
                <w:szCs w:val="24"/>
              </w:rPr>
            </w:pPr>
            <w:r>
              <w:rPr>
                <w:sz w:val="24"/>
                <w:szCs w:val="24"/>
              </w:rPr>
              <w:t>«_____»______________202_г.</w:t>
            </w:r>
          </w:p>
        </w:tc>
      </w:tr>
    </w:tbl>
    <w:p>
      <w:pPr>
        <w:pStyle w:val="Normal"/>
        <w:jc w:val="right"/>
        <w:rPr>
          <w:sz w:val="24"/>
          <w:szCs w:val="24"/>
        </w:rPr>
      </w:pPr>
      <w:r>
        <w:rPr>
          <w:sz w:val="24"/>
          <w:szCs w:val="24"/>
        </w:rPr>
      </w:r>
      <w:r>
        <w:br w:type="page"/>
      </w:r>
    </w:p>
    <w:p>
      <w:pPr>
        <w:pStyle w:val="Normal"/>
        <w:spacing w:before="0" w:after="0"/>
        <w:jc w:val="right"/>
        <w:rPr>
          <w:sz w:val="24"/>
          <w:szCs w:val="24"/>
        </w:rPr>
      </w:pPr>
      <w:r>
        <w:rPr>
          <w:sz w:val="24"/>
          <w:szCs w:val="24"/>
        </w:rPr>
      </w:r>
    </w:p>
    <w:p>
      <w:pPr>
        <w:pStyle w:val="Normal"/>
        <w:jc w:val="right"/>
        <w:rPr>
          <w:sz w:val="24"/>
          <w:szCs w:val="24"/>
        </w:rPr>
      </w:pPr>
      <w:r>
        <w:rPr>
          <w:color w:val="111111"/>
          <w:sz w:val="24"/>
          <w:szCs w:val="24"/>
        </w:rPr>
        <w:t xml:space="preserve">Приложение №1 </w:t>
      </w:r>
    </w:p>
    <w:p>
      <w:pPr>
        <w:pStyle w:val="Normal"/>
        <w:jc w:val="right"/>
        <w:rPr>
          <w:sz w:val="24"/>
          <w:szCs w:val="24"/>
        </w:rPr>
      </w:pPr>
      <w:r>
        <w:rPr>
          <w:color w:val="111111"/>
          <w:sz w:val="24"/>
          <w:szCs w:val="24"/>
        </w:rPr>
        <w:t>к Контракту №________________ от «_____» _________ 2026 г.</w:t>
      </w:r>
    </w:p>
    <w:p>
      <w:pPr>
        <w:pStyle w:val="Normal"/>
        <w:jc w:val="right"/>
        <w:rPr>
          <w:color w:val="111111"/>
          <w:sz w:val="24"/>
          <w:szCs w:val="24"/>
        </w:rPr>
      </w:pPr>
      <w:r>
        <w:rPr>
          <w:color w:val="111111"/>
          <w:sz w:val="24"/>
          <w:szCs w:val="24"/>
        </w:rPr>
      </w:r>
    </w:p>
    <w:p>
      <w:pPr>
        <w:pStyle w:val="Normal"/>
        <w:jc w:val="right"/>
        <w:rPr>
          <w:color w:val="111111"/>
          <w:sz w:val="24"/>
          <w:szCs w:val="24"/>
        </w:rPr>
      </w:pPr>
      <w:r>
        <w:rPr>
          <w:color w:val="111111"/>
          <w:sz w:val="24"/>
          <w:szCs w:val="24"/>
        </w:rPr>
      </w:r>
    </w:p>
    <w:p>
      <w:pPr>
        <w:pStyle w:val="Normal"/>
        <w:spacing w:lineRule="atLeast" w:line="240"/>
        <w:jc w:val="center"/>
        <w:rPr>
          <w:b/>
          <w:sz w:val="24"/>
          <w:szCs w:val="24"/>
        </w:rPr>
      </w:pPr>
      <w:r>
        <w:rPr>
          <w:b/>
          <w:sz w:val="24"/>
          <w:szCs w:val="24"/>
        </w:rPr>
        <w:t>ТЕХНИЧЕСКОЕ ЗАДАНИЕ</w:t>
      </w:r>
    </w:p>
    <w:p>
      <w:pPr>
        <w:pStyle w:val="Normal"/>
        <w:spacing w:lineRule="atLeast" w:line="240"/>
        <w:jc w:val="center"/>
        <w:rPr>
          <w:rFonts w:eastAsia="Times New Roman CYR"/>
          <w:b/>
          <w:color w:val="000000"/>
          <w:sz w:val="24"/>
          <w:szCs w:val="24"/>
        </w:rPr>
      </w:pPr>
      <w:r>
        <w:rPr>
          <w:rFonts w:eastAsia="Times New Roman CYR"/>
          <w:b/>
          <w:color w:val="000000"/>
          <w:sz w:val="24"/>
          <w:szCs w:val="24"/>
        </w:rPr>
        <w:t>на выполнение работ по обустройству колодца</w:t>
      </w:r>
    </w:p>
    <w:p>
      <w:pPr>
        <w:pStyle w:val="Normal"/>
        <w:spacing w:lineRule="atLeast" w:line="240"/>
        <w:rPr>
          <w:b/>
          <w:sz w:val="24"/>
          <w:szCs w:val="24"/>
        </w:rPr>
      </w:pPr>
      <w:r>
        <w:rPr>
          <w:b/>
          <w:sz w:val="24"/>
          <w:szCs w:val="24"/>
        </w:rPr>
      </w:r>
    </w:p>
    <w:p>
      <w:pPr>
        <w:pStyle w:val="ListParagraph"/>
        <w:numPr>
          <w:ilvl w:val="0"/>
          <w:numId w:val="1"/>
        </w:numPr>
        <w:spacing w:lineRule="atLeast" w:line="240"/>
        <w:jc w:val="both"/>
        <w:rPr>
          <w:rFonts w:eastAsia="Calibri"/>
          <w:sz w:val="24"/>
          <w:szCs w:val="24"/>
          <w:lang w:eastAsia="en-US"/>
        </w:rPr>
      </w:pPr>
      <w:r>
        <w:rPr>
          <w:rFonts w:eastAsia="Calibri"/>
          <w:b/>
          <w:sz w:val="24"/>
          <w:szCs w:val="24"/>
          <w:lang w:eastAsia="en-US"/>
        </w:rPr>
        <w:t>Срок выполнения работ:</w:t>
      </w:r>
      <w:r>
        <w:rPr>
          <w:rFonts w:eastAsia="Calibri"/>
          <w:sz w:val="24"/>
          <w:szCs w:val="24"/>
          <w:lang w:eastAsia="en-US"/>
        </w:rPr>
        <w:t xml:space="preserve"> 10 рабочих дней с даты заключения Контракта.</w:t>
      </w:r>
    </w:p>
    <w:p>
      <w:pPr>
        <w:pStyle w:val="ListParagraph"/>
        <w:numPr>
          <w:ilvl w:val="0"/>
          <w:numId w:val="1"/>
        </w:numPr>
        <w:spacing w:lineRule="atLeast" w:line="240"/>
        <w:jc w:val="both"/>
        <w:rPr>
          <w:rFonts w:eastAsia="Calibri"/>
          <w:b/>
          <w:sz w:val="24"/>
          <w:szCs w:val="24"/>
          <w:lang w:eastAsia="en-US"/>
        </w:rPr>
      </w:pPr>
      <w:r>
        <w:rPr>
          <w:rFonts w:eastAsia="Calibri"/>
          <w:b/>
          <w:sz w:val="24"/>
          <w:szCs w:val="24"/>
          <w:lang w:eastAsia="en-US"/>
        </w:rPr>
        <w:t xml:space="preserve">Место выполнения работ: </w:t>
      </w:r>
      <w:r>
        <w:rPr>
          <w:rFonts w:eastAsia="Calibri"/>
          <w:sz w:val="24"/>
          <w:szCs w:val="24"/>
          <w:lang w:eastAsia="en-US"/>
        </w:rPr>
        <w:t xml:space="preserve">Археологическая база </w:t>
      </w:r>
      <w:r>
        <w:rPr>
          <w:sz w:val="24"/>
          <w:szCs w:val="24"/>
        </w:rPr>
        <w:t>ОКН «Глебово-Городище. Северный посад», адрес: Ряз. обл. Рыбновский р-н, с. Глебово-Городище</w:t>
      </w:r>
    </w:p>
    <w:p>
      <w:pPr>
        <w:pStyle w:val="ListParagraph"/>
        <w:numPr>
          <w:ilvl w:val="0"/>
          <w:numId w:val="1"/>
        </w:numPr>
        <w:spacing w:lineRule="atLeast" w:line="240"/>
        <w:rPr>
          <w:rFonts w:eastAsia="Calibri"/>
          <w:color w:val="000000"/>
          <w:sz w:val="24"/>
          <w:szCs w:val="24"/>
          <w:lang w:eastAsia="en-US"/>
        </w:rPr>
      </w:pPr>
      <w:r>
        <w:rPr>
          <w:rFonts w:eastAsia="Calibri"/>
          <w:color w:val="000000"/>
          <w:sz w:val="24"/>
          <w:szCs w:val="24"/>
          <w:lang w:eastAsia="en-US"/>
        </w:rPr>
        <w:t>Объём выполняемых работ</w:t>
      </w:r>
    </w:p>
    <w:tbl>
      <w:tblPr>
        <w:tblW w:w="11783" w:type="dxa"/>
        <w:jc w:val="left"/>
        <w:tblInd w:w="-1260" w:type="dxa"/>
        <w:tblLayout w:type="fixed"/>
        <w:tblCellMar>
          <w:top w:w="0" w:type="dxa"/>
          <w:left w:w="108" w:type="dxa"/>
          <w:bottom w:w="0" w:type="dxa"/>
          <w:right w:w="108" w:type="dxa"/>
        </w:tblCellMar>
        <w:tblLook w:noHBand="0" w:noVBand="1" w:firstColumn="1" w:lastRow="0" w:lastColumn="0" w:firstRow="1" w:val="04a0"/>
      </w:tblPr>
      <w:tblGrid>
        <w:gridCol w:w="816"/>
        <w:gridCol w:w="8083"/>
        <w:gridCol w:w="1083"/>
        <w:gridCol w:w="1801"/>
      </w:tblGrid>
      <w:tr>
        <w:trPr>
          <w:trHeight w:val="333" w:hRule="atLeast"/>
        </w:trPr>
        <w:tc>
          <w:tcPr>
            <w:tcW w:w="816" w:type="dxa"/>
            <w:tcBorders/>
            <w:vAlign w:val="center"/>
          </w:tcPr>
          <w:p>
            <w:pPr>
              <w:pStyle w:val="Normal"/>
              <w:widowControl/>
              <w:jc w:val="center"/>
              <w:rPr>
                <w:rFonts w:eastAsia="Calibri"/>
                <w:b/>
                <w:lang w:eastAsia="en-US"/>
              </w:rPr>
            </w:pPr>
            <w:r>
              <w:rPr>
                <w:rFonts w:eastAsia="Calibri"/>
                <w:b/>
                <w:sz w:val="22"/>
                <w:szCs w:val="22"/>
                <w:lang w:eastAsia="en-US"/>
              </w:rPr>
              <w:t xml:space="preserve">№ </w:t>
            </w:r>
            <w:r>
              <w:rPr>
                <w:rFonts w:eastAsia="Calibri"/>
                <w:b/>
                <w:sz w:val="22"/>
                <w:szCs w:val="22"/>
                <w:lang w:eastAsia="en-US"/>
              </w:rPr>
              <w:t>п/п</w:t>
            </w:r>
          </w:p>
        </w:tc>
        <w:tc>
          <w:tcPr>
            <w:tcW w:w="8083" w:type="dxa"/>
            <w:tcBorders/>
            <w:vAlign w:val="center"/>
          </w:tcPr>
          <w:p>
            <w:pPr>
              <w:pStyle w:val="Normal"/>
              <w:widowControl/>
              <w:jc w:val="center"/>
              <w:rPr>
                <w:rFonts w:eastAsia="Calibri"/>
                <w:b/>
                <w:lang w:eastAsia="en-US"/>
              </w:rPr>
            </w:pPr>
            <w:r>
              <w:rPr>
                <w:rFonts w:eastAsia="Calibri"/>
                <w:b/>
                <w:sz w:val="22"/>
                <w:szCs w:val="22"/>
                <w:lang w:eastAsia="en-US"/>
              </w:rPr>
              <w:t>Наименование</w:t>
            </w:r>
          </w:p>
        </w:tc>
        <w:tc>
          <w:tcPr>
            <w:tcW w:w="1083" w:type="dxa"/>
            <w:tcBorders/>
            <w:vAlign w:val="center"/>
          </w:tcPr>
          <w:p>
            <w:pPr>
              <w:pStyle w:val="Normal"/>
              <w:widowControl/>
              <w:jc w:val="center"/>
              <w:rPr>
                <w:rFonts w:eastAsia="Calibri"/>
                <w:b/>
                <w:lang w:eastAsia="en-US"/>
              </w:rPr>
            </w:pPr>
            <w:r>
              <w:rPr>
                <w:rFonts w:eastAsia="Calibri"/>
                <w:b/>
                <w:sz w:val="22"/>
                <w:szCs w:val="22"/>
                <w:lang w:eastAsia="en-US"/>
              </w:rPr>
              <w:t>Ед. изм.</w:t>
            </w:r>
          </w:p>
        </w:tc>
        <w:tc>
          <w:tcPr>
            <w:tcW w:w="1801" w:type="dxa"/>
            <w:tcBorders/>
            <w:vAlign w:val="center"/>
          </w:tcPr>
          <w:p>
            <w:pPr>
              <w:pStyle w:val="Normal"/>
              <w:widowControl/>
              <w:jc w:val="center"/>
              <w:rPr>
                <w:rFonts w:eastAsia="Calibri"/>
                <w:b/>
                <w:lang w:eastAsia="en-US"/>
              </w:rPr>
            </w:pPr>
            <w:r>
              <w:rPr>
                <w:rFonts w:eastAsia="Calibri"/>
                <w:b/>
                <w:sz w:val="22"/>
                <w:szCs w:val="22"/>
                <w:lang w:eastAsia="en-US"/>
              </w:rPr>
              <w:t>Количество</w:t>
            </w:r>
          </w:p>
        </w:tc>
      </w:tr>
      <w:tr>
        <w:trPr>
          <w:trHeight w:val="284" w:hRule="atLeast"/>
        </w:trPr>
        <w:tc>
          <w:tcPr>
            <w:tcW w:w="816" w:type="dxa"/>
            <w:tcBorders/>
            <w:vAlign w:val="center"/>
          </w:tcPr>
          <w:p>
            <w:pPr>
              <w:pStyle w:val="Normal"/>
              <w:widowControl/>
              <w:jc w:val="center"/>
              <w:rPr>
                <w:rFonts w:eastAsia="Calibri"/>
                <w:lang w:eastAsia="en-US"/>
              </w:rPr>
            </w:pPr>
            <w:r>
              <w:rPr>
                <w:rFonts w:eastAsia="Calibri"/>
                <w:sz w:val="22"/>
                <w:szCs w:val="22"/>
                <w:lang w:eastAsia="en-US"/>
              </w:rPr>
              <w:t>1</w:t>
            </w:r>
          </w:p>
        </w:tc>
        <w:tc>
          <w:tcPr>
            <w:tcW w:w="8083" w:type="dxa"/>
            <w:tcBorders/>
            <w:vAlign w:val="center"/>
          </w:tcPr>
          <w:p>
            <w:pPr>
              <w:pStyle w:val="Normal"/>
              <w:widowControl/>
              <w:rPr>
                <w:rFonts w:eastAsia="Calibri"/>
                <w:lang w:eastAsia="en-US"/>
              </w:rPr>
            </w:pPr>
            <w:r>
              <w:rPr>
                <w:rFonts w:eastAsia="Calibri"/>
                <w:sz w:val="22"/>
                <w:szCs w:val="22"/>
                <w:lang w:eastAsia="en-US"/>
              </w:rPr>
              <w:t>Демонтаж железобетонной крышки колодца диаметром 1 м. с очисткой нижнего кольца от старого раствора</w:t>
            </w:r>
          </w:p>
        </w:tc>
        <w:tc>
          <w:tcPr>
            <w:tcW w:w="1083" w:type="dxa"/>
            <w:tcBorders/>
            <w:vAlign w:val="center"/>
          </w:tcPr>
          <w:p>
            <w:pPr>
              <w:pStyle w:val="Normal"/>
              <w:widowControl/>
              <w:jc w:val="center"/>
              <w:rPr>
                <w:rFonts w:eastAsia="Calibri"/>
                <w:lang w:eastAsia="en-US"/>
              </w:rPr>
            </w:pPr>
            <w:r>
              <w:rPr>
                <w:rFonts w:eastAsia="Calibri"/>
                <w:sz w:val="22"/>
                <w:szCs w:val="22"/>
                <w:lang w:eastAsia="en-US"/>
              </w:rPr>
              <w:t>шт.</w:t>
            </w:r>
          </w:p>
        </w:tc>
        <w:tc>
          <w:tcPr>
            <w:tcW w:w="1801" w:type="dxa"/>
            <w:tcBorders/>
            <w:vAlign w:val="center"/>
          </w:tcPr>
          <w:p>
            <w:pPr>
              <w:pStyle w:val="Normal"/>
              <w:widowControl/>
              <w:jc w:val="center"/>
              <w:rPr>
                <w:rFonts w:eastAsia="Calibri"/>
                <w:lang w:eastAsia="en-US"/>
              </w:rPr>
            </w:pPr>
            <w:r>
              <w:rPr>
                <w:rFonts w:eastAsia="Calibri"/>
                <w:sz w:val="22"/>
                <w:szCs w:val="22"/>
                <w:lang w:eastAsia="en-US"/>
              </w:rPr>
              <w:t>1</w:t>
            </w:r>
          </w:p>
        </w:tc>
      </w:tr>
      <w:tr>
        <w:trPr>
          <w:trHeight w:val="284" w:hRule="atLeast"/>
        </w:trPr>
        <w:tc>
          <w:tcPr>
            <w:tcW w:w="816" w:type="dxa"/>
            <w:tcBorders/>
            <w:vAlign w:val="center"/>
          </w:tcPr>
          <w:p>
            <w:pPr>
              <w:pStyle w:val="Normal"/>
              <w:widowControl/>
              <w:jc w:val="center"/>
              <w:rPr>
                <w:rFonts w:eastAsia="Calibri"/>
                <w:lang w:eastAsia="en-US"/>
              </w:rPr>
            </w:pPr>
            <w:r>
              <w:rPr>
                <w:rFonts w:eastAsia="Calibri"/>
                <w:sz w:val="22"/>
                <w:szCs w:val="22"/>
                <w:lang w:eastAsia="en-US"/>
              </w:rPr>
              <w:t>2</w:t>
            </w:r>
          </w:p>
        </w:tc>
        <w:tc>
          <w:tcPr>
            <w:tcW w:w="8083" w:type="dxa"/>
            <w:tcBorders/>
            <w:vAlign w:val="center"/>
          </w:tcPr>
          <w:p>
            <w:pPr>
              <w:pStyle w:val="Normal"/>
              <w:widowControl/>
              <w:rPr>
                <w:rFonts w:eastAsia="Calibri"/>
                <w:lang w:eastAsia="en-US"/>
              </w:rPr>
            </w:pPr>
            <w:r>
              <w:rPr>
                <w:rFonts w:eastAsia="Calibri"/>
                <w:sz w:val="22"/>
                <w:szCs w:val="22"/>
                <w:lang w:eastAsia="en-US"/>
              </w:rPr>
              <w:t>Монтаж железобетонного кольца  КС10.6 на цементный раствор с промазкой швов</w:t>
            </w:r>
          </w:p>
        </w:tc>
        <w:tc>
          <w:tcPr>
            <w:tcW w:w="1083" w:type="dxa"/>
            <w:tcBorders/>
            <w:vAlign w:val="center"/>
          </w:tcPr>
          <w:p>
            <w:pPr>
              <w:pStyle w:val="Normal"/>
              <w:widowControl/>
              <w:jc w:val="center"/>
              <w:rPr>
                <w:rFonts w:eastAsia="Calibri"/>
                <w:lang w:eastAsia="en-US"/>
              </w:rPr>
            </w:pPr>
            <w:r>
              <w:rPr>
                <w:rFonts w:eastAsia="Calibri"/>
                <w:sz w:val="22"/>
                <w:szCs w:val="22"/>
                <w:lang w:eastAsia="en-US"/>
              </w:rPr>
              <w:t>шт.</w:t>
            </w:r>
          </w:p>
        </w:tc>
        <w:tc>
          <w:tcPr>
            <w:tcW w:w="1801" w:type="dxa"/>
            <w:tcBorders/>
            <w:vAlign w:val="center"/>
          </w:tcPr>
          <w:p>
            <w:pPr>
              <w:pStyle w:val="Normal"/>
              <w:widowControl/>
              <w:jc w:val="center"/>
              <w:rPr>
                <w:rFonts w:eastAsia="Calibri"/>
                <w:lang w:eastAsia="en-US"/>
              </w:rPr>
            </w:pPr>
            <w:r>
              <w:rPr>
                <w:rFonts w:eastAsia="Calibri"/>
                <w:sz w:val="22"/>
                <w:szCs w:val="22"/>
                <w:lang w:eastAsia="en-US"/>
              </w:rPr>
              <w:t>1</w:t>
            </w:r>
          </w:p>
        </w:tc>
      </w:tr>
      <w:tr>
        <w:trPr>
          <w:trHeight w:val="284" w:hRule="atLeast"/>
        </w:trPr>
        <w:tc>
          <w:tcPr>
            <w:tcW w:w="816" w:type="dxa"/>
            <w:tcBorders/>
            <w:vAlign w:val="center"/>
          </w:tcPr>
          <w:p>
            <w:pPr>
              <w:pStyle w:val="Normal"/>
              <w:widowControl/>
              <w:jc w:val="center"/>
              <w:rPr>
                <w:rFonts w:eastAsia="Calibri"/>
                <w:lang w:eastAsia="en-US"/>
              </w:rPr>
            </w:pPr>
            <w:r>
              <w:rPr>
                <w:rFonts w:eastAsia="Calibri"/>
                <w:sz w:val="22"/>
                <w:szCs w:val="22"/>
                <w:lang w:eastAsia="en-US"/>
              </w:rPr>
              <w:t>3</w:t>
            </w:r>
          </w:p>
        </w:tc>
        <w:tc>
          <w:tcPr>
            <w:tcW w:w="8083" w:type="dxa"/>
            <w:tcBorders/>
            <w:vAlign w:val="center"/>
          </w:tcPr>
          <w:p>
            <w:pPr>
              <w:pStyle w:val="Normal"/>
              <w:widowControl/>
              <w:rPr>
                <w:rFonts w:eastAsia="Calibri"/>
                <w:lang w:eastAsia="en-US"/>
              </w:rPr>
            </w:pPr>
            <w:r>
              <w:rPr>
                <w:rFonts w:eastAsia="Calibri"/>
                <w:sz w:val="22"/>
                <w:szCs w:val="22"/>
                <w:lang w:eastAsia="en-US"/>
              </w:rPr>
              <w:t>Монтаж колодезного домика с подъемным устройством, с цепью и ведром.</w:t>
            </w:r>
          </w:p>
        </w:tc>
        <w:tc>
          <w:tcPr>
            <w:tcW w:w="1083" w:type="dxa"/>
            <w:tcBorders/>
            <w:vAlign w:val="center"/>
          </w:tcPr>
          <w:p>
            <w:pPr>
              <w:pStyle w:val="Normal"/>
              <w:widowControl/>
              <w:jc w:val="center"/>
              <w:rPr>
                <w:rFonts w:eastAsia="Calibri"/>
                <w:lang w:eastAsia="en-US"/>
              </w:rPr>
            </w:pPr>
            <w:r>
              <w:rPr>
                <w:rFonts w:eastAsia="Calibri"/>
                <w:sz w:val="22"/>
                <w:szCs w:val="22"/>
                <w:lang w:eastAsia="en-US"/>
              </w:rPr>
              <w:t>шт.</w:t>
            </w:r>
          </w:p>
        </w:tc>
        <w:tc>
          <w:tcPr>
            <w:tcW w:w="1801" w:type="dxa"/>
            <w:tcBorders/>
            <w:vAlign w:val="center"/>
          </w:tcPr>
          <w:p>
            <w:pPr>
              <w:pStyle w:val="Normal"/>
              <w:widowControl/>
              <w:jc w:val="center"/>
              <w:rPr>
                <w:rFonts w:eastAsia="Calibri"/>
                <w:lang w:eastAsia="en-US"/>
              </w:rPr>
            </w:pPr>
            <w:r>
              <w:rPr>
                <w:rFonts w:eastAsia="Calibri"/>
                <w:sz w:val="22"/>
                <w:szCs w:val="22"/>
                <w:lang w:eastAsia="en-US"/>
              </w:rPr>
              <w:t>1</w:t>
            </w:r>
          </w:p>
        </w:tc>
      </w:tr>
      <w:tr>
        <w:trPr>
          <w:trHeight w:val="284" w:hRule="atLeast"/>
        </w:trPr>
        <w:tc>
          <w:tcPr>
            <w:tcW w:w="816" w:type="dxa"/>
            <w:tcBorders/>
            <w:vAlign w:val="center"/>
          </w:tcPr>
          <w:p>
            <w:pPr>
              <w:pStyle w:val="Normal"/>
              <w:widowControl/>
              <w:jc w:val="center"/>
              <w:rPr>
                <w:rFonts w:eastAsia="Calibri"/>
                <w:lang w:eastAsia="en-US"/>
              </w:rPr>
            </w:pPr>
            <w:r>
              <w:rPr>
                <w:rFonts w:eastAsia="Calibri"/>
                <w:sz w:val="22"/>
                <w:szCs w:val="22"/>
                <w:lang w:eastAsia="en-US"/>
              </w:rPr>
              <w:t>4</w:t>
            </w:r>
          </w:p>
        </w:tc>
        <w:tc>
          <w:tcPr>
            <w:tcW w:w="8083" w:type="dxa"/>
            <w:tcBorders/>
            <w:vAlign w:val="center"/>
          </w:tcPr>
          <w:p>
            <w:pPr>
              <w:pStyle w:val="Normal"/>
              <w:widowControl/>
              <w:rPr>
                <w:rFonts w:eastAsia="Calibri"/>
                <w:lang w:eastAsia="en-US"/>
              </w:rPr>
            </w:pPr>
            <w:r>
              <w:rPr>
                <w:rFonts w:eastAsia="Calibri"/>
                <w:sz w:val="22"/>
                <w:szCs w:val="22"/>
                <w:lang w:eastAsia="en-US"/>
              </w:rPr>
              <w:t>Доставка и подсыпка вокруг колодца ПГС</w:t>
            </w:r>
          </w:p>
        </w:tc>
        <w:tc>
          <w:tcPr>
            <w:tcW w:w="1083" w:type="dxa"/>
            <w:tcBorders/>
            <w:vAlign w:val="center"/>
          </w:tcPr>
          <w:p>
            <w:pPr>
              <w:pStyle w:val="Normal"/>
              <w:widowControl/>
              <w:jc w:val="center"/>
              <w:rPr>
                <w:rFonts w:eastAsia="Calibri"/>
                <w:lang w:eastAsia="en-US"/>
              </w:rPr>
            </w:pPr>
            <w:r>
              <w:rPr>
                <w:rFonts w:eastAsia="Calibri"/>
                <w:sz w:val="22"/>
                <w:szCs w:val="22"/>
                <w:lang w:eastAsia="en-US"/>
              </w:rPr>
              <w:t>куб.</w:t>
            </w:r>
          </w:p>
        </w:tc>
        <w:tc>
          <w:tcPr>
            <w:tcW w:w="1801" w:type="dxa"/>
            <w:tcBorders/>
            <w:vAlign w:val="center"/>
          </w:tcPr>
          <w:p>
            <w:pPr>
              <w:pStyle w:val="Normal"/>
              <w:widowControl/>
              <w:jc w:val="center"/>
              <w:rPr>
                <w:rFonts w:eastAsia="Calibri"/>
                <w:lang w:eastAsia="en-US"/>
              </w:rPr>
            </w:pPr>
            <w:r>
              <w:rPr>
                <w:rFonts w:eastAsia="Calibri"/>
                <w:sz w:val="22"/>
                <w:szCs w:val="22"/>
                <w:lang w:eastAsia="en-US"/>
              </w:rPr>
              <w:t>0,5</w:t>
            </w:r>
          </w:p>
        </w:tc>
      </w:tr>
      <w:tr>
        <w:trPr>
          <w:trHeight w:val="284" w:hRule="atLeast"/>
        </w:trPr>
        <w:tc>
          <w:tcPr>
            <w:tcW w:w="816" w:type="dxa"/>
            <w:tcBorders/>
            <w:vAlign w:val="center"/>
          </w:tcPr>
          <w:p>
            <w:pPr>
              <w:pStyle w:val="Normal"/>
              <w:widowControl/>
              <w:jc w:val="center"/>
              <w:rPr>
                <w:rFonts w:eastAsia="Calibri"/>
                <w:lang w:eastAsia="en-US"/>
              </w:rPr>
            </w:pPr>
            <w:r>
              <w:rPr>
                <w:rFonts w:eastAsia="Calibri"/>
                <w:sz w:val="22"/>
                <w:szCs w:val="22"/>
                <w:lang w:eastAsia="en-US"/>
              </w:rPr>
              <w:t>5</w:t>
            </w:r>
          </w:p>
        </w:tc>
        <w:tc>
          <w:tcPr>
            <w:tcW w:w="8083" w:type="dxa"/>
            <w:tcBorders/>
            <w:vAlign w:val="center"/>
          </w:tcPr>
          <w:p>
            <w:pPr>
              <w:pStyle w:val="Normal"/>
              <w:widowControl/>
              <w:rPr>
                <w:rFonts w:eastAsia="Calibri"/>
                <w:lang w:eastAsia="en-US"/>
              </w:rPr>
            </w:pPr>
            <w:r>
              <w:rPr>
                <w:rFonts w:eastAsia="Calibri"/>
                <w:sz w:val="22"/>
                <w:szCs w:val="22"/>
                <w:lang w:eastAsia="en-US"/>
              </w:rPr>
              <w:t>Вывоз мусора</w:t>
            </w:r>
          </w:p>
        </w:tc>
        <w:tc>
          <w:tcPr>
            <w:tcW w:w="1083" w:type="dxa"/>
            <w:tcBorders/>
            <w:vAlign w:val="center"/>
          </w:tcPr>
          <w:p>
            <w:pPr>
              <w:pStyle w:val="Normal"/>
              <w:widowControl/>
              <w:jc w:val="center"/>
              <w:rPr>
                <w:rFonts w:eastAsia="Calibri"/>
                <w:lang w:eastAsia="en-US"/>
              </w:rPr>
            </w:pPr>
            <w:r>
              <w:rPr>
                <w:rFonts w:eastAsia="Calibri"/>
                <w:sz w:val="22"/>
                <w:szCs w:val="22"/>
                <w:lang w:eastAsia="en-US"/>
              </w:rPr>
              <w:t>куб.</w:t>
            </w:r>
          </w:p>
        </w:tc>
        <w:tc>
          <w:tcPr>
            <w:tcW w:w="1801" w:type="dxa"/>
            <w:tcBorders/>
            <w:vAlign w:val="center"/>
          </w:tcPr>
          <w:p>
            <w:pPr>
              <w:pStyle w:val="Normal"/>
              <w:widowControl/>
              <w:jc w:val="center"/>
              <w:rPr>
                <w:rFonts w:eastAsia="Calibri"/>
                <w:lang w:eastAsia="en-US"/>
              </w:rPr>
            </w:pPr>
            <w:r>
              <w:rPr>
                <w:rFonts w:eastAsia="Calibri"/>
                <w:sz w:val="22"/>
                <w:szCs w:val="22"/>
                <w:lang w:eastAsia="en-US"/>
              </w:rPr>
              <w:t>7</w:t>
            </w:r>
          </w:p>
        </w:tc>
      </w:tr>
      <w:tr>
        <w:trPr>
          <w:trHeight w:val="284" w:hRule="atLeast"/>
        </w:trPr>
        <w:tc>
          <w:tcPr>
            <w:tcW w:w="11783" w:type="dxa"/>
            <w:gridSpan w:val="4"/>
            <w:tcBorders/>
            <w:vAlign w:val="center"/>
          </w:tcPr>
          <w:p>
            <w:pPr>
              <w:pStyle w:val="Normal"/>
              <w:widowControl/>
              <w:jc w:val="center"/>
              <w:rPr>
                <w:rFonts w:eastAsia="Calibri"/>
                <w:lang w:eastAsia="en-US"/>
              </w:rPr>
            </w:pPr>
            <w:r>
              <w:rPr>
                <w:rFonts w:eastAsia="Calibri"/>
                <w:sz w:val="22"/>
                <w:szCs w:val="22"/>
                <w:lang w:eastAsia="en-US"/>
              </w:rPr>
              <w:t>Прототип колодезного домика</w:t>
            </w:r>
          </w:p>
          <w:p>
            <w:pPr>
              <w:pStyle w:val="Normal"/>
              <w:widowControl/>
              <w:jc w:val="center"/>
              <w:rPr>
                <w:rFonts w:eastAsia="Calibri"/>
                <w:lang w:eastAsia="en-US"/>
              </w:rPr>
            </w:pPr>
            <w:bookmarkStart w:id="0" w:name="_GoBack_Копия_1"/>
            <w:r>
              <w:rPr/>
              <w:drawing>
                <wp:inline distT="0" distB="0" distL="0" distR="0">
                  <wp:extent cx="6391275" cy="4793615"/>
                  <wp:effectExtent l="0" t="0" r="0" b="0"/>
                  <wp:docPr id="1" name="Рисунок 3" descr="D:\моховиков\д\ДОКУМЕНТЫ\Снабжение\Домик для колодца\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D:\моховиков\д\ДОКУМЕНТЫ\Снабжение\Домик для колодца\a2.png"/>
                          <pic:cNvPicPr>
                            <a:picLocks noChangeAspect="1" noChangeArrowheads="1"/>
                          </pic:cNvPicPr>
                        </pic:nvPicPr>
                        <pic:blipFill>
                          <a:blip r:embed="rId2"/>
                          <a:stretch>
                            <a:fillRect/>
                          </a:stretch>
                        </pic:blipFill>
                        <pic:spPr bwMode="auto">
                          <a:xfrm>
                            <a:off x="0" y="0"/>
                            <a:ext cx="6391275" cy="4793615"/>
                          </a:xfrm>
                          <a:prstGeom prst="rect">
                            <a:avLst/>
                          </a:prstGeom>
                          <a:noFill/>
                        </pic:spPr>
                      </pic:pic>
                    </a:graphicData>
                  </a:graphic>
                </wp:inline>
              </w:drawing>
            </w:r>
            <w:bookmarkEnd w:id="0"/>
          </w:p>
          <w:p>
            <w:pPr>
              <w:pStyle w:val="Normal"/>
              <w:widowControl/>
              <w:jc w:val="center"/>
              <w:rPr>
                <w:rFonts w:eastAsia="Calibri"/>
                <w:lang w:eastAsia="en-US"/>
              </w:rPr>
            </w:pPr>
            <w:r>
              <w:rPr>
                <w:rFonts w:eastAsia="Calibri"/>
                <w:lang w:eastAsia="en-US"/>
              </w:rPr>
            </w:r>
          </w:p>
        </w:tc>
      </w:tr>
    </w:tbl>
    <w:p>
      <w:pPr>
        <w:pStyle w:val="Normal"/>
        <w:spacing w:lineRule="atLeast" w:line="360"/>
        <w:ind w:firstLine="708"/>
        <w:jc w:val="both"/>
        <w:rPr>
          <w:sz w:val="24"/>
          <w:szCs w:val="24"/>
          <w:lang w:eastAsia="en-US"/>
        </w:rPr>
      </w:pPr>
      <w:r>
        <w:rPr>
          <w:sz w:val="24"/>
          <w:szCs w:val="24"/>
        </w:rPr>
        <w:t xml:space="preserve">Подрядчик выполняет работы в полном объёме согласно данного Технического задания. </w:t>
      </w:r>
      <w:r>
        <w:rPr>
          <w:sz w:val="24"/>
          <w:szCs w:val="24"/>
          <w:shd w:fill="auto" w:val="clear"/>
        </w:rPr>
        <w:t>Р</w:t>
      </w:r>
      <w:r>
        <w:rPr>
          <w:sz w:val="24"/>
          <w:szCs w:val="24"/>
          <w:shd w:fill="auto" w:val="clear"/>
        </w:rPr>
        <w:t>асходные материалы</w:t>
      </w:r>
      <w:r>
        <w:rPr>
          <w:sz w:val="24"/>
          <w:szCs w:val="24"/>
          <w:shd w:fill="auto" w:val="clear"/>
        </w:rPr>
        <w:t>, д</w:t>
      </w:r>
      <w:r>
        <w:rPr>
          <w:sz w:val="24"/>
          <w:szCs w:val="24"/>
        </w:rPr>
        <w:t xml:space="preserve">оставка, инженерное оборудование и монтаж выполняется Подрядчиком собственными силами и за его счёт, в сроки, предусмотренные Контрактом. Подрядчик при производстве работ должен обеспечить полный комплекс мер по соблюдению техники безопасности, охране труда, пожарной безопасности, охране окружающей среды и нести полную ответственность за выполнение вышеуказанных мер. </w:t>
      </w:r>
    </w:p>
    <w:p>
      <w:pPr>
        <w:pStyle w:val="Normal"/>
        <w:spacing w:lineRule="atLeast" w:line="360"/>
        <w:ind w:firstLine="708"/>
        <w:jc w:val="both"/>
        <w:rPr>
          <w:color w:val="000000"/>
          <w:sz w:val="24"/>
          <w:szCs w:val="24"/>
        </w:rPr>
      </w:pPr>
      <w:r>
        <w:rPr>
          <w:color w:val="000000"/>
          <w:sz w:val="24"/>
          <w:szCs w:val="24"/>
        </w:rPr>
      </w:r>
      <w:r>
        <w:br w:type="page"/>
      </w:r>
    </w:p>
    <w:p>
      <w:pPr>
        <w:pStyle w:val="Normal"/>
        <w:spacing w:before="0" w:after="0"/>
        <w:jc w:val="right"/>
        <w:rPr>
          <w:sz w:val="24"/>
          <w:szCs w:val="24"/>
        </w:rPr>
      </w:pPr>
      <w:r>
        <w:rPr>
          <w:color w:val="111111"/>
          <w:sz w:val="24"/>
          <w:szCs w:val="24"/>
        </w:rPr>
        <w:t>Приложение №</w:t>
      </w:r>
      <w:bookmarkStart w:id="1" w:name="_GoBack_Копия_2_Копия_1"/>
      <w:bookmarkEnd w:id="1"/>
      <w:r>
        <w:rPr>
          <w:color w:val="111111"/>
          <w:sz w:val="24"/>
          <w:szCs w:val="24"/>
        </w:rPr>
        <w:t xml:space="preserve">2 </w:t>
      </w:r>
    </w:p>
    <w:p>
      <w:pPr>
        <w:pStyle w:val="Normal"/>
        <w:jc w:val="right"/>
        <w:rPr>
          <w:sz w:val="24"/>
          <w:szCs w:val="24"/>
        </w:rPr>
      </w:pPr>
      <w:r>
        <w:rPr>
          <w:color w:val="111111"/>
          <w:sz w:val="24"/>
          <w:szCs w:val="24"/>
        </w:rPr>
        <w:t>к Контракту №________________ от «_____» _________ 2026 г.</w:t>
      </w:r>
    </w:p>
    <w:p>
      <w:pPr>
        <w:pStyle w:val="Normal"/>
        <w:jc w:val="right"/>
        <w:rPr>
          <w:color w:val="111111"/>
          <w:sz w:val="24"/>
          <w:szCs w:val="24"/>
        </w:rPr>
      </w:pPr>
      <w:r>
        <w:rPr>
          <w:color w:val="111111"/>
          <w:sz w:val="24"/>
          <w:szCs w:val="24"/>
        </w:rPr>
      </w:r>
    </w:p>
    <w:p>
      <w:pPr>
        <w:pStyle w:val="Normal"/>
        <w:spacing w:lineRule="auto" w:line="360"/>
        <w:jc w:val="center"/>
        <w:rPr/>
      </w:pPr>
      <w:r>
        <w:rPr>
          <w:b/>
          <w:bCs/>
          <w:sz w:val="24"/>
          <w:szCs w:val="24"/>
        </w:rPr>
        <w:t>СМЕТА</w:t>
      </w:r>
    </w:p>
    <w:p>
      <w:pPr>
        <w:pStyle w:val="Normal"/>
        <w:spacing w:lineRule="auto" w:line="360"/>
        <w:jc w:val="center"/>
        <w:rPr>
          <w:i/>
          <w:iCs/>
          <w:sz w:val="24"/>
          <w:szCs w:val="24"/>
        </w:rPr>
      </w:pPr>
      <w:r>
        <w:rPr>
          <w:i/>
          <w:iCs/>
          <w:sz w:val="24"/>
          <w:szCs w:val="24"/>
        </w:rPr>
        <w:t>(Заполняется Подрядчиком)</w:t>
      </w:r>
    </w:p>
    <w:tbl>
      <w:tblPr>
        <w:tblW w:w="9695" w:type="dxa"/>
        <w:jc w:val="left"/>
        <w:tblInd w:w="143" w:type="dxa"/>
        <w:tblLayout w:type="fixed"/>
        <w:tblCellMar>
          <w:top w:w="0" w:type="dxa"/>
          <w:left w:w="108" w:type="dxa"/>
          <w:bottom w:w="0" w:type="dxa"/>
          <w:right w:w="108" w:type="dxa"/>
        </w:tblCellMar>
        <w:tblLook w:noHBand="0" w:noVBand="1" w:firstColumn="1" w:lastRow="0" w:lastColumn="0" w:firstRow="1" w:val="04a0"/>
      </w:tblPr>
      <w:tblGrid>
        <w:gridCol w:w="446"/>
        <w:gridCol w:w="3527"/>
        <w:gridCol w:w="1585"/>
        <w:gridCol w:w="916"/>
        <w:gridCol w:w="1250"/>
        <w:gridCol w:w="1971"/>
      </w:tblGrid>
      <w:tr>
        <w:trPr>
          <w:tblHeader w:val="true"/>
          <w:trHeight w:val="789" w:hRule="atLeast"/>
          <w:cantSplit/>
        </w:trPr>
        <w:tc>
          <w:tcPr>
            <w:tcW w:w="446" w:type="dxa"/>
            <w:tcBorders>
              <w:top w:val="single" w:sz="4" w:space="0" w:color="000000"/>
              <w:left w:val="single" w:sz="4" w:space="0" w:color="000000"/>
              <w:bottom w:val="single" w:sz="4" w:space="0" w:color="000000"/>
            </w:tcBorders>
          </w:tcPr>
          <w:p>
            <w:pPr>
              <w:pStyle w:val="Normal"/>
              <w:spacing w:lineRule="atLeast" w:line="100"/>
              <w:ind w:left="-57" w:right="-57"/>
              <w:jc w:val="center"/>
              <w:rPr>
                <w:rFonts w:ascii="Liberation Serif" w:hAnsi="Liberation Serif"/>
                <w:sz w:val="24"/>
                <w:szCs w:val="24"/>
              </w:rPr>
            </w:pPr>
            <w:r>
              <w:rPr>
                <w:rFonts w:ascii="Liberation Serif" w:hAnsi="Liberation Serif"/>
                <w:b/>
                <w:color w:val="000000"/>
                <w:sz w:val="24"/>
                <w:szCs w:val="24"/>
              </w:rPr>
              <w:t>№</w:t>
            </w:r>
          </w:p>
          <w:p>
            <w:pPr>
              <w:pStyle w:val="Normal"/>
              <w:spacing w:lineRule="atLeast" w:line="100"/>
              <w:ind w:left="-57" w:right="-57"/>
              <w:jc w:val="center"/>
              <w:rPr>
                <w:rFonts w:ascii="Liberation Serif" w:hAnsi="Liberation Serif"/>
                <w:sz w:val="24"/>
                <w:szCs w:val="24"/>
              </w:rPr>
            </w:pPr>
            <w:r>
              <w:rPr>
                <w:rFonts w:ascii="Liberation Serif" w:hAnsi="Liberation Serif"/>
                <w:b/>
                <w:color w:val="000000"/>
                <w:sz w:val="24"/>
                <w:szCs w:val="24"/>
              </w:rPr>
              <w:t>п/п</w:t>
            </w:r>
          </w:p>
        </w:tc>
        <w:tc>
          <w:tcPr>
            <w:tcW w:w="3527" w:type="dxa"/>
            <w:tcBorders>
              <w:top w:val="single" w:sz="4" w:space="0" w:color="000000"/>
              <w:left w:val="single" w:sz="4" w:space="0" w:color="000000"/>
              <w:bottom w:val="single" w:sz="4" w:space="0" w:color="000000"/>
            </w:tcBorders>
          </w:tcPr>
          <w:p>
            <w:pPr>
              <w:pStyle w:val="Normal"/>
              <w:spacing w:lineRule="atLeast" w:line="100"/>
              <w:ind w:left="-57" w:right="-57"/>
              <w:jc w:val="center"/>
              <w:rPr>
                <w:rFonts w:ascii="Liberation Serif" w:hAnsi="Liberation Serif"/>
                <w:sz w:val="24"/>
                <w:szCs w:val="24"/>
              </w:rPr>
            </w:pPr>
            <w:r>
              <w:rPr>
                <w:rFonts w:ascii="Liberation Serif" w:hAnsi="Liberation Serif"/>
                <w:b/>
                <w:color w:val="000000"/>
                <w:sz w:val="24"/>
                <w:szCs w:val="24"/>
              </w:rPr>
              <w:t xml:space="preserve">Наименование </w:t>
            </w:r>
            <w:r>
              <w:rPr>
                <w:rFonts w:ascii="Liberation Serif" w:hAnsi="Liberation Serif"/>
                <w:b/>
                <w:bCs/>
                <w:color w:val="000000"/>
                <w:sz w:val="24"/>
                <w:szCs w:val="24"/>
              </w:rPr>
              <w:t>работ</w:t>
            </w:r>
          </w:p>
        </w:tc>
        <w:tc>
          <w:tcPr>
            <w:tcW w:w="1585" w:type="dxa"/>
            <w:tcBorders>
              <w:top w:val="single" w:sz="4" w:space="0" w:color="000000"/>
              <w:left w:val="single" w:sz="4" w:space="0" w:color="000000"/>
              <w:bottom w:val="single" w:sz="4" w:space="0" w:color="000000"/>
            </w:tcBorders>
          </w:tcPr>
          <w:p>
            <w:pPr>
              <w:pStyle w:val="Normal"/>
              <w:spacing w:lineRule="atLeast" w:line="100"/>
              <w:ind w:left="-57" w:right="-57"/>
              <w:jc w:val="center"/>
              <w:rPr>
                <w:rFonts w:ascii="Liberation Serif" w:hAnsi="Liberation Serif"/>
                <w:sz w:val="24"/>
                <w:szCs w:val="24"/>
              </w:rPr>
            </w:pPr>
            <w:r>
              <w:rPr>
                <w:rFonts w:ascii="Liberation Serif" w:hAnsi="Liberation Serif"/>
                <w:b/>
                <w:color w:val="000000"/>
                <w:sz w:val="24"/>
                <w:szCs w:val="24"/>
              </w:rPr>
              <w:t>Единица измерения</w:t>
            </w:r>
          </w:p>
        </w:tc>
        <w:tc>
          <w:tcPr>
            <w:tcW w:w="916" w:type="dxa"/>
            <w:tcBorders>
              <w:top w:val="single" w:sz="4" w:space="0" w:color="000000"/>
              <w:left w:val="single" w:sz="4" w:space="0" w:color="000000"/>
              <w:bottom w:val="single" w:sz="4" w:space="0" w:color="000000"/>
            </w:tcBorders>
          </w:tcPr>
          <w:p>
            <w:pPr>
              <w:pStyle w:val="Normal"/>
              <w:spacing w:lineRule="atLeast" w:line="100"/>
              <w:ind w:left="-57" w:right="-57"/>
              <w:jc w:val="center"/>
              <w:rPr>
                <w:rFonts w:ascii="Liberation Serif" w:hAnsi="Liberation Serif"/>
                <w:sz w:val="24"/>
                <w:szCs w:val="24"/>
              </w:rPr>
            </w:pPr>
            <w:r>
              <w:rPr>
                <w:rFonts w:ascii="Liberation Serif" w:hAnsi="Liberation Serif"/>
                <w:b/>
                <w:color w:val="000000"/>
                <w:sz w:val="24"/>
                <w:szCs w:val="24"/>
              </w:rPr>
              <w:t>Кол-во</w:t>
            </w:r>
          </w:p>
        </w:tc>
        <w:tc>
          <w:tcPr>
            <w:tcW w:w="1250" w:type="dxa"/>
            <w:tcBorders>
              <w:top w:val="single" w:sz="4" w:space="0" w:color="000000"/>
              <w:left w:val="single" w:sz="4" w:space="0" w:color="000000"/>
              <w:bottom w:val="single" w:sz="4" w:space="0" w:color="000000"/>
            </w:tcBorders>
          </w:tcPr>
          <w:p>
            <w:pPr>
              <w:pStyle w:val="Normal"/>
              <w:spacing w:lineRule="atLeast" w:line="100"/>
              <w:ind w:left="-57" w:right="-57"/>
              <w:jc w:val="center"/>
              <w:rPr>
                <w:rFonts w:ascii="Liberation Serif" w:hAnsi="Liberation Serif"/>
                <w:sz w:val="24"/>
                <w:szCs w:val="24"/>
              </w:rPr>
            </w:pPr>
            <w:r>
              <w:rPr>
                <w:rFonts w:ascii="Liberation Serif" w:hAnsi="Liberation Serif"/>
                <w:b/>
                <w:color w:val="000000"/>
                <w:sz w:val="24"/>
                <w:szCs w:val="24"/>
              </w:rPr>
              <w:t>Цена</w:t>
            </w:r>
          </w:p>
          <w:p>
            <w:pPr>
              <w:pStyle w:val="Normal"/>
              <w:spacing w:lineRule="atLeast" w:line="100"/>
              <w:ind w:left="-57" w:right="-57"/>
              <w:jc w:val="center"/>
              <w:rPr>
                <w:rFonts w:ascii="Liberation Serif" w:hAnsi="Liberation Serif"/>
                <w:sz w:val="24"/>
                <w:szCs w:val="24"/>
              </w:rPr>
            </w:pPr>
            <w:r>
              <w:rPr>
                <w:rFonts w:ascii="Liberation Serif" w:hAnsi="Liberation Serif"/>
                <w:b/>
                <w:color w:val="000000"/>
                <w:sz w:val="24"/>
                <w:szCs w:val="24"/>
              </w:rPr>
              <w:t>за ед. изм.</w:t>
            </w:r>
          </w:p>
        </w:tc>
        <w:tc>
          <w:tcPr>
            <w:tcW w:w="1971" w:type="dxa"/>
            <w:tcBorders>
              <w:top w:val="single" w:sz="4" w:space="0" w:color="000000"/>
              <w:left w:val="single" w:sz="4" w:space="0" w:color="000000"/>
              <w:bottom w:val="single" w:sz="4" w:space="0" w:color="000000"/>
              <w:right w:val="single" w:sz="4" w:space="0" w:color="000000"/>
            </w:tcBorders>
          </w:tcPr>
          <w:p>
            <w:pPr>
              <w:pStyle w:val="Normal"/>
              <w:spacing w:lineRule="atLeast" w:line="100"/>
              <w:ind w:left="-57" w:right="-57"/>
              <w:jc w:val="center"/>
              <w:rPr>
                <w:rFonts w:ascii="Liberation Serif" w:hAnsi="Liberation Serif"/>
                <w:sz w:val="24"/>
                <w:szCs w:val="24"/>
              </w:rPr>
            </w:pPr>
            <w:r>
              <w:rPr>
                <w:rFonts w:ascii="Liberation Serif" w:hAnsi="Liberation Serif"/>
                <w:b/>
                <w:color w:val="000000"/>
                <w:sz w:val="24"/>
                <w:szCs w:val="24"/>
              </w:rPr>
              <w:t>Общая стоимость работ</w:t>
            </w:r>
          </w:p>
        </w:tc>
      </w:tr>
      <w:tr>
        <w:trPr>
          <w:trHeight w:val="525" w:hRule="atLeast"/>
        </w:trPr>
        <w:tc>
          <w:tcPr>
            <w:tcW w:w="446" w:type="dxa"/>
            <w:tcBorders>
              <w:top w:val="single" w:sz="4" w:space="0" w:color="000000"/>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sz w:val="24"/>
                <w:szCs w:val="24"/>
              </w:rPr>
            </w:pPr>
            <w:r>
              <w:rPr>
                <w:rFonts w:ascii="Liberation Serif" w:hAnsi="Liberation Serif"/>
                <w:color w:val="000000"/>
                <w:sz w:val="24"/>
                <w:szCs w:val="24"/>
              </w:rPr>
              <w:t>1</w:t>
            </w:r>
          </w:p>
        </w:tc>
        <w:tc>
          <w:tcPr>
            <w:tcW w:w="3527" w:type="dxa"/>
            <w:tcBorders>
              <w:top w:val="single" w:sz="4" w:space="0" w:color="000000"/>
              <w:left w:val="single" w:sz="4" w:space="0" w:color="000000"/>
              <w:bottom w:val="single" w:sz="4" w:space="0" w:color="000000"/>
            </w:tcBorders>
          </w:tcPr>
          <w:p>
            <w:pPr>
              <w:pStyle w:val="Normal"/>
              <w:widowControl/>
              <w:rPr>
                <w:rFonts w:ascii="Liberation Serif" w:hAnsi="Liberation Serif"/>
                <w:sz w:val="24"/>
                <w:szCs w:val="24"/>
              </w:rPr>
            </w:pPr>
            <w:r>
              <w:rPr>
                <w:rFonts w:eastAsia="Calibri" w:ascii="Liberation Serif" w:hAnsi="Liberation Serif"/>
                <w:sz w:val="24"/>
                <w:szCs w:val="24"/>
                <w:lang w:eastAsia="en-US"/>
              </w:rPr>
              <w:t>Демонтаж железобетонной крышки колодца диаметром 1 м. с очисткой нижнего кольца от старого раствора</w:t>
            </w:r>
          </w:p>
        </w:tc>
        <w:tc>
          <w:tcPr>
            <w:tcW w:w="1585" w:type="dxa"/>
            <w:tcBorders>
              <w:top w:val="single" w:sz="4" w:space="0" w:color="000000"/>
              <w:left w:val="single" w:sz="4" w:space="0" w:color="000000"/>
              <w:bottom w:val="single" w:sz="4" w:space="0" w:color="000000"/>
            </w:tcBorders>
          </w:tcPr>
          <w:p>
            <w:pPr>
              <w:pStyle w:val="Normal"/>
              <w:widowControl/>
              <w:jc w:val="center"/>
              <w:rPr>
                <w:rFonts w:ascii="Liberation Serif" w:hAnsi="Liberation Serif"/>
                <w:sz w:val="24"/>
                <w:szCs w:val="24"/>
              </w:rPr>
            </w:pPr>
            <w:r>
              <w:rPr>
                <w:rFonts w:eastAsia="Calibri" w:ascii="Liberation Serif" w:hAnsi="Liberation Serif"/>
                <w:sz w:val="24"/>
                <w:szCs w:val="24"/>
                <w:lang w:eastAsia="en-US"/>
              </w:rPr>
              <w:t>Шт.</w:t>
            </w:r>
          </w:p>
        </w:tc>
        <w:tc>
          <w:tcPr>
            <w:tcW w:w="916" w:type="dxa"/>
            <w:tcBorders>
              <w:top w:val="single" w:sz="4" w:space="0" w:color="000000"/>
              <w:left w:val="single" w:sz="4" w:space="0" w:color="000000"/>
              <w:bottom w:val="single" w:sz="4" w:space="0" w:color="000000"/>
            </w:tcBorders>
          </w:tcPr>
          <w:p>
            <w:pPr>
              <w:pStyle w:val="Normal"/>
              <w:widowControl/>
              <w:jc w:val="center"/>
              <w:rPr>
                <w:sz w:val="24"/>
                <w:szCs w:val="24"/>
              </w:rPr>
            </w:pPr>
            <w:r>
              <w:rPr>
                <w:rFonts w:eastAsia="Calibri"/>
                <w:sz w:val="24"/>
                <w:szCs w:val="24"/>
                <w:lang w:eastAsia="en-US"/>
              </w:rPr>
              <w:t>1</w:t>
            </w:r>
          </w:p>
        </w:tc>
        <w:tc>
          <w:tcPr>
            <w:tcW w:w="1250" w:type="dxa"/>
            <w:tcBorders>
              <w:top w:val="single" w:sz="4" w:space="0" w:color="000000"/>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rPr>
            </w:pPr>
            <w:r>
              <w:rPr>
                <w:rFonts w:ascii="Liberation Serif" w:hAnsi="Liberation Serif"/>
                <w:b/>
                <w:bCs/>
                <w:color w:val="000000"/>
                <w:sz w:val="24"/>
                <w:szCs w:val="24"/>
              </w:rPr>
            </w:r>
          </w:p>
        </w:tc>
        <w:tc>
          <w:tcPr>
            <w:tcW w:w="197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rPr>
            </w:pPr>
            <w:r>
              <w:rPr>
                <w:rFonts w:ascii="Liberation Serif" w:hAnsi="Liberation Serif"/>
                <w:b/>
                <w:bCs/>
                <w:color w:val="000000"/>
                <w:sz w:val="24"/>
                <w:szCs w:val="24"/>
              </w:rPr>
            </w:r>
          </w:p>
        </w:tc>
      </w:tr>
      <w:tr>
        <w:trPr>
          <w:trHeight w:val="525" w:hRule="atLeast"/>
        </w:trPr>
        <w:tc>
          <w:tcPr>
            <w:tcW w:w="446" w:type="dxa"/>
            <w:tcBorders>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sz w:val="24"/>
                <w:szCs w:val="24"/>
              </w:rPr>
            </w:pPr>
            <w:r>
              <w:rPr>
                <w:rFonts w:ascii="Liberation Serif" w:hAnsi="Liberation Serif"/>
                <w:sz w:val="24"/>
                <w:szCs w:val="24"/>
              </w:rPr>
              <w:t>2</w:t>
            </w:r>
          </w:p>
        </w:tc>
        <w:tc>
          <w:tcPr>
            <w:tcW w:w="3527" w:type="dxa"/>
            <w:tcBorders>
              <w:left w:val="single" w:sz="4" w:space="0" w:color="000000"/>
              <w:bottom w:val="single" w:sz="4" w:space="0" w:color="000000"/>
            </w:tcBorders>
          </w:tcPr>
          <w:p>
            <w:pPr>
              <w:pStyle w:val="Normal"/>
              <w:widowControl/>
              <w:rPr>
                <w:rFonts w:ascii="Liberation Serif" w:hAnsi="Liberation Serif"/>
                <w:sz w:val="24"/>
                <w:szCs w:val="24"/>
              </w:rPr>
            </w:pPr>
            <w:r>
              <w:rPr>
                <w:rFonts w:eastAsia="Calibri" w:ascii="Liberation Serif" w:hAnsi="Liberation Serif"/>
                <w:sz w:val="24"/>
                <w:szCs w:val="24"/>
                <w:lang w:eastAsia="en-US"/>
              </w:rPr>
              <w:t>Монтаж железобетонного кольца  КС10.6 на цементный раствор с промазкой швов</w:t>
            </w:r>
          </w:p>
        </w:tc>
        <w:tc>
          <w:tcPr>
            <w:tcW w:w="1585" w:type="dxa"/>
            <w:tcBorders>
              <w:left w:val="single" w:sz="4" w:space="0" w:color="000000"/>
              <w:bottom w:val="single" w:sz="4" w:space="0" w:color="000000"/>
            </w:tcBorders>
          </w:tcPr>
          <w:p>
            <w:pPr>
              <w:pStyle w:val="Normal"/>
              <w:widowControl/>
              <w:jc w:val="center"/>
              <w:rPr>
                <w:rFonts w:ascii="Liberation Serif" w:hAnsi="Liberation Serif"/>
                <w:sz w:val="24"/>
                <w:szCs w:val="24"/>
              </w:rPr>
            </w:pPr>
            <w:r>
              <w:rPr>
                <w:rFonts w:eastAsia="Calibri" w:ascii="Liberation Serif" w:hAnsi="Liberation Serif"/>
                <w:sz w:val="24"/>
                <w:szCs w:val="24"/>
                <w:lang w:eastAsia="en-US"/>
              </w:rPr>
              <w:t>Шт.</w:t>
            </w:r>
          </w:p>
        </w:tc>
        <w:tc>
          <w:tcPr>
            <w:tcW w:w="916" w:type="dxa"/>
            <w:tcBorders>
              <w:left w:val="single" w:sz="4" w:space="0" w:color="000000"/>
              <w:bottom w:val="single" w:sz="4" w:space="0" w:color="000000"/>
            </w:tcBorders>
          </w:tcPr>
          <w:p>
            <w:pPr>
              <w:pStyle w:val="Normal"/>
              <w:widowControl/>
              <w:jc w:val="center"/>
              <w:rPr>
                <w:sz w:val="24"/>
                <w:szCs w:val="24"/>
              </w:rPr>
            </w:pPr>
            <w:r>
              <w:rPr>
                <w:rFonts w:eastAsia="Calibri"/>
                <w:sz w:val="24"/>
                <w:szCs w:val="24"/>
                <w:lang w:eastAsia="en-US"/>
              </w:rPr>
              <w:t>1</w:t>
            </w:r>
          </w:p>
        </w:tc>
        <w:tc>
          <w:tcPr>
            <w:tcW w:w="1250" w:type="dxa"/>
            <w:tcBorders>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rPr>
            </w:pPr>
            <w:r>
              <w:rPr>
                <w:rFonts w:ascii="Liberation Serif" w:hAnsi="Liberation Serif"/>
                <w:b/>
                <w:bCs/>
                <w:color w:val="000000"/>
                <w:sz w:val="24"/>
                <w:szCs w:val="24"/>
              </w:rPr>
            </w:r>
          </w:p>
        </w:tc>
        <w:tc>
          <w:tcPr>
            <w:tcW w:w="1971" w:type="dxa"/>
            <w:tcBorders>
              <w:left w:val="single" w:sz="4" w:space="0" w:color="000000"/>
              <w:bottom w:val="single" w:sz="4" w:space="0" w:color="000000"/>
              <w:right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rPr>
            </w:pPr>
            <w:r>
              <w:rPr>
                <w:rFonts w:ascii="Liberation Serif" w:hAnsi="Liberation Serif"/>
                <w:b/>
                <w:bCs/>
                <w:color w:val="000000"/>
                <w:sz w:val="24"/>
                <w:szCs w:val="24"/>
              </w:rPr>
            </w:r>
          </w:p>
        </w:tc>
      </w:tr>
      <w:tr>
        <w:trPr>
          <w:trHeight w:val="525" w:hRule="atLeast"/>
        </w:trPr>
        <w:tc>
          <w:tcPr>
            <w:tcW w:w="446" w:type="dxa"/>
            <w:tcBorders>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sz w:val="24"/>
                <w:szCs w:val="24"/>
              </w:rPr>
            </w:pPr>
            <w:r>
              <w:rPr>
                <w:rFonts w:ascii="Liberation Serif" w:hAnsi="Liberation Serif"/>
                <w:sz w:val="24"/>
                <w:szCs w:val="24"/>
              </w:rPr>
              <w:t>3</w:t>
            </w:r>
          </w:p>
        </w:tc>
        <w:tc>
          <w:tcPr>
            <w:tcW w:w="3527" w:type="dxa"/>
            <w:tcBorders>
              <w:left w:val="single" w:sz="4" w:space="0" w:color="000000"/>
              <w:bottom w:val="single" w:sz="4" w:space="0" w:color="000000"/>
            </w:tcBorders>
          </w:tcPr>
          <w:p>
            <w:pPr>
              <w:pStyle w:val="Normal"/>
              <w:widowControl/>
              <w:rPr>
                <w:rFonts w:ascii="Liberation Serif" w:hAnsi="Liberation Serif"/>
                <w:sz w:val="24"/>
                <w:szCs w:val="24"/>
              </w:rPr>
            </w:pPr>
            <w:r>
              <w:rPr>
                <w:rFonts w:eastAsia="Calibri" w:ascii="Liberation Serif" w:hAnsi="Liberation Serif"/>
                <w:sz w:val="24"/>
                <w:szCs w:val="24"/>
                <w:lang w:eastAsia="en-US"/>
              </w:rPr>
              <w:t>Монтаж колодезного домика с подъемным устройством, с цепью и ведром.</w:t>
            </w:r>
          </w:p>
        </w:tc>
        <w:tc>
          <w:tcPr>
            <w:tcW w:w="1585" w:type="dxa"/>
            <w:tcBorders>
              <w:left w:val="single" w:sz="4" w:space="0" w:color="000000"/>
              <w:bottom w:val="single" w:sz="4" w:space="0" w:color="000000"/>
            </w:tcBorders>
          </w:tcPr>
          <w:p>
            <w:pPr>
              <w:pStyle w:val="Normal"/>
              <w:widowControl/>
              <w:jc w:val="center"/>
              <w:rPr>
                <w:rFonts w:ascii="Liberation Serif" w:hAnsi="Liberation Serif"/>
                <w:sz w:val="24"/>
                <w:szCs w:val="24"/>
              </w:rPr>
            </w:pPr>
            <w:r>
              <w:rPr>
                <w:rFonts w:eastAsia="Calibri" w:ascii="Liberation Serif" w:hAnsi="Liberation Serif"/>
                <w:sz w:val="24"/>
                <w:szCs w:val="24"/>
                <w:lang w:eastAsia="en-US"/>
              </w:rPr>
              <w:t>Шт.</w:t>
            </w:r>
          </w:p>
        </w:tc>
        <w:tc>
          <w:tcPr>
            <w:tcW w:w="916" w:type="dxa"/>
            <w:tcBorders>
              <w:left w:val="single" w:sz="4" w:space="0" w:color="000000"/>
              <w:bottom w:val="single" w:sz="4" w:space="0" w:color="000000"/>
            </w:tcBorders>
          </w:tcPr>
          <w:p>
            <w:pPr>
              <w:pStyle w:val="Normal"/>
              <w:widowControl/>
              <w:jc w:val="center"/>
              <w:rPr>
                <w:sz w:val="24"/>
                <w:szCs w:val="24"/>
              </w:rPr>
            </w:pPr>
            <w:r>
              <w:rPr>
                <w:rFonts w:eastAsia="Calibri"/>
                <w:sz w:val="24"/>
                <w:szCs w:val="24"/>
                <w:lang w:eastAsia="en-US"/>
              </w:rPr>
              <w:t>1</w:t>
            </w:r>
          </w:p>
        </w:tc>
        <w:tc>
          <w:tcPr>
            <w:tcW w:w="1250" w:type="dxa"/>
            <w:tcBorders>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rPr>
            </w:pPr>
            <w:r>
              <w:rPr>
                <w:rFonts w:ascii="Liberation Serif" w:hAnsi="Liberation Serif"/>
                <w:b/>
                <w:bCs/>
                <w:color w:val="000000"/>
                <w:sz w:val="24"/>
                <w:szCs w:val="24"/>
              </w:rPr>
            </w:r>
          </w:p>
        </w:tc>
        <w:tc>
          <w:tcPr>
            <w:tcW w:w="1971" w:type="dxa"/>
            <w:tcBorders>
              <w:left w:val="single" w:sz="4" w:space="0" w:color="000000"/>
              <w:bottom w:val="single" w:sz="4" w:space="0" w:color="000000"/>
              <w:right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rPr>
            </w:pPr>
            <w:r>
              <w:rPr>
                <w:rFonts w:ascii="Liberation Serif" w:hAnsi="Liberation Serif"/>
                <w:b/>
                <w:bCs/>
                <w:color w:val="000000"/>
                <w:sz w:val="24"/>
                <w:szCs w:val="24"/>
              </w:rPr>
            </w:r>
          </w:p>
        </w:tc>
      </w:tr>
      <w:tr>
        <w:trPr>
          <w:trHeight w:val="525" w:hRule="atLeast"/>
        </w:trPr>
        <w:tc>
          <w:tcPr>
            <w:tcW w:w="446" w:type="dxa"/>
            <w:tcBorders>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sz w:val="24"/>
                <w:szCs w:val="24"/>
              </w:rPr>
            </w:pPr>
            <w:r>
              <w:rPr>
                <w:rFonts w:ascii="Liberation Serif" w:hAnsi="Liberation Serif"/>
                <w:sz w:val="24"/>
                <w:szCs w:val="24"/>
              </w:rPr>
              <w:t>4</w:t>
            </w:r>
          </w:p>
        </w:tc>
        <w:tc>
          <w:tcPr>
            <w:tcW w:w="3527" w:type="dxa"/>
            <w:tcBorders>
              <w:left w:val="single" w:sz="4" w:space="0" w:color="000000"/>
              <w:bottom w:val="single" w:sz="4" w:space="0" w:color="000000"/>
            </w:tcBorders>
          </w:tcPr>
          <w:p>
            <w:pPr>
              <w:pStyle w:val="Normal"/>
              <w:widowControl/>
              <w:rPr>
                <w:rFonts w:ascii="Liberation Serif" w:hAnsi="Liberation Serif"/>
                <w:sz w:val="24"/>
                <w:szCs w:val="24"/>
              </w:rPr>
            </w:pPr>
            <w:r>
              <w:rPr>
                <w:rFonts w:eastAsia="Calibri" w:ascii="Liberation Serif" w:hAnsi="Liberation Serif"/>
                <w:sz w:val="24"/>
                <w:szCs w:val="24"/>
                <w:lang w:eastAsia="en-US"/>
              </w:rPr>
              <w:t>Доставка и подсыпка вокруг колодца ПГС</w:t>
            </w:r>
          </w:p>
        </w:tc>
        <w:tc>
          <w:tcPr>
            <w:tcW w:w="1585" w:type="dxa"/>
            <w:tcBorders>
              <w:left w:val="single" w:sz="4" w:space="0" w:color="000000"/>
              <w:bottom w:val="single" w:sz="4" w:space="0" w:color="000000"/>
            </w:tcBorders>
          </w:tcPr>
          <w:p>
            <w:pPr>
              <w:pStyle w:val="Normal"/>
              <w:widowControl/>
              <w:jc w:val="center"/>
              <w:rPr>
                <w:rFonts w:ascii="Liberation Serif" w:hAnsi="Liberation Serif"/>
                <w:sz w:val="24"/>
                <w:szCs w:val="24"/>
              </w:rPr>
            </w:pPr>
            <w:r>
              <w:rPr>
                <w:rFonts w:eastAsia="Calibri" w:ascii="Liberation Serif" w:hAnsi="Liberation Serif"/>
                <w:sz w:val="24"/>
                <w:szCs w:val="24"/>
                <w:lang w:eastAsia="en-US"/>
              </w:rPr>
              <w:t>Куб. м.</w:t>
            </w:r>
          </w:p>
        </w:tc>
        <w:tc>
          <w:tcPr>
            <w:tcW w:w="916" w:type="dxa"/>
            <w:tcBorders>
              <w:left w:val="single" w:sz="4" w:space="0" w:color="000000"/>
              <w:bottom w:val="single" w:sz="4" w:space="0" w:color="000000"/>
            </w:tcBorders>
          </w:tcPr>
          <w:p>
            <w:pPr>
              <w:pStyle w:val="Normal"/>
              <w:widowControl/>
              <w:jc w:val="center"/>
              <w:rPr>
                <w:sz w:val="24"/>
                <w:szCs w:val="24"/>
              </w:rPr>
            </w:pPr>
            <w:r>
              <w:rPr>
                <w:rFonts w:eastAsia="Calibri"/>
                <w:sz w:val="24"/>
                <w:szCs w:val="24"/>
                <w:lang w:eastAsia="en-US"/>
              </w:rPr>
              <w:t>0,5</w:t>
            </w:r>
          </w:p>
        </w:tc>
        <w:tc>
          <w:tcPr>
            <w:tcW w:w="1250" w:type="dxa"/>
            <w:tcBorders>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rPr>
            </w:pPr>
            <w:r>
              <w:rPr>
                <w:rFonts w:ascii="Liberation Serif" w:hAnsi="Liberation Serif"/>
                <w:b/>
                <w:bCs/>
                <w:color w:val="000000"/>
                <w:sz w:val="24"/>
                <w:szCs w:val="24"/>
              </w:rPr>
            </w:r>
          </w:p>
        </w:tc>
        <w:tc>
          <w:tcPr>
            <w:tcW w:w="1971" w:type="dxa"/>
            <w:tcBorders>
              <w:left w:val="single" w:sz="4" w:space="0" w:color="000000"/>
              <w:bottom w:val="single" w:sz="4" w:space="0" w:color="000000"/>
              <w:right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rPr>
            </w:pPr>
            <w:r>
              <w:rPr>
                <w:rFonts w:ascii="Liberation Serif" w:hAnsi="Liberation Serif"/>
                <w:b/>
                <w:bCs/>
                <w:color w:val="000000"/>
                <w:sz w:val="24"/>
                <w:szCs w:val="24"/>
              </w:rPr>
            </w:r>
          </w:p>
        </w:tc>
      </w:tr>
      <w:tr>
        <w:trPr>
          <w:trHeight w:val="525" w:hRule="atLeast"/>
        </w:trPr>
        <w:tc>
          <w:tcPr>
            <w:tcW w:w="446" w:type="dxa"/>
            <w:tcBorders>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sz w:val="24"/>
                <w:szCs w:val="24"/>
              </w:rPr>
            </w:pPr>
            <w:r>
              <w:rPr>
                <w:rFonts w:ascii="Liberation Serif" w:hAnsi="Liberation Serif"/>
                <w:sz w:val="24"/>
                <w:szCs w:val="24"/>
              </w:rPr>
              <w:t>5</w:t>
            </w:r>
          </w:p>
        </w:tc>
        <w:tc>
          <w:tcPr>
            <w:tcW w:w="3527" w:type="dxa"/>
            <w:tcBorders>
              <w:left w:val="single" w:sz="4" w:space="0" w:color="000000"/>
              <w:bottom w:val="single" w:sz="4" w:space="0" w:color="000000"/>
            </w:tcBorders>
          </w:tcPr>
          <w:p>
            <w:pPr>
              <w:pStyle w:val="Normal"/>
              <w:widowControl/>
              <w:rPr>
                <w:rFonts w:ascii="Liberation Serif" w:hAnsi="Liberation Serif"/>
                <w:sz w:val="24"/>
                <w:szCs w:val="24"/>
              </w:rPr>
            </w:pPr>
            <w:r>
              <w:rPr>
                <w:rFonts w:eastAsia="Calibri" w:ascii="Liberation Serif" w:hAnsi="Liberation Serif"/>
                <w:sz w:val="24"/>
                <w:szCs w:val="24"/>
                <w:lang w:eastAsia="en-US"/>
              </w:rPr>
              <w:t>Вывоз мусора</w:t>
            </w:r>
          </w:p>
        </w:tc>
        <w:tc>
          <w:tcPr>
            <w:tcW w:w="1585" w:type="dxa"/>
            <w:tcBorders>
              <w:left w:val="single" w:sz="4" w:space="0" w:color="000000"/>
              <w:bottom w:val="single" w:sz="4" w:space="0" w:color="000000"/>
            </w:tcBorders>
          </w:tcPr>
          <w:p>
            <w:pPr>
              <w:pStyle w:val="Normal"/>
              <w:widowControl/>
              <w:jc w:val="center"/>
              <w:rPr>
                <w:rFonts w:ascii="Liberation Serif" w:hAnsi="Liberation Serif"/>
                <w:sz w:val="24"/>
                <w:szCs w:val="24"/>
              </w:rPr>
            </w:pPr>
            <w:r>
              <w:rPr>
                <w:rFonts w:eastAsia="Calibri" w:ascii="Liberation Serif" w:hAnsi="Liberation Serif"/>
                <w:sz w:val="24"/>
                <w:szCs w:val="24"/>
                <w:lang w:eastAsia="en-US"/>
              </w:rPr>
              <w:t>Куб. м.</w:t>
            </w:r>
          </w:p>
        </w:tc>
        <w:tc>
          <w:tcPr>
            <w:tcW w:w="916" w:type="dxa"/>
            <w:tcBorders>
              <w:left w:val="single" w:sz="4" w:space="0" w:color="000000"/>
              <w:bottom w:val="single" w:sz="4" w:space="0" w:color="000000"/>
            </w:tcBorders>
          </w:tcPr>
          <w:p>
            <w:pPr>
              <w:pStyle w:val="Normal"/>
              <w:widowControl/>
              <w:jc w:val="center"/>
              <w:rPr>
                <w:sz w:val="24"/>
                <w:szCs w:val="24"/>
              </w:rPr>
            </w:pPr>
            <w:r>
              <w:rPr>
                <w:rFonts w:eastAsia="Calibri"/>
                <w:sz w:val="24"/>
                <w:szCs w:val="24"/>
                <w:lang w:eastAsia="en-US"/>
              </w:rPr>
              <w:t>7</w:t>
            </w:r>
          </w:p>
        </w:tc>
        <w:tc>
          <w:tcPr>
            <w:tcW w:w="1250" w:type="dxa"/>
            <w:tcBorders>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rPr>
            </w:pPr>
            <w:r>
              <w:rPr>
                <w:rFonts w:ascii="Liberation Serif" w:hAnsi="Liberation Serif"/>
                <w:b/>
                <w:bCs/>
                <w:color w:val="000000"/>
                <w:sz w:val="24"/>
                <w:szCs w:val="24"/>
              </w:rPr>
            </w:r>
          </w:p>
        </w:tc>
        <w:tc>
          <w:tcPr>
            <w:tcW w:w="1971" w:type="dxa"/>
            <w:tcBorders>
              <w:left w:val="single" w:sz="4" w:space="0" w:color="000000"/>
              <w:bottom w:val="single" w:sz="4" w:space="0" w:color="000000"/>
              <w:right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rPr>
            </w:pPr>
            <w:r>
              <w:rPr>
                <w:rFonts w:ascii="Liberation Serif" w:hAnsi="Liberation Serif"/>
                <w:b/>
                <w:bCs/>
                <w:color w:val="000000"/>
                <w:sz w:val="24"/>
                <w:szCs w:val="24"/>
              </w:rPr>
            </w:r>
          </w:p>
        </w:tc>
      </w:tr>
      <w:tr>
        <w:trPr>
          <w:trHeight w:val="215" w:hRule="atLeast"/>
        </w:trPr>
        <w:tc>
          <w:tcPr>
            <w:tcW w:w="9695"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pPr>
              <w:pStyle w:val="Normal"/>
              <w:spacing w:lineRule="atLeast" w:line="100"/>
              <w:ind w:left="-57" w:right="-57"/>
              <w:rPr/>
            </w:pPr>
            <w:r>
              <w:rPr>
                <w:color w:val="000000"/>
                <w:sz w:val="24"/>
                <w:szCs w:val="24"/>
              </w:rPr>
              <w:t xml:space="preserve">   </w:t>
            </w:r>
            <w:r>
              <w:rPr>
                <w:color w:val="000000"/>
                <w:sz w:val="24"/>
                <w:szCs w:val="24"/>
              </w:rPr>
              <w:t>ИТОГО:</w:t>
            </w:r>
          </w:p>
        </w:tc>
      </w:tr>
    </w:tbl>
    <w:p>
      <w:pPr>
        <w:pStyle w:val="Normal"/>
        <w:rPr>
          <w:sz w:val="24"/>
          <w:szCs w:val="24"/>
        </w:rPr>
      </w:pPr>
      <w:r>
        <w:rPr>
          <w:sz w:val="24"/>
          <w:szCs w:val="24"/>
        </w:rPr>
      </w:r>
    </w:p>
    <w:p>
      <w:pPr>
        <w:pStyle w:val="Normal"/>
        <w:rPr>
          <w:sz w:val="24"/>
          <w:szCs w:val="24"/>
        </w:rPr>
      </w:pPr>
      <w:r>
        <w:rPr>
          <w:sz w:val="24"/>
          <w:szCs w:val="24"/>
        </w:rPr>
      </w:r>
    </w:p>
    <w:tbl>
      <w:tblPr>
        <w:tblW w:w="9493" w:type="dxa"/>
        <w:jc w:val="left"/>
        <w:tblInd w:w="70" w:type="dxa"/>
        <w:tblLayout w:type="fixed"/>
        <w:tblCellMar>
          <w:top w:w="0" w:type="dxa"/>
          <w:left w:w="70" w:type="dxa"/>
          <w:bottom w:w="0" w:type="dxa"/>
          <w:right w:w="70" w:type="dxa"/>
        </w:tblCellMar>
        <w:tblLook w:noHBand="0" w:noVBand="1" w:firstColumn="1" w:lastRow="0" w:lastColumn="0" w:firstRow="1" w:val="04a0"/>
      </w:tblPr>
      <w:tblGrid>
        <w:gridCol w:w="4747"/>
        <w:gridCol w:w="4746"/>
      </w:tblGrid>
      <w:tr>
        <w:trPr>
          <w:trHeight w:val="80" w:hRule="atLeast"/>
        </w:trPr>
        <w:tc>
          <w:tcPr>
            <w:tcW w:w="4747" w:type="dxa"/>
            <w:tcBorders/>
          </w:tcPr>
          <w:p>
            <w:pPr>
              <w:pStyle w:val="BodyTextIndent"/>
              <w:spacing w:lineRule="atLeast" w:line="100" w:before="0" w:after="0"/>
              <w:ind w:left="0"/>
              <w:jc w:val="both"/>
              <w:rPr>
                <w:sz w:val="24"/>
                <w:szCs w:val="24"/>
              </w:rPr>
            </w:pPr>
            <w:r>
              <w:rPr>
                <w:b/>
                <w:sz w:val="24"/>
                <w:szCs w:val="24"/>
              </w:rPr>
              <w:t>ЗАКАЗЧИК:</w:t>
            </w:r>
          </w:p>
          <w:p>
            <w:pPr>
              <w:pStyle w:val="BodyTextIndent"/>
              <w:spacing w:lineRule="atLeast" w:line="100" w:before="0" w:after="0"/>
              <w:ind w:left="0"/>
              <w:jc w:val="both"/>
              <w:rPr>
                <w:caps/>
                <w:sz w:val="24"/>
                <w:szCs w:val="24"/>
              </w:rPr>
            </w:pPr>
            <w:r>
              <w:rPr>
                <w:caps/>
                <w:sz w:val="24"/>
                <w:szCs w:val="24"/>
              </w:rPr>
            </w:r>
          </w:p>
          <w:p>
            <w:pPr>
              <w:pStyle w:val="Normal"/>
              <w:jc w:val="both"/>
              <w:rPr>
                <w:sz w:val="24"/>
                <w:szCs w:val="24"/>
              </w:rPr>
            </w:pPr>
            <w:r>
              <w:rPr>
                <w:sz w:val="24"/>
                <w:szCs w:val="24"/>
              </w:rPr>
              <w:t>__________________ (О.Ю.Робинов)</w:t>
            </w:r>
          </w:p>
          <w:p>
            <w:pPr>
              <w:pStyle w:val="Normal"/>
              <w:jc w:val="both"/>
              <w:rPr>
                <w:sz w:val="24"/>
                <w:szCs w:val="24"/>
              </w:rPr>
            </w:pPr>
            <w:r>
              <w:rPr>
                <w:sz w:val="24"/>
                <w:szCs w:val="24"/>
              </w:rPr>
            </w:r>
          </w:p>
          <w:p>
            <w:pPr>
              <w:pStyle w:val="Normal"/>
              <w:spacing w:lineRule="atLeast" w:line="100"/>
              <w:jc w:val="both"/>
              <w:rPr>
                <w:sz w:val="24"/>
                <w:szCs w:val="24"/>
              </w:rPr>
            </w:pPr>
            <w:r>
              <w:rPr>
                <w:sz w:val="24"/>
                <w:szCs w:val="24"/>
              </w:rPr>
              <w:t>«_____»______________20___г.</w:t>
            </w:r>
          </w:p>
          <w:p>
            <w:pPr>
              <w:pStyle w:val="BodyTextIndent"/>
              <w:spacing w:lineRule="atLeast" w:line="100" w:before="0" w:after="0"/>
              <w:ind w:left="0"/>
              <w:jc w:val="both"/>
              <w:rPr>
                <w:sz w:val="24"/>
                <w:szCs w:val="24"/>
              </w:rPr>
            </w:pPr>
            <w:r>
              <w:rPr>
                <w:caps/>
                <w:sz w:val="24"/>
                <w:szCs w:val="24"/>
              </w:rPr>
              <w:t>_________________________</w:t>
            </w:r>
          </w:p>
          <w:p>
            <w:pPr>
              <w:pStyle w:val="BodyTextIndent"/>
              <w:spacing w:lineRule="atLeast" w:line="100" w:before="0" w:after="0"/>
              <w:ind w:left="0"/>
              <w:jc w:val="both"/>
              <w:rPr>
                <w:caps/>
                <w:sz w:val="24"/>
                <w:szCs w:val="24"/>
              </w:rPr>
            </w:pPr>
            <w:r>
              <w:rPr>
                <w:caps/>
                <w:sz w:val="24"/>
                <w:szCs w:val="24"/>
              </w:rPr>
            </w:r>
          </w:p>
        </w:tc>
        <w:tc>
          <w:tcPr>
            <w:tcW w:w="4746" w:type="dxa"/>
            <w:tcBorders/>
          </w:tcPr>
          <w:p>
            <w:pPr>
              <w:pStyle w:val="BodyTextIndent"/>
              <w:spacing w:lineRule="atLeast" w:line="100" w:before="0" w:after="0"/>
              <w:ind w:left="0"/>
              <w:jc w:val="both"/>
              <w:rPr>
                <w:sz w:val="24"/>
                <w:szCs w:val="24"/>
              </w:rPr>
            </w:pPr>
            <w:r>
              <w:rPr>
                <w:b/>
                <w:caps/>
                <w:sz w:val="24"/>
                <w:szCs w:val="24"/>
              </w:rPr>
              <w:t>Подрядчик:</w:t>
            </w:r>
          </w:p>
          <w:p>
            <w:pPr>
              <w:pStyle w:val="BodyTextIndent"/>
              <w:spacing w:lineRule="atLeast" w:line="100" w:before="0" w:after="0"/>
              <w:ind w:left="0"/>
              <w:jc w:val="both"/>
              <w:rPr>
                <w:caps/>
                <w:sz w:val="24"/>
                <w:szCs w:val="24"/>
              </w:rPr>
            </w:pPr>
            <w:r>
              <w:rPr>
                <w:caps/>
                <w:sz w:val="24"/>
                <w:szCs w:val="24"/>
              </w:rPr>
            </w:r>
          </w:p>
          <w:p>
            <w:pPr>
              <w:pStyle w:val="Normal"/>
              <w:spacing w:lineRule="atLeast" w:line="100"/>
              <w:jc w:val="both"/>
              <w:rPr>
                <w:sz w:val="24"/>
                <w:szCs w:val="24"/>
              </w:rPr>
            </w:pPr>
            <w:r>
              <w:rPr>
                <w:sz w:val="24"/>
                <w:szCs w:val="24"/>
              </w:rPr>
              <w:t>__________________ ( )</w:t>
            </w:r>
          </w:p>
          <w:p>
            <w:pPr>
              <w:pStyle w:val="Normal"/>
              <w:spacing w:lineRule="atLeast" w:line="100"/>
              <w:jc w:val="both"/>
              <w:rPr>
                <w:b/>
                <w:bCs/>
                <w:sz w:val="24"/>
                <w:szCs w:val="24"/>
              </w:rPr>
            </w:pPr>
            <w:r>
              <w:rPr>
                <w:b/>
                <w:bCs/>
                <w:sz w:val="24"/>
                <w:szCs w:val="24"/>
              </w:rPr>
            </w:r>
          </w:p>
          <w:p>
            <w:pPr>
              <w:pStyle w:val="Normal"/>
              <w:spacing w:lineRule="atLeast" w:line="100"/>
              <w:jc w:val="both"/>
              <w:rPr>
                <w:sz w:val="24"/>
                <w:szCs w:val="24"/>
              </w:rPr>
            </w:pPr>
            <w:r>
              <w:rPr>
                <w:sz w:val="24"/>
                <w:szCs w:val="24"/>
              </w:rPr>
              <w:t>«_____»______________20___г.</w:t>
            </w:r>
          </w:p>
          <w:p>
            <w:pPr>
              <w:pStyle w:val="BodyTextIndent"/>
              <w:spacing w:lineRule="atLeast" w:line="100" w:before="0" w:after="0"/>
              <w:ind w:left="0"/>
              <w:jc w:val="both"/>
              <w:rPr>
                <w:sz w:val="24"/>
                <w:szCs w:val="24"/>
              </w:rPr>
            </w:pPr>
            <w:r>
              <w:rPr>
                <w:caps/>
                <w:sz w:val="24"/>
                <w:szCs w:val="24"/>
              </w:rPr>
              <w:t>_________________________</w:t>
            </w:r>
          </w:p>
          <w:p>
            <w:pPr>
              <w:pStyle w:val="BodyTextIndent"/>
              <w:spacing w:lineRule="atLeast" w:line="100" w:before="0" w:after="0"/>
              <w:ind w:left="0"/>
              <w:jc w:val="both"/>
              <w:rPr>
                <w:caps/>
                <w:sz w:val="24"/>
                <w:szCs w:val="24"/>
              </w:rPr>
            </w:pPr>
            <w:r>
              <w:rPr>
                <w:caps/>
                <w:sz w:val="24"/>
                <w:szCs w:val="24"/>
              </w:rPr>
            </w:r>
          </w:p>
        </w:tc>
      </w:tr>
    </w:tbl>
    <w:p>
      <w:pPr>
        <w:pStyle w:val="Normal"/>
        <w:spacing w:lineRule="auto" w:line="360"/>
        <w:jc w:val="center"/>
        <w:rPr>
          <w:b/>
          <w:bCs/>
          <w:sz w:val="24"/>
          <w:szCs w:val="24"/>
        </w:rPr>
      </w:pPr>
      <w:r>
        <w:rPr>
          <w:b/>
          <w:bCs/>
          <w:sz w:val="24"/>
          <w:szCs w:val="24"/>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706" w:gutter="0" w:header="720" w:top="777" w:footer="81" w:bottom="993"/>
      <w:pgNumType w:fmt="decimal"/>
      <w:formProt w:val="false"/>
      <w:titlePg/>
      <w:textDirection w:val="lrTb"/>
      <w:docGrid w:type="default" w:linePitch="299"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swiss"/>
    <w:pitch w:val="variable"/>
  </w:font>
  <w:font w:name="Symbo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6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681426925"/>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spacing w:before="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widowControl/>
      <w:spacing w:before="0" w:after="6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decimal"/>
      <w:isLgl/>
      <w:lvlText w:val="%1.%2."/>
      <w:lvlJc w:val="left"/>
      <w:pPr>
        <w:tabs>
          <w:tab w:val="num" w:pos="0"/>
        </w:tabs>
        <w:ind w:left="840" w:hanging="480"/>
      </w:pPr>
      <w:rPr/>
    </w:lvl>
    <w:lvl w:ilvl="2">
      <w:start w:val="1"/>
      <w:numFmt w:val="decimal"/>
      <w:isLgl/>
      <w:lvlText w:val="%1.%2.%3."/>
      <w:lvlJc w:val="left"/>
      <w:pPr>
        <w:tabs>
          <w:tab w:val="num" w:pos="0"/>
        </w:tabs>
        <w:ind w:left="1080" w:hanging="720"/>
      </w:pPr>
      <w:rPr/>
    </w:lvl>
    <w:lvl w:ilvl="3">
      <w:start w:val="1"/>
      <w:numFmt w:val="decimal"/>
      <w:isLgl/>
      <w:lvlText w:val="%1.%2.%3.%4."/>
      <w:lvlJc w:val="left"/>
      <w:pPr>
        <w:tabs>
          <w:tab w:val="num" w:pos="0"/>
        </w:tabs>
        <w:ind w:left="1080" w:hanging="720"/>
      </w:pPr>
      <w:rPr/>
    </w:lvl>
    <w:lvl w:ilvl="4">
      <w:start w:val="1"/>
      <w:numFmt w:val="decimal"/>
      <w:isLgl/>
      <w:lvlText w:val="%1.%2.%3.%4.%5."/>
      <w:lvlJc w:val="left"/>
      <w:pPr>
        <w:tabs>
          <w:tab w:val="num" w:pos="0"/>
        </w:tabs>
        <w:ind w:left="1440" w:hanging="1080"/>
      </w:pPr>
      <w:rPr/>
    </w:lvl>
    <w:lvl w:ilvl="5">
      <w:start w:val="1"/>
      <w:numFmt w:val="decimal"/>
      <w:isLgl/>
      <w:lvlText w:val="%1.%2.%3.%4.%5.%6."/>
      <w:lvlJc w:val="left"/>
      <w:pPr>
        <w:tabs>
          <w:tab w:val="num" w:pos="0"/>
        </w:tabs>
        <w:ind w:left="1440" w:hanging="1080"/>
      </w:pPr>
      <w:rPr/>
    </w:lvl>
    <w:lvl w:ilvl="6">
      <w:start w:val="1"/>
      <w:numFmt w:val="decimal"/>
      <w:isLgl/>
      <w:lvlText w:val="%1.%2.%3.%4.%5.%6.%7."/>
      <w:lvlJc w:val="left"/>
      <w:pPr>
        <w:tabs>
          <w:tab w:val="num" w:pos="0"/>
        </w:tabs>
        <w:ind w:left="1800" w:hanging="1440"/>
      </w:pPr>
      <w:rPr/>
    </w:lvl>
    <w:lvl w:ilvl="7">
      <w:start w:val="1"/>
      <w:numFmt w:val="decimal"/>
      <w:isLgl/>
      <w:lvlText w:val="%1.%2.%3.%4.%5.%6.%7.%8."/>
      <w:lvlJc w:val="left"/>
      <w:pPr>
        <w:tabs>
          <w:tab w:val="num" w:pos="0"/>
        </w:tabs>
        <w:ind w:left="1800" w:hanging="1440"/>
      </w:pPr>
      <w:rPr/>
    </w:lvl>
    <w:lvl w:ilvl="8">
      <w:start w:val="1"/>
      <w:numFmt w:val="decimal"/>
      <w:isLgl/>
      <w:lvlText w:val="%1.%2.%3.%4.%5.%6.%7.%8.%9."/>
      <w:lvlJc w:val="left"/>
      <w:pPr>
        <w:tabs>
          <w:tab w:val="num" w:pos="0"/>
        </w:tabs>
        <w:ind w:left="2160" w:hanging="1800"/>
      </w:pPr>
      <w:rPr/>
    </w:lvl>
  </w:abstractNum>
  <w:abstractNum w:abstractNumId="3">
    <w:lvl w:ilvl="0">
      <w:start w:val="14"/>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4"/>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360" w:hanging="360"/>
      </w:pPr>
      <w:rPr>
        <w:rFonts w:eastAsia="Times New Roman"/>
        <w:b w:val="false"/>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38b8"/>
    <w:pPr>
      <w:widowControl w:val="false"/>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Heading1">
    <w:name w:val="heading 1"/>
    <w:basedOn w:val="Normal"/>
    <w:next w:val="BodyText"/>
    <w:qFormat/>
    <w:pPr>
      <w:numPr>
        <w:ilvl w:val="0"/>
        <w:numId w:val="1"/>
      </w:numPr>
      <w:spacing w:lineRule="atLeast" w:line="100"/>
      <w:outlineLvl w:val="0"/>
    </w:pPr>
    <w:rPr>
      <w:b/>
      <w:sz w:val="48"/>
      <w:szCs w:val="48"/>
    </w:rPr>
  </w:style>
  <w:style w:type="character" w:styleId="DefaultParagraphFont" w:default="1">
    <w:name w:val="Default Paragraph Font"/>
    <w:uiPriority w:val="1"/>
    <w:semiHidden/>
    <w:unhideWhenUsed/>
    <w:qFormat/>
    <w:rPr/>
  </w:style>
  <w:style w:type="character" w:styleId="Style13" w:customStyle="1">
    <w:name w:val="Нижний колонтитул Знак"/>
    <w:basedOn w:val="DefaultParagraphFont"/>
    <w:uiPriority w:val="99"/>
    <w:qFormat/>
    <w:rsid w:val="005738b8"/>
    <w:rPr>
      <w:rFonts w:ascii="Times New Roman" w:hAnsi="Times New Roman" w:eastAsia="Times New Roman" w:cs="Times New Roman"/>
      <w:sz w:val="24"/>
      <w:szCs w:val="24"/>
      <w:lang w:eastAsia="ru-RU"/>
    </w:rPr>
  </w:style>
  <w:style w:type="character" w:styleId="Style14" w:customStyle="1">
    <w:name w:val="Верхний колонтитул Знак"/>
    <w:basedOn w:val="DefaultParagraphFont"/>
    <w:uiPriority w:val="99"/>
    <w:qFormat/>
    <w:rsid w:val="007666b0"/>
    <w:rPr>
      <w:rFonts w:ascii="Times New Roman" w:hAnsi="Times New Roman" w:eastAsia="Times New Roman" w:cs="Times New Roman"/>
      <w:sz w:val="20"/>
      <w:szCs w:val="20"/>
      <w:lang w:eastAsia="ru-RU"/>
    </w:rPr>
  </w:style>
  <w:style w:type="character" w:styleId="Style15" w:customStyle="1">
    <w:name w:val="Текст выноски Знак"/>
    <w:basedOn w:val="DefaultParagraphFont"/>
    <w:link w:val="BalloonText"/>
    <w:uiPriority w:val="99"/>
    <w:semiHidden/>
    <w:qFormat/>
    <w:rsid w:val="00584dcd"/>
    <w:rPr>
      <w:rFonts w:ascii="Tahoma" w:hAnsi="Tahoma" w:eastAsia="Times New Roman" w:cs="Tahoma"/>
      <w:sz w:val="16"/>
      <w:szCs w:val="16"/>
      <w:lang w:eastAsia="ru-RU"/>
    </w:rPr>
  </w:style>
  <w:style w:type="character" w:styleId="Style16" w:customStyle="1">
    <w:name w:val="Абзац списка Знак"/>
    <w:link w:val="ListParagraph"/>
    <w:uiPriority w:val="34"/>
    <w:qFormat/>
    <w:locked/>
    <w:rsid w:val="005f45fa"/>
    <w:rPr>
      <w:rFonts w:ascii="Times New Roman" w:hAnsi="Times New Roman" w:eastAsia="Times New Roman" w:cs="Times New Roman"/>
      <w:sz w:val="20"/>
      <w:szCs w:val="20"/>
      <w:lang w:eastAsia="ru-RU"/>
    </w:rPr>
  </w:style>
  <w:style w:type="character" w:styleId="Hyperlink">
    <w:name w:val="Hyperlink"/>
    <w:basedOn w:val="DefaultParagraphFont"/>
    <w:uiPriority w:val="99"/>
    <w:unhideWhenUsed/>
    <w:rsid w:val="006709eb"/>
    <w:rPr>
      <w:color w:themeColor="hyperlink" w:val="0000FF"/>
      <w:u w:val="single"/>
    </w:rPr>
  </w:style>
  <w:style w:type="character" w:styleId="211pt" w:customStyle="1">
    <w:name w:val="Основной текст (2) + 11 pt;Не полужирный"/>
    <w:basedOn w:val="DefaultParagraphFont"/>
    <w:qFormat/>
    <w:rsid w:val="00ee2e43"/>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lang w:val="ru-RU" w:eastAsia="ru-RU" w:bidi="ru-RU"/>
    </w:rPr>
  </w:style>
  <w:style w:type="character" w:styleId="1" w:customStyle="1">
    <w:name w:val="Основной шрифт абзаца1"/>
    <w:qFormat/>
    <w:rPr/>
  </w:style>
  <w:style w:type="character" w:styleId="FollowedHyperlink">
    <w:name w:val="FollowedHyperlink"/>
    <w:basedOn w:val="DefaultParagraphFont"/>
    <w:rPr>
      <w:color w:themeColor="followedHyperlink" w:val="800080"/>
      <w:u w:val="single"/>
    </w:rPr>
  </w:style>
  <w:style w:type="character" w:styleId="WW8Num6z0" w:customStyle="1">
    <w:name w:val="WW8Num6z0"/>
    <w:qFormat/>
    <w:rPr>
      <w:rFonts w:ascii="Symbol" w:hAnsi="Symbol" w:cs="Symbol"/>
      <w:sz w:val="24"/>
      <w:szCs w:val="24"/>
    </w:rPr>
  </w:style>
  <w:style w:type="character" w:styleId="Style17" w:customStyle="1">
    <w:name w:val="Символ нумерации"/>
    <w:qFormat/>
    <w:rPr/>
  </w:style>
  <w:style w:type="character" w:styleId="Strong">
    <w:name w:val="Strong"/>
    <w:qFormat/>
    <w:rPr>
      <w:b/>
      <w:bCs/>
    </w:rPr>
  </w:style>
  <w:style w:type="paragraph" w:styleId="Style18" w:customStyle="1">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customStyle="1">
    <w:name w:val="Указатель"/>
    <w:basedOn w:val="Normal"/>
    <w:qFormat/>
    <w:pPr>
      <w:suppressLineNumbers/>
    </w:pPr>
    <w:rPr>
      <w:rFonts w:cs="Lohit Devanagari"/>
    </w:rPr>
  </w:style>
  <w:style w:type="paragraph" w:styleId="user" w:customStyle="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IndexHeading">
    <w:name w:val="index heading"/>
    <w:basedOn w:val="Normal"/>
    <w:qFormat/>
    <w:pPr>
      <w:suppressLineNumbers/>
    </w:pPr>
    <w:rPr>
      <w:rFonts w:cs="Lohit Devanagari"/>
    </w:rPr>
  </w:style>
  <w:style w:type="paragraph" w:styleId="Style20" w:customStyle="1">
    <w:name w:val="Колонтитулы"/>
    <w:basedOn w:val="Normal"/>
    <w:qFormat/>
    <w:pPr/>
    <w:rPr/>
  </w:style>
  <w:style w:type="paragraph" w:styleId="user1" w:customStyle="1">
    <w:name w:val="Колонтитулы (user)"/>
    <w:basedOn w:val="Normal"/>
    <w:qFormat/>
    <w:pPr/>
    <w:rPr/>
  </w:style>
  <w:style w:type="paragraph" w:styleId="Footer">
    <w:name w:val="footer"/>
    <w:basedOn w:val="Normal"/>
    <w:link w:val="Style13"/>
    <w:uiPriority w:val="99"/>
    <w:rsid w:val="005738b8"/>
    <w:pPr>
      <w:widowControl/>
      <w:tabs>
        <w:tab w:val="clear" w:pos="708"/>
        <w:tab w:val="center" w:pos="4153" w:leader="none"/>
        <w:tab w:val="right" w:pos="8306" w:leader="none"/>
      </w:tabs>
      <w:spacing w:before="0" w:after="60"/>
      <w:jc w:val="both"/>
    </w:pPr>
    <w:rPr>
      <w:sz w:val="24"/>
      <w:szCs w:val="24"/>
    </w:rPr>
  </w:style>
  <w:style w:type="paragraph" w:styleId="ListParagraph">
    <w:name w:val="List Paragraph"/>
    <w:basedOn w:val="Normal"/>
    <w:link w:val="Style16"/>
    <w:uiPriority w:val="34"/>
    <w:qFormat/>
    <w:rsid w:val="007666b0"/>
    <w:pPr>
      <w:spacing w:before="0" w:after="0"/>
      <w:ind w:left="720"/>
      <w:contextualSpacing/>
    </w:pPr>
    <w:rPr/>
  </w:style>
  <w:style w:type="paragraph" w:styleId="Header">
    <w:name w:val="header"/>
    <w:basedOn w:val="Normal"/>
    <w:link w:val="Style14"/>
    <w:uiPriority w:val="99"/>
    <w:unhideWhenUsed/>
    <w:rsid w:val="007666b0"/>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584dcd"/>
    <w:pPr/>
    <w:rPr>
      <w:rFonts w:ascii="Tahoma" w:hAnsi="Tahoma" w:cs="Tahoma"/>
      <w:sz w:val="16"/>
      <w:szCs w:val="16"/>
    </w:rPr>
  </w:style>
  <w:style w:type="paragraph" w:styleId="Style21" w:customStyle="1">
    <w:name w:val="Содержимое таблицы"/>
    <w:basedOn w:val="Normal"/>
    <w:qFormat/>
    <w:pPr>
      <w:suppressLineNumbers/>
    </w:pPr>
    <w:rPr/>
  </w:style>
  <w:style w:type="paragraph" w:styleId="user2" w:customStyle="1">
    <w:name w:val="Содержимое таблицы (user)"/>
    <w:basedOn w:val="Normal"/>
    <w:qFormat/>
    <w:pPr>
      <w:suppressLineNumbers/>
    </w:pPr>
    <w:rPr/>
  </w:style>
  <w:style w:type="paragraph" w:styleId="BodyTextIndent">
    <w:name w:val="Body Text Indent"/>
    <w:basedOn w:val="Normal"/>
    <w:pPr>
      <w:spacing w:before="0" w:after="120"/>
      <w:ind w:left="283"/>
    </w:pPr>
    <w:rPr/>
  </w:style>
  <w:style w:type="paragraph" w:styleId="NoSpacing">
    <w:name w:val="No Spacing"/>
    <w:qFormat/>
    <w:pPr>
      <w:widowControl/>
      <w:suppressAutoHyphens w:val="true"/>
      <w:bidi w:val="0"/>
      <w:spacing w:lineRule="atLeast" w:line="100" w:before="0" w:after="0"/>
      <w:jc w:val="left"/>
    </w:pPr>
    <w:rPr>
      <w:rFonts w:eastAsia="Noto Sans CJK SC" w:cs="Calibri" w:ascii="Calibri" w:hAnsi="Calibri" w:asciiTheme="minorHAnsi" w:hAnsiTheme="minorHAnsi"/>
      <w:color w:val="auto"/>
      <w:kern w:val="0"/>
      <w:sz w:val="22"/>
      <w:szCs w:val="22"/>
      <w:lang w:val="ru-RU" w:eastAsia="en-US" w:bidi="ar-SA"/>
    </w:rPr>
  </w:style>
  <w:style w:type="paragraph" w:styleId="Style22" w:customStyle="1">
    <w:name w:val="Вторстепенный"/>
    <w:basedOn w:val="Normal"/>
    <w:qFormat/>
    <w:pPr>
      <w:shd w:val="clear" w:color="auto" w:fill="FFFFFF"/>
    </w:pPr>
    <w:rPr>
      <w:b/>
      <w:bCs/>
      <w:color w:val="212121"/>
      <w:spacing w:val="2"/>
    </w:rPr>
  </w:style>
  <w:style w:type="paragraph" w:styleId="Style23" w:customStyle="1">
    <w:name w:val="Заголовок таблицы"/>
    <w:basedOn w:val="Style21"/>
    <w:qFormat/>
    <w:pPr>
      <w:jc w:val="center"/>
    </w:pPr>
    <w:rPr>
      <w:b/>
      <w:bCs/>
    </w:rPr>
  </w:style>
  <w:style w:type="paragraph" w:styleId="user3" w:customStyle="1">
    <w:name w:val="Заголовок таблицы (user)"/>
    <w:basedOn w:val="user2"/>
    <w:qFormat/>
    <w:pPr>
      <w:jc w:val="center"/>
    </w:pPr>
    <w:rPr>
      <w:b/>
      <w:bCs/>
    </w:rPr>
  </w:style>
  <w:style w:type="numbering" w:styleId="Style24" w:customStyle="1">
    <w:name w:val="Без списка"/>
    <w:uiPriority w:val="99"/>
    <w:semiHidden/>
    <w:unhideWhenUsed/>
    <w:qFormat/>
  </w:style>
  <w:style w:type="numbering" w:styleId="user4" w:customStyle="1">
    <w:name w:val="Без списка (user)"/>
    <w:uiPriority w:val="99"/>
    <w:semiHidden/>
    <w:unhideWhenUsed/>
    <w:qFormat/>
  </w:style>
  <w:style w:type="numbering" w:styleId="WW8Num2" w:customStyle="1">
    <w:name w:val="WW8Num2"/>
    <w:qFormat/>
  </w:style>
  <w:style w:type="numbering" w:styleId="WW8Num6" w:customStyle="1">
    <w:name w:val="WW8Num6"/>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a">
    <w:name w:val="Table Grid"/>
    <w:basedOn w:val="a2"/>
    <w:uiPriority w:val="59"/>
    <w:rsid w:val="00303b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32397-0AF5-45A8-A8F1-F9905D5D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Application>LibreOffice/26.2.3.2$Linux_X86_64 LibreOffice_project/d4d5ed47b6084125f28d269a5650105d54dde034</Application>
  <AppVersion>15.0000</AppVersion>
  <Pages>12</Pages>
  <Words>3731</Words>
  <Characters>26560</Characters>
  <CharactersWithSpaces>30722</CharactersWithSpaces>
  <Paragraphs>251</Paragraphs>
  <Company>РИАМЗ</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2025-03-05T11:45:00Z</dcterms:created>
  <dc:creator>А.С. Майборода</dc:creator>
  <dc:description/>
  <dc:language>ru-RU</dc:language>
  <cp:lastModifiedBy/>
  <cp:lastPrinted>2020-11-02T13:41:00Z</cp:lastPrinted>
  <dcterms:modified xsi:type="dcterms:W3CDTF">2026-06-23T12:08:59Z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