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F17FE">
      <w:pPr>
        <w:pStyle w:val="3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 № ______</w:t>
      </w:r>
    </w:p>
    <w:p w14:paraId="323A1EE2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проектора для нужд учебного центра подготовки спасателей поисково-спасательного отряда (с. Ракитное, Хабаровского муниципального района) </w:t>
      </w:r>
    </w:p>
    <w:p w14:paraId="572F085E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Главного управления МЧС России по Хабаровскому краю</w:t>
      </w:r>
    </w:p>
    <w:p w14:paraId="7440B9B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>ИКЗ 261272112070027230100100250000000000</w:t>
      </w:r>
    </w:p>
    <w:p w14:paraId="2D533F46">
      <w:pPr>
        <w:jc w:val="center"/>
        <w:rPr>
          <w:sz w:val="24"/>
          <w:szCs w:val="24"/>
        </w:rPr>
      </w:pPr>
      <w:r>
        <w:rPr>
          <w:sz w:val="24"/>
          <w:szCs w:val="24"/>
        </w:rPr>
        <w:t>КБК 17703101040190049244</w:t>
      </w:r>
    </w:p>
    <w:p w14:paraId="12C0CDAF">
      <w:pPr>
        <w:jc w:val="center"/>
        <w:rPr>
          <w:sz w:val="24"/>
          <w:szCs w:val="24"/>
        </w:rPr>
      </w:pPr>
    </w:p>
    <w:p w14:paraId="137520C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«____»__________2026 г.</w:t>
      </w:r>
    </w:p>
    <w:p w14:paraId="38260F7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6EAA724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заместителя Начальника Главного управления (по антикризисному управлению и антитеррористической деятельности) Суминского Дмитрия Анатольевича, действующего на основании Доверенности №255-131 от 05.12.2025 года, с одной стороны, и _________________________________, именуемое в дальнейшем «Поставщик»,  действующего на основании _____________________,  с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14:paraId="427F713A">
      <w:pPr>
        <w:pStyle w:val="12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14:paraId="0EB49EB4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14:paraId="526A397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14:paraId="297D35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в течение </w:t>
      </w:r>
      <w:r>
        <w:rPr>
          <w:rFonts w:hint="default"/>
          <w:sz w:val="24"/>
          <w:szCs w:val="24"/>
          <w:lang w:val="ru-RU"/>
        </w:rPr>
        <w:t>30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тридцати</w:t>
      </w:r>
      <w:r>
        <w:rPr>
          <w:sz w:val="24"/>
          <w:szCs w:val="24"/>
        </w:rPr>
        <w:t xml:space="preserve">) </w:t>
      </w:r>
      <w:r>
        <w:rPr>
          <w:sz w:val="24"/>
          <w:szCs w:val="24"/>
          <w:lang w:val="ru-RU"/>
        </w:rPr>
        <w:t>календарных</w:t>
      </w:r>
      <w:r>
        <w:rPr>
          <w:sz w:val="24"/>
          <w:szCs w:val="24"/>
        </w:rPr>
        <w:t xml:space="preserve"> дней от даты подписания контракта. </w:t>
      </w:r>
    </w:p>
    <w:p w14:paraId="16800C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5 (пяти) рабочих дней  со дня поставки  принять товар, либо предоставить мотивированный отказ. Сдача-приемка товара  производится  путем подписания </w:t>
      </w:r>
      <w:r>
        <w:rPr>
          <w:sz w:val="24"/>
          <w:szCs w:val="24"/>
          <w:lang w:val="ru-RU"/>
        </w:rPr>
        <w:t>документов</w:t>
      </w:r>
      <w:r>
        <w:rPr>
          <w:rFonts w:hint="default"/>
          <w:sz w:val="24"/>
          <w:szCs w:val="24"/>
          <w:lang w:val="ru-RU"/>
        </w:rPr>
        <w:t xml:space="preserve"> о приемке (</w:t>
      </w:r>
      <w:r>
        <w:rPr>
          <w:sz w:val="24"/>
          <w:szCs w:val="24"/>
        </w:rPr>
        <w:t>акта приема-передачи (товарной накладной), счета и/или счета-фактуры</w:t>
      </w:r>
      <w:r>
        <w:rPr>
          <w:rFonts w:hint="default"/>
          <w:sz w:val="24"/>
          <w:szCs w:val="24"/>
          <w:lang w:val="ru-RU"/>
        </w:rPr>
        <w:t xml:space="preserve"> и  т.д.)</w:t>
      </w:r>
      <w:r>
        <w:rPr>
          <w:sz w:val="24"/>
          <w:szCs w:val="24"/>
        </w:rPr>
        <w:t xml:space="preserve"> полномочными представителями обеих сторон.</w:t>
      </w:r>
      <w:r>
        <w:rPr>
          <w:rFonts w:hint="default"/>
          <w:sz w:val="24"/>
          <w:szCs w:val="24"/>
          <w:lang w:val="ru-RU"/>
        </w:rPr>
        <w:t xml:space="preserve"> По факту поставки товара документы о приемке направляются Заказчику в течение 3 (трех) календарных дней.</w:t>
      </w:r>
    </w:p>
    <w:p w14:paraId="11BF16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контракт вступает в силу с момента подписания и действует до 3</w:t>
      </w:r>
      <w:r>
        <w:rPr>
          <w:rFonts w:hint="default"/>
          <w:sz w:val="24"/>
          <w:szCs w:val="24"/>
          <w:lang w:val="ru-RU"/>
        </w:rPr>
        <w:t>0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>.2026 г.</w:t>
      </w:r>
    </w:p>
    <w:p w14:paraId="24AE58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14:paraId="7E667EC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_______ (Сумма прописью) рублей ____ копеек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b/>
          <w:i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НДС не облагается/ в том числе НДС __ %).</w:t>
      </w:r>
    </w:p>
    <w:p w14:paraId="228B96F1">
      <w:pPr>
        <w:ind w:firstLine="720"/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3.2.  Цена контракта является твердой и не изменяется на весь срок действия контракта.</w:t>
      </w:r>
    </w:p>
    <w:p w14:paraId="1B33BF4A">
      <w:pPr>
        <w:pStyle w:val="12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14:paraId="25B12398">
      <w:pPr>
        <w:pStyle w:val="12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14:paraId="19B1B285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14:paraId="07F82B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14:paraId="09101FB2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4.2. 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</w:p>
    <w:p w14:paraId="74970D4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14:paraId="4742CB9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14:paraId="377B8A4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14:paraId="2679B7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14:paraId="6474A4D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14:paraId="5D7FE20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14:paraId="7F9C764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</w:p>
    <w:p w14:paraId="204E87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14:paraId="3AC5C3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контракт вступает в силу с момента его подписания и действует до полного исполнения Сторонами всех обязательств по настоящему контракту.</w:t>
      </w:r>
    </w:p>
    <w:p w14:paraId="039F4F8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14:paraId="416D0F7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14:paraId="3E109E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14:paraId="12EF60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14:paraId="27688EA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</w:p>
    <w:p w14:paraId="30C889F5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14:paraId="4758C313">
      <w:pPr>
        <w:jc w:val="center"/>
        <w:rPr>
          <w:sz w:val="24"/>
          <w:szCs w:val="24"/>
        </w:rPr>
      </w:pPr>
    </w:p>
    <w:tbl>
      <w:tblPr>
        <w:tblStyle w:val="1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0"/>
        <w:gridCol w:w="5141"/>
      </w:tblGrid>
      <w:tr w14:paraId="656E0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0" w:type="dxa"/>
          </w:tcPr>
          <w:p w14:paraId="7796005C">
            <w:pPr>
              <w:pStyle w:val="12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14:paraId="2D2D0A0D">
            <w:pPr>
              <w:pStyle w:val="12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  <w:p w14:paraId="55988765">
            <w:pPr>
              <w:pStyle w:val="12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  <w:p w14:paraId="037F4F76">
            <w:pPr>
              <w:pStyle w:val="12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</w:tc>
        <w:tc>
          <w:tcPr>
            <w:tcW w:w="5141" w:type="dxa"/>
          </w:tcPr>
          <w:p w14:paraId="25C4F013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14:paraId="65FEE6F4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14:paraId="3A90DE40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14:paraId="0C0F0EE2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 680003, Хабаровский край г. Хабаровск, ул. Союзная 3а.</w:t>
            </w:r>
          </w:p>
          <w:p w14:paraId="0272F1D4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14:paraId="6E3A5A30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Хабаровск, ул. Союзная, 3а.</w:t>
            </w:r>
          </w:p>
          <w:p w14:paraId="5F812972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(4212) 97-12-39, 97-29-79;</w:t>
            </w:r>
          </w:p>
          <w:p w14:paraId="7495F28A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14:paraId="6AF7DB2D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14:paraId="62EB976B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14:paraId="017CFC7F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 1 ДГУ Банка России//УФК по Приморскому краю, г. Владивосток, </w:t>
            </w:r>
          </w:p>
          <w:p w14:paraId="11EFA2BF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14:paraId="138D7A7B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14:paraId="17A42D5A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010507002 ОКТМО 08701000</w:t>
            </w:r>
          </w:p>
          <w:p w14:paraId="32145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67BBB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140" w:type="dxa"/>
          </w:tcPr>
          <w:p w14:paraId="23811517">
            <w:pPr>
              <w:rPr>
                <w:b/>
                <w:sz w:val="24"/>
                <w:szCs w:val="24"/>
              </w:rPr>
            </w:pPr>
          </w:p>
          <w:p w14:paraId="09FDF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_________________/________</w:t>
            </w:r>
          </w:p>
        </w:tc>
        <w:tc>
          <w:tcPr>
            <w:tcW w:w="5141" w:type="dxa"/>
          </w:tcPr>
          <w:p w14:paraId="3BF404B5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14:paraId="24F2DB06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_______________/Д. А. Суминский</w:t>
            </w:r>
          </w:p>
        </w:tc>
      </w:tr>
    </w:tbl>
    <w:p w14:paraId="76439025">
      <w:pPr>
        <w:spacing w:after="200" w:line="276" w:lineRule="auto"/>
        <w:contextualSpacing/>
        <w:jc w:val="right"/>
        <w:rPr>
          <w:sz w:val="24"/>
          <w:szCs w:val="24"/>
        </w:rPr>
      </w:pPr>
    </w:p>
    <w:p w14:paraId="7F2EEF4E">
      <w:pPr>
        <w:spacing w:after="200" w:line="276" w:lineRule="auto"/>
        <w:contextualSpacing/>
        <w:jc w:val="right"/>
        <w:rPr>
          <w:sz w:val="24"/>
          <w:szCs w:val="24"/>
        </w:rPr>
      </w:pPr>
    </w:p>
    <w:p w14:paraId="506A573E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515D95C4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14:paraId="451B0363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 г.</w:t>
      </w:r>
    </w:p>
    <w:p w14:paraId="23404D76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58E7CD91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проектора для нужд учебного центра подготовки спасателей поисково-спасательного отряда (с. Ракитное, Хабаровского муниципального района) </w:t>
      </w:r>
    </w:p>
    <w:p w14:paraId="0E6F3A5B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Главного управления МЧС России по Хабаровскому краю</w:t>
      </w:r>
    </w:p>
    <w:p w14:paraId="5C04FE67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AEB33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и количество поставляемого товара</w:t>
      </w:r>
    </w:p>
    <w:p w14:paraId="36C3C346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1010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883"/>
        <w:gridCol w:w="1276"/>
        <w:gridCol w:w="1109"/>
      </w:tblGrid>
      <w:tr w14:paraId="2F06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auto"/>
          </w:tcPr>
          <w:p w14:paraId="3D811F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333333"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color w:val="333333"/>
                <w:lang w:eastAsia="ru-RU"/>
              </w:rPr>
              <w:t>Товар</w:t>
            </w:r>
          </w:p>
        </w:tc>
        <w:tc>
          <w:tcPr>
            <w:tcW w:w="4883" w:type="dxa"/>
            <w:shd w:val="clear" w:color="auto" w:fill="auto"/>
          </w:tcPr>
          <w:p w14:paraId="7EB24F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color w:val="333333"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color w:val="333333"/>
                <w:lang w:eastAsia="ru-RU"/>
              </w:rPr>
              <w:t>Характеристика</w:t>
            </w:r>
          </w:p>
        </w:tc>
        <w:tc>
          <w:tcPr>
            <w:tcW w:w="1276" w:type="dxa"/>
            <w:shd w:val="clear" w:color="auto" w:fill="auto"/>
          </w:tcPr>
          <w:p w14:paraId="03A287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Кол-во (шт.)</w:t>
            </w:r>
          </w:p>
        </w:tc>
        <w:tc>
          <w:tcPr>
            <w:tcW w:w="1109" w:type="dxa"/>
            <w:shd w:val="clear" w:color="auto" w:fill="auto"/>
          </w:tcPr>
          <w:p w14:paraId="02AD4D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Цена за ед.</w:t>
            </w:r>
          </w:p>
        </w:tc>
      </w:tr>
      <w:tr w14:paraId="790F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auto"/>
          </w:tcPr>
          <w:p w14:paraId="1EC79A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Проектор</w:t>
            </w:r>
          </w:p>
        </w:tc>
        <w:tc>
          <w:tcPr>
            <w:tcW w:w="4883" w:type="dxa"/>
            <w:shd w:val="clear" w:color="auto" w:fill="auto"/>
          </w:tcPr>
          <w:p w14:paraId="2CDF20F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Calibri" w:cs="Times New Roman"/>
                <w:iCs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Проекция</w:t>
            </w:r>
            <w:r>
              <w:rPr>
                <w:rFonts w:hint="default" w:eastAsia="Calibri" w:cs="Times New Roman"/>
                <w:iCs/>
                <w:lang w:val="en-US" w:eastAsia="ru-RU"/>
              </w:rPr>
              <w:t xml:space="preserve"> </w:t>
            </w:r>
          </w:p>
          <w:p w14:paraId="60DCFF1E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Технология - DLP</w:t>
            </w:r>
          </w:p>
          <w:p w14:paraId="55B64793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Матрица</w:t>
            </w:r>
          </w:p>
          <w:p w14:paraId="10B06E3C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Тип матрицы -  DMD</w:t>
            </w:r>
          </w:p>
          <w:p w14:paraId="39CF0972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Диагональ матрицы -  не менее 0.65 "</w:t>
            </w:r>
          </w:p>
          <w:p w14:paraId="276D3C2F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Кол-во матриц - 1</w:t>
            </w:r>
          </w:p>
          <w:p w14:paraId="43562D8E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Лампа</w:t>
            </w:r>
          </w:p>
          <w:p w14:paraId="1CF6BD25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Яркость -  не менее 5000 lm</w:t>
            </w:r>
          </w:p>
          <w:p w14:paraId="06E222CF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Мощность лампы  - 200 Вт</w:t>
            </w:r>
          </w:p>
          <w:p w14:paraId="1ADC8243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Кол-во ламп – не менее 1</w:t>
            </w:r>
          </w:p>
          <w:p w14:paraId="7FBFF84B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Ориентировочный срок службы лампы – не менее 6000 ч</w:t>
            </w:r>
          </w:p>
          <w:p w14:paraId="449BB73E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Экран</w:t>
            </w:r>
          </w:p>
          <w:p w14:paraId="5588D2BA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Контраст  - 20000:1</w:t>
            </w:r>
          </w:p>
          <w:p w14:paraId="5C80C956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Рабочий формат - 16:10</w:t>
            </w:r>
          </w:p>
          <w:p w14:paraId="4451DB61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Диагональ экрана  - 60-150"</w:t>
            </w:r>
          </w:p>
          <w:p w14:paraId="7A88E9F9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Разрешение - 1280 x 800</w:t>
            </w:r>
          </w:p>
          <w:p w14:paraId="7C32BF75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Минимальное поддерживаемое разрешение - 640 x 480</w:t>
            </w:r>
          </w:p>
          <w:p w14:paraId="4A2D80FF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Максимальное поддерживаемое разрешение - 1920 x 1080</w:t>
            </w:r>
          </w:p>
          <w:p w14:paraId="20DC8247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Тип коррекции трапецеидальных искажений - вертикальная</w:t>
            </w:r>
          </w:p>
          <w:p w14:paraId="0F866AD6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Коррекция вертикальных трапецеидальных искажений - -40 /+40 °</w:t>
            </w:r>
          </w:p>
          <w:p w14:paraId="1C95AE05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Объектив</w:t>
            </w:r>
          </w:p>
          <w:p w14:paraId="6B6F5181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Оптическое масштабирование (Zoom) - 1.1</w:t>
            </w:r>
          </w:p>
          <w:p w14:paraId="34CDF79D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Фокусное расстояние - 22 - 24.1 мм</w:t>
            </w:r>
          </w:p>
          <w:p w14:paraId="51BB9472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Диафрагма - f/2.56 - f/2.68</w:t>
            </w:r>
          </w:p>
          <w:p w14:paraId="5E429916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Проекционное расстояние - 2.003 - 5.492 м</w:t>
            </w:r>
          </w:p>
          <w:p w14:paraId="0D9EBF16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Проекционный коэффициент  1.55 - 1.7</w:t>
            </w:r>
          </w:p>
          <w:p w14:paraId="2D863EE3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Частота развертки</w:t>
            </w:r>
          </w:p>
          <w:p w14:paraId="5813ABD9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Частота горизонтальной развертки  15 - 102 кГц</w:t>
            </w:r>
          </w:p>
          <w:p w14:paraId="6E187456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Частота вертикальной развертки - 23 - 120 Гц</w:t>
            </w:r>
          </w:p>
          <w:p w14:paraId="65452628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Разьемы</w:t>
            </w:r>
          </w:p>
          <w:p w14:paraId="1C5D09E8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HDMI вход – не менее 2</w:t>
            </w:r>
          </w:p>
          <w:p w14:paraId="10253BCE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VGA (15-pin D-Sub) выход  - не менее  1</w:t>
            </w:r>
          </w:p>
          <w:p w14:paraId="714B85D7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VGA (15-pin D-Sub) вход – не менее 1</w:t>
            </w:r>
          </w:p>
          <w:p w14:paraId="0B318ADC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S-Video вход - не менее 1</w:t>
            </w:r>
          </w:p>
          <w:p w14:paraId="4BF80907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Композитный видеовход (RCA)  - не менее 1</w:t>
            </w:r>
          </w:p>
          <w:p w14:paraId="34A5F927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Стерео аудиовыход (MiniJack) - не менее 1</w:t>
            </w:r>
          </w:p>
          <w:p w14:paraId="27F3873D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Стерео аудиовход (MiniJack)  - не менее 1</w:t>
            </w:r>
          </w:p>
          <w:p w14:paraId="5FC2A4AF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USB Type A - не менее 1</w:t>
            </w:r>
          </w:p>
          <w:p w14:paraId="0BC264DB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USB mini-B - не менее 1</w:t>
            </w:r>
          </w:p>
          <w:p w14:paraId="11B9FA97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RS-2329-pin  - не менее 1</w:t>
            </w:r>
          </w:p>
          <w:p w14:paraId="754F2766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Питание</w:t>
            </w:r>
          </w:p>
          <w:p w14:paraId="6876236D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Потребляемая мощность - 280 Вт</w:t>
            </w:r>
          </w:p>
          <w:p w14:paraId="41AB1CB9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Потребляемое напряжение - 100-240В</w:t>
            </w:r>
          </w:p>
          <w:p w14:paraId="2F1DEA82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Звук</w:t>
            </w:r>
          </w:p>
          <w:p w14:paraId="68A3EF4B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Встроенные динамики - есть</w:t>
            </w:r>
          </w:p>
          <w:p w14:paraId="1353C760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Количество встроенных динамиков – не менее 1</w:t>
            </w:r>
          </w:p>
          <w:p w14:paraId="3C1B9249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Особенности</w:t>
            </w:r>
          </w:p>
          <w:p w14:paraId="18CCE132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Беспроводной ПДУ  - в комплекте</w:t>
            </w:r>
          </w:p>
          <w:p w14:paraId="378D79E7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Возможность по установке</w:t>
            </w:r>
          </w:p>
          <w:p w14:paraId="4F171F7E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Крепление к потолку</w:t>
            </w:r>
          </w:p>
          <w:p w14:paraId="66E51334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Назначение проектора - для офиса</w:t>
            </w:r>
          </w:p>
          <w:p w14:paraId="7F989576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Физические данные</w:t>
            </w:r>
          </w:p>
          <w:p w14:paraId="0190651D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iCs/>
                <w:lang w:eastAsia="ru-RU"/>
              </w:rPr>
            </w:pPr>
            <w:r>
              <w:rPr>
                <w:rFonts w:ascii="Times New Roman" w:hAnsi="Times New Roman" w:eastAsia="Calibri" w:cs="Times New Roman"/>
                <w:iCs/>
                <w:lang w:eastAsia="ru-RU"/>
              </w:rPr>
              <w:t>Вес товара – не долее 3 кг</w:t>
            </w:r>
          </w:p>
        </w:tc>
        <w:tc>
          <w:tcPr>
            <w:tcW w:w="1276" w:type="dxa"/>
            <w:shd w:val="clear" w:color="auto" w:fill="auto"/>
          </w:tcPr>
          <w:p w14:paraId="11F8C3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09" w:type="dxa"/>
            <w:shd w:val="clear" w:color="auto" w:fill="auto"/>
          </w:tcPr>
          <w:p w14:paraId="126E5C2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</w:p>
        </w:tc>
      </w:tr>
    </w:tbl>
    <w:p w14:paraId="355F844E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6CA93">
      <w:pPr>
        <w:pStyle w:val="23"/>
        <w:ind w:firstLine="709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поставки: </w:t>
      </w:r>
      <w:r>
        <w:rPr>
          <w:rFonts w:ascii="Times New Roman" w:hAnsi="Times New Roman" w:cs="Times New Roman"/>
          <w:sz w:val="24"/>
          <w:szCs w:val="24"/>
          <w:lang w:val="zh-CN"/>
        </w:rPr>
        <w:t>680505, с. Ракитное, Хабаровского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Хабаровского края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оисково-спасательн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 управления МЧС России по Хабаровскому краю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4A66102">
      <w:pPr>
        <w:pStyle w:val="23"/>
        <w:ind w:firstLine="709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Контактное лицо: Силкин Александр Викторович тел 89098732401</w:t>
      </w:r>
      <w:bookmarkStart w:id="0" w:name="_GoBack"/>
      <w:bookmarkEnd w:id="0"/>
    </w:p>
    <w:p w14:paraId="3568B5FA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поставки: в течение 30 </w:t>
      </w:r>
      <w:r>
        <w:rPr>
          <w:rFonts w:ascii="Times New Roman" w:hAnsi="Times New Roman" w:cs="Times New Roman"/>
          <w:sz w:val="24"/>
          <w:szCs w:val="24"/>
          <w:lang w:val="ru-RU"/>
        </w:rPr>
        <w:t>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заключения контракта.</w:t>
      </w:r>
    </w:p>
    <w:p w14:paraId="18B22CD5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Поставленный проектор должен быть новым, рекомендованным заводом-изготовителем и отвечать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</w:t>
      </w:r>
    </w:p>
    <w:p w14:paraId="2C180D59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Товара должно соответствовать требованиям настоящего технического задания, действующим государственным стандартам, техническим требованиям, паспортным данным, медико-биологическим и санитарным нормам, установленным на данные виды продукции в Российской Федерации. Упаковка и маркировка должны соответствовать ГОСТу или ТУ и Спецификации.</w:t>
      </w:r>
    </w:p>
    <w:p w14:paraId="651E6569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40792701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уплату таможенных пошлин, налогов, сборов и другие обязательные платежи, связанные с исполнением Контракта.</w:t>
      </w:r>
    </w:p>
    <w:p w14:paraId="334AFC26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Упаковка Товара в соответствии с требованиями ГОСТ, ТУ, обеспечивающая целостность и сохранность Товара от всякого рода повреждений при транспортировке всеми видами транспорта.</w:t>
      </w:r>
    </w:p>
    <w:p w14:paraId="4C642C8D">
      <w:pPr>
        <w:pStyle w:val="2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28CD7E">
      <w:pPr>
        <w:pStyle w:val="2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5"/>
        <w:tblW w:w="103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9"/>
        <w:gridCol w:w="5170"/>
      </w:tblGrid>
      <w:tr w14:paraId="10BA2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5169" w:type="dxa"/>
          </w:tcPr>
          <w:p w14:paraId="3935F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14:paraId="086D182A">
            <w:pPr>
              <w:rPr>
                <w:b/>
                <w:sz w:val="24"/>
                <w:szCs w:val="24"/>
              </w:rPr>
            </w:pPr>
          </w:p>
          <w:p w14:paraId="2B795145">
            <w:pPr>
              <w:rPr>
                <w:b/>
                <w:sz w:val="24"/>
                <w:szCs w:val="24"/>
              </w:rPr>
            </w:pPr>
          </w:p>
          <w:p w14:paraId="33AE906F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</w:t>
            </w:r>
          </w:p>
        </w:tc>
        <w:tc>
          <w:tcPr>
            <w:tcW w:w="5170" w:type="dxa"/>
          </w:tcPr>
          <w:p w14:paraId="156D0228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14:paraId="403B066D">
            <w:pPr>
              <w:ind w:left="105"/>
              <w:rPr>
                <w:b/>
                <w:sz w:val="24"/>
                <w:szCs w:val="24"/>
              </w:rPr>
            </w:pPr>
          </w:p>
          <w:p w14:paraId="089ECDE5">
            <w:pPr>
              <w:ind w:left="105"/>
              <w:rPr>
                <w:b/>
                <w:sz w:val="24"/>
                <w:szCs w:val="24"/>
              </w:rPr>
            </w:pPr>
          </w:p>
          <w:p w14:paraId="7F4DA7E0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 Д. А. Суминский</w:t>
            </w:r>
          </w:p>
        </w:tc>
      </w:tr>
    </w:tbl>
    <w:p w14:paraId="6DAEB09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D7162E4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14:paraId="47E9252D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14:paraId="3A8A859B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 г.</w:t>
      </w:r>
    </w:p>
    <w:p w14:paraId="52C7D2F8">
      <w:pPr>
        <w:jc w:val="center"/>
        <w:rPr>
          <w:b/>
          <w:sz w:val="26"/>
          <w:szCs w:val="26"/>
        </w:rPr>
      </w:pPr>
    </w:p>
    <w:p w14:paraId="7D4075C7">
      <w:pPr>
        <w:jc w:val="center"/>
        <w:rPr>
          <w:b/>
          <w:sz w:val="26"/>
          <w:szCs w:val="26"/>
        </w:rPr>
      </w:pPr>
    </w:p>
    <w:p w14:paraId="7E22CC54">
      <w:pPr>
        <w:jc w:val="center"/>
        <w:rPr>
          <w:b/>
          <w:sz w:val="26"/>
          <w:szCs w:val="26"/>
        </w:rPr>
      </w:pPr>
    </w:p>
    <w:p w14:paraId="2A3F4C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tbl>
      <w:tblPr>
        <w:tblStyle w:val="14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260"/>
        <w:gridCol w:w="1304"/>
        <w:gridCol w:w="827"/>
        <w:gridCol w:w="1204"/>
        <w:gridCol w:w="7"/>
        <w:gridCol w:w="1323"/>
        <w:gridCol w:w="1822"/>
      </w:tblGrid>
      <w:tr w14:paraId="57587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568" w:type="dxa"/>
            <w:vAlign w:val="center"/>
          </w:tcPr>
          <w:p w14:paraId="60F20ED2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vAlign w:val="center"/>
          </w:tcPr>
          <w:p w14:paraId="6881953A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14:paraId="6D4C70FD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14:paraId="50C302BA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4" w:type="dxa"/>
            <w:vAlign w:val="center"/>
          </w:tcPr>
          <w:p w14:paraId="5D4718AC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330" w:type="dxa"/>
            <w:gridSpan w:val="2"/>
            <w:vAlign w:val="center"/>
          </w:tcPr>
          <w:p w14:paraId="12202E60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14:paraId="052527E2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14:paraId="24BF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8" w:type="dxa"/>
            <w:vAlign w:val="center"/>
          </w:tcPr>
          <w:p w14:paraId="40BFE108">
            <w:pPr>
              <w:pStyle w:val="39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449D11">
            <w:pPr>
              <w:pStyle w:val="23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Проектор</w:t>
            </w:r>
          </w:p>
        </w:tc>
        <w:tc>
          <w:tcPr>
            <w:tcW w:w="1304" w:type="dxa"/>
            <w:vAlign w:val="center"/>
          </w:tcPr>
          <w:p w14:paraId="14EC32F1">
            <w:pPr>
              <w:pStyle w:val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14:paraId="6B81AC16">
            <w:pPr>
              <w:pStyle w:val="23"/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04" w:type="dxa"/>
            <w:vAlign w:val="center"/>
          </w:tcPr>
          <w:p w14:paraId="3F9316A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B867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03A616D4">
            <w:pPr>
              <w:jc w:val="center"/>
              <w:rPr>
                <w:sz w:val="24"/>
                <w:szCs w:val="24"/>
              </w:rPr>
            </w:pPr>
          </w:p>
        </w:tc>
      </w:tr>
      <w:tr w14:paraId="18AE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68" w:type="dxa"/>
            <w:vAlign w:val="center"/>
          </w:tcPr>
          <w:p w14:paraId="28058592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6922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1CFD20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  <w:p w14:paraId="0168BF34">
            <w:pPr>
              <w:pStyle w:val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7520E18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14:paraId="2AFE4319">
            <w:pPr>
              <w:pStyle w:val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</w:tcPr>
          <w:p w14:paraId="6AB6A9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0FAF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14:paraId="26AF5A2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D2EAC3">
      <w:pPr>
        <w:jc w:val="center"/>
        <w:rPr>
          <w:b/>
          <w:sz w:val="24"/>
          <w:szCs w:val="24"/>
        </w:rPr>
      </w:pPr>
    </w:p>
    <w:p w14:paraId="1238C361">
      <w:pPr>
        <w:jc w:val="center"/>
        <w:rPr>
          <w:b/>
          <w:sz w:val="24"/>
          <w:szCs w:val="24"/>
        </w:rPr>
      </w:pPr>
    </w:p>
    <w:p w14:paraId="571E2F0E">
      <w:pPr>
        <w:jc w:val="center"/>
        <w:rPr>
          <w:b/>
          <w:sz w:val="24"/>
          <w:szCs w:val="24"/>
        </w:rPr>
      </w:pPr>
    </w:p>
    <w:p w14:paraId="49CD9AB7">
      <w:pPr>
        <w:jc w:val="center"/>
        <w:rPr>
          <w:b/>
          <w:sz w:val="24"/>
          <w:szCs w:val="24"/>
        </w:rPr>
      </w:pPr>
    </w:p>
    <w:p w14:paraId="717FD656">
      <w:pPr>
        <w:pStyle w:val="23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103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9"/>
        <w:gridCol w:w="5170"/>
      </w:tblGrid>
      <w:tr w14:paraId="3E10D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5169" w:type="dxa"/>
          </w:tcPr>
          <w:p w14:paraId="18071A68">
            <w:pPr>
              <w:rPr>
                <w:b/>
                <w:sz w:val="24"/>
                <w:szCs w:val="24"/>
              </w:rPr>
            </w:pPr>
          </w:p>
          <w:p w14:paraId="6D3F31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14:paraId="5200B584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14:paraId="39F78EA3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14:paraId="45263827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14:paraId="3717265B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_____________</w:t>
            </w:r>
          </w:p>
        </w:tc>
        <w:tc>
          <w:tcPr>
            <w:tcW w:w="5170" w:type="dxa"/>
          </w:tcPr>
          <w:p w14:paraId="06BE08C8">
            <w:pPr>
              <w:ind w:left="105"/>
              <w:rPr>
                <w:b/>
                <w:sz w:val="24"/>
                <w:szCs w:val="24"/>
              </w:rPr>
            </w:pPr>
          </w:p>
          <w:p w14:paraId="7E847F2F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14:paraId="086F1CA3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14:paraId="35802CFB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14:paraId="445F3447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14:paraId="086E8038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 Д. А. Суминский</w:t>
            </w:r>
          </w:p>
          <w:p w14:paraId="2E9F7094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14:paraId="778EE65F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>
      <w:pgSz w:w="11906" w:h="16838"/>
      <w:pgMar w:top="567" w:right="707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1F1C54"/>
    <w:rsid w:val="0021409E"/>
    <w:rsid w:val="00217DB6"/>
    <w:rsid w:val="00224A5A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4E8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41952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5235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1044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55E5"/>
    <w:rsid w:val="00995E0A"/>
    <w:rsid w:val="00997122"/>
    <w:rsid w:val="009A36D4"/>
    <w:rsid w:val="009A6807"/>
    <w:rsid w:val="009B1BA0"/>
    <w:rsid w:val="009D32FF"/>
    <w:rsid w:val="009D68E8"/>
    <w:rsid w:val="009E1A36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E5AE2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5229B"/>
    <w:rsid w:val="00B57D10"/>
    <w:rsid w:val="00B6073F"/>
    <w:rsid w:val="00B64F47"/>
    <w:rsid w:val="00B7219E"/>
    <w:rsid w:val="00B76DF4"/>
    <w:rsid w:val="00B77D07"/>
    <w:rsid w:val="00B852FB"/>
    <w:rsid w:val="00B8634D"/>
    <w:rsid w:val="00B915B8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96313"/>
    <w:rsid w:val="00C973CA"/>
    <w:rsid w:val="00C97D48"/>
    <w:rsid w:val="00CC11FD"/>
    <w:rsid w:val="00CC60E1"/>
    <w:rsid w:val="00CD10DE"/>
    <w:rsid w:val="00CD2DC7"/>
    <w:rsid w:val="00CD4BA4"/>
    <w:rsid w:val="00CD4EAB"/>
    <w:rsid w:val="00CD55F9"/>
    <w:rsid w:val="00CD62C5"/>
    <w:rsid w:val="00CE0ABF"/>
    <w:rsid w:val="00CE5467"/>
    <w:rsid w:val="00CF176C"/>
    <w:rsid w:val="00CF7E7B"/>
    <w:rsid w:val="00D06456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6210D"/>
    <w:rsid w:val="00E80A51"/>
    <w:rsid w:val="00E8471C"/>
    <w:rsid w:val="00E91235"/>
    <w:rsid w:val="00E93809"/>
    <w:rsid w:val="00EA3BE5"/>
    <w:rsid w:val="00EA5AF8"/>
    <w:rsid w:val="00EB45F5"/>
    <w:rsid w:val="00EB4865"/>
    <w:rsid w:val="00EB641E"/>
    <w:rsid w:val="00EB7D3B"/>
    <w:rsid w:val="00EC7852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6525"/>
    <w:rsid w:val="00FA29FD"/>
    <w:rsid w:val="00FA60AC"/>
    <w:rsid w:val="00FB2F58"/>
    <w:rsid w:val="00FB7EAC"/>
    <w:rsid w:val="00FC58CD"/>
    <w:rsid w:val="00FD1955"/>
    <w:rsid w:val="00FD73BA"/>
    <w:rsid w:val="00FF5499"/>
    <w:rsid w:val="04B66CBA"/>
    <w:rsid w:val="2021675D"/>
    <w:rsid w:val="21101CFD"/>
    <w:rsid w:val="265D266E"/>
    <w:rsid w:val="4B9601CD"/>
    <w:rsid w:val="6CEE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link w:val="30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32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 2"/>
    <w:basedOn w:val="1"/>
    <w:link w:val="21"/>
    <w:semiHidden/>
    <w:unhideWhenUsed/>
    <w:qFormat/>
    <w:uiPriority w:val="99"/>
    <w:pPr>
      <w:spacing w:after="120" w:line="480" w:lineRule="auto"/>
    </w:pPr>
  </w:style>
  <w:style w:type="paragraph" w:styleId="9">
    <w:name w:val="Plain Text"/>
    <w:basedOn w:val="1"/>
    <w:link w:val="16"/>
    <w:unhideWhenUsed/>
    <w:qFormat/>
    <w:uiPriority w:val="99"/>
    <w:rPr>
      <w:rFonts w:ascii="Consolas" w:hAnsi="Consolas"/>
      <w:sz w:val="21"/>
      <w:szCs w:val="21"/>
    </w:rPr>
  </w:style>
  <w:style w:type="paragraph" w:styleId="10">
    <w:name w:val="header"/>
    <w:basedOn w:val="1"/>
    <w:link w:val="25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12">
    <w:name w:val="Body Text Indent"/>
    <w:basedOn w:val="1"/>
    <w:link w:val="15"/>
    <w:qFormat/>
    <w:uiPriority w:val="0"/>
    <w:pPr>
      <w:spacing w:after="120"/>
      <w:ind w:firstLine="851"/>
      <w:jc w:val="both"/>
    </w:pPr>
    <w:rPr>
      <w:sz w:val="24"/>
    </w:rPr>
  </w:style>
  <w:style w:type="paragraph" w:styleId="13">
    <w:name w:val="footer"/>
    <w:basedOn w:val="1"/>
    <w:link w:val="26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14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Основной текст с отступом Знак"/>
    <w:basedOn w:val="4"/>
    <w:link w:val="12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16">
    <w:name w:val="Текст Знак"/>
    <w:basedOn w:val="4"/>
    <w:link w:val="9"/>
    <w:qFormat/>
    <w:uiPriority w:val="99"/>
    <w:rPr>
      <w:rFonts w:ascii="Consolas" w:hAnsi="Consolas" w:eastAsia="Times New Roman" w:cs="Times New Roman"/>
      <w:sz w:val="21"/>
      <w:szCs w:val="21"/>
      <w:lang w:eastAsia="ru-RU"/>
    </w:rPr>
  </w:style>
  <w:style w:type="character" w:customStyle="1" w:styleId="17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8">
    <w:name w:val="List Paragraph"/>
    <w:basedOn w:val="1"/>
    <w:qFormat/>
    <w:uiPriority w:val="34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19">
    <w:name w:val="ConsPlusNormal Знак"/>
    <w:link w:val="20"/>
    <w:qFormat/>
    <w:locked/>
    <w:uiPriority w:val="0"/>
    <w:rPr>
      <w:rFonts w:ascii="Arial" w:hAnsi="Arial" w:cs="Arial"/>
    </w:rPr>
  </w:style>
  <w:style w:type="paragraph" w:customStyle="1" w:styleId="20">
    <w:name w:val="ConsPlusNormal"/>
    <w:link w:val="19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cs="Arial" w:eastAsiaTheme="minorHAnsi"/>
      <w:sz w:val="22"/>
      <w:szCs w:val="22"/>
      <w:lang w:val="ru-RU" w:eastAsia="en-US" w:bidi="ar-SA"/>
    </w:rPr>
  </w:style>
  <w:style w:type="character" w:customStyle="1" w:styleId="21">
    <w:name w:val="Основной текст 2 Знак"/>
    <w:basedOn w:val="4"/>
    <w:link w:val="8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2">
    <w:name w:val="Основной текст Знак"/>
    <w:basedOn w:val="4"/>
    <w:link w:val="11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3">
    <w:name w:val="No Spacing"/>
    <w:link w:val="29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table" w:customStyle="1" w:styleId="24">
    <w:name w:val="Сетка таблицы1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Верхний колонтитул Знак"/>
    <w:basedOn w:val="4"/>
    <w:link w:val="10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6">
    <w:name w:val="Нижний колонтитул Знак"/>
    <w:basedOn w:val="4"/>
    <w:link w:val="13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7">
    <w:name w:val="Абзац списка1"/>
    <w:basedOn w:val="1"/>
    <w:qFormat/>
    <w:uiPriority w:val="0"/>
    <w:pPr>
      <w:ind w:left="720"/>
    </w:pPr>
    <w:rPr>
      <w:sz w:val="24"/>
      <w:szCs w:val="24"/>
    </w:rPr>
  </w:style>
  <w:style w:type="paragraph" w:customStyle="1" w:styleId="28">
    <w:name w:val="Без интервала1"/>
    <w:qFormat/>
    <w:uiPriority w:val="0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29">
    <w:name w:val="Без интервала Знак"/>
    <w:link w:val="23"/>
    <w:qFormat/>
    <w:locked/>
    <w:uiPriority w:val="99"/>
  </w:style>
  <w:style w:type="character" w:customStyle="1" w:styleId="30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inplace"/>
    <w:basedOn w:val="4"/>
    <w:qFormat/>
    <w:uiPriority w:val="0"/>
  </w:style>
  <w:style w:type="character" w:customStyle="1" w:styleId="32">
    <w:name w:val="Заголовок 3 Знак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0"/>
      <w:szCs w:val="20"/>
      <w:lang w:eastAsia="ru-RU"/>
      <w14:textFill>
        <w14:solidFill>
          <w14:schemeClr w14:val="accent1"/>
        </w14:solidFill>
      </w14:textFill>
    </w:rPr>
  </w:style>
  <w:style w:type="table" w:customStyle="1" w:styleId="33">
    <w:name w:val="Сетка таблицы2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Сетка таблицы3"/>
    <w:basedOn w:val="5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5">
    <w:name w:val="Содержимое таблицы"/>
    <w:basedOn w:val="1"/>
    <w:qFormat/>
    <w:uiPriority w:val="0"/>
    <w:pPr>
      <w:suppressLineNumbers/>
      <w:suppressAutoHyphens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36">
    <w:name w:val="Основной текст (40)_"/>
    <w:basedOn w:val="4"/>
    <w:link w:val="37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37">
    <w:name w:val="Основной текст (40)"/>
    <w:basedOn w:val="1"/>
    <w:link w:val="36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38">
    <w:name w:val="Основной текст (40) + Garamond;13 pt;Полужирный"/>
    <w:basedOn w:val="36"/>
    <w:qFormat/>
    <w:uiPriority w:val="0"/>
    <w:rPr>
      <w:rFonts w:ascii="Garamond" w:hAnsi="Garamond" w:eastAsia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9">
    <w:name w:val="Содержимое таблицы (user)"/>
    <w:basedOn w:val="1"/>
    <w:qFormat/>
    <w:uiPriority w:val="0"/>
    <w:pPr>
      <w:suppressLineNumbers/>
      <w:suppressAutoHyphens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customStyle="1" w:styleId="4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2">
    <w:name w:val="Сетка таблицы4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3">
    <w:name w:val="Standard"/>
    <w:qFormat/>
    <w:uiPriority w:val="0"/>
    <w:pPr>
      <w:suppressAutoHyphens/>
      <w:autoSpaceDN w:val="0"/>
    </w:pPr>
    <w:rPr>
      <w:rFonts w:ascii="Times New Roman" w:hAnsi="Times New Roman" w:eastAsia="Times New Roman" w:cs="Times New Roman"/>
      <w:kern w:val="3"/>
      <w:sz w:val="24"/>
      <w:szCs w:val="24"/>
      <w:lang w:val="ru-RU" w:eastAsia="ru-RU" w:bidi="ar-SA"/>
    </w:rPr>
  </w:style>
  <w:style w:type="character" w:customStyle="1" w:styleId="44">
    <w:name w:val="Основной текст (2)_"/>
    <w:link w:val="45"/>
    <w:qFormat/>
    <w:locked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45">
    <w:name w:val="Основной текст (2)"/>
    <w:basedOn w:val="1"/>
    <w:link w:val="44"/>
    <w:qFormat/>
    <w:uiPriority w:val="0"/>
    <w:pPr>
      <w:widowControl w:val="0"/>
      <w:shd w:val="clear" w:color="auto" w:fill="FFFFFF"/>
      <w:spacing w:before="660" w:line="274" w:lineRule="exact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008A3-6F41-4200-A371-88C40F3046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1480</Words>
  <Characters>8437</Characters>
  <Lines>70</Lines>
  <Paragraphs>19</Paragraphs>
  <TotalTime>11</TotalTime>
  <ScaleCrop>false</ScaleCrop>
  <LinksUpToDate>false</LinksUpToDate>
  <CharactersWithSpaces>9898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2026-03-06T01:51:00Z</dcterms:created>
  <dc:creator>Наталья Соловьева</dc:creator>
  <cp:lastModifiedBy>yanchenko</cp:lastModifiedBy>
  <cp:lastPrinted>2024-09-27T07:49:00Z</cp:lastPrinted>
  <dcterms:modified xsi:type="dcterms:W3CDTF">2026-03-27T00:20:55Z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711B0FF729E6441F896E5CACA8C61AAC_12</vt:lpwstr>
  </property>
</Properties>
</file>