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7"/>
        <w:jc w:val="both"/>
        <w:tabs>
          <w:tab w:val="left" w:pos="720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27"/>
        <w:jc w:val="center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объекта закупки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7"/>
        <w:tabs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spacing w:after="60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yellow"/>
        </w:rPr>
        <w:outlineLvl w:val="0"/>
      </w:pPr>
      <w:r>
        <w:rPr>
          <w:b/>
          <w:sz w:val="28"/>
          <w:szCs w:val="28"/>
        </w:rPr>
        <w:t xml:space="preserve">Предмет:</w:t>
      </w:r>
      <w:r>
        <w:rPr>
          <w:sz w:val="28"/>
          <w:szCs w:val="28"/>
        </w:rPr>
        <w:t xml:space="preserve">  </w:t>
      </w:r>
      <w:r>
        <w:rPr>
          <w:bCs/>
          <w:i w:val="0"/>
          <w:iCs w:val="0"/>
          <w:sz w:val="28"/>
          <w:szCs w:val="28"/>
          <w:highlight w:val="none"/>
        </w:rPr>
        <w:t xml:space="preserve">Приобретение полисов обязательного страхования гражданской ответственности владельцев транспортных средств (ОСАГО)</w:t>
      </w:r>
      <w:r>
        <w:rPr>
          <w:bCs/>
          <w:i w:val="0"/>
          <w:iCs w:val="0"/>
          <w:sz w:val="28"/>
          <w:szCs w:val="28"/>
          <w:highlight w:val="none"/>
        </w:rPr>
        <w:t xml:space="preserve">.</w:t>
      </w:r>
      <w:r>
        <w:rPr>
          <w:bCs/>
          <w:i w:val="0"/>
          <w:iCs w:val="0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yellow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yellow"/>
        </w:rPr>
      </w:r>
    </w:p>
    <w:p>
      <w:pPr>
        <w:pStyle w:val="927"/>
        <w:jc w:val="both"/>
        <w:tabs>
          <w:tab w:val="left" w:pos="720" w:leader="none"/>
        </w:tabs>
        <w:rPr>
          <w:b w:val="0"/>
          <w:bCs w:val="0"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Код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ОКПД 2 (в соответствии  со сметой расходов Управления):</w:t>
      </w:r>
      <w:r>
        <w:rPr>
          <w:bCs/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  <w:t xml:space="preserve">65.12.90.000</w:t>
      </w:r>
      <w:r>
        <w:rPr>
          <w:bCs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white"/>
        </w:rPr>
      </w:r>
    </w:p>
    <w:p>
      <w:pPr>
        <w:pStyle w:val="927"/>
        <w:jc w:val="both"/>
        <w:tabs>
          <w:tab w:val="left" w:pos="720" w:leader="none"/>
        </w:tabs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Тип закупки: </w:t>
      </w:r>
      <w:r>
        <w:rPr>
          <w:sz w:val="28"/>
          <w:szCs w:val="28"/>
          <w:highlight w:val="white"/>
        </w:rPr>
        <w:t xml:space="preserve">Закупка до </w:t>
      </w:r>
      <w:r>
        <w:rPr>
          <w:sz w:val="28"/>
          <w:szCs w:val="28"/>
          <w:highlight w:val="white"/>
        </w:rPr>
        <w:t xml:space="preserve">6</w:t>
      </w:r>
      <w:r>
        <w:rPr>
          <w:sz w:val="28"/>
          <w:szCs w:val="28"/>
          <w:highlight w:val="white"/>
        </w:rPr>
        <w:t xml:space="preserve">00 т. руб. (п.4 ч.1 ст.93. ФЗ-44)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7"/>
        <w:jc w:val="both"/>
        <w:tabs>
          <w:tab w:val="left" w:pos="720" w:leader="none"/>
        </w:tabs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Вид оплаты: </w:t>
      </w:r>
      <w:r>
        <w:rPr>
          <w:sz w:val="28"/>
          <w:szCs w:val="28"/>
          <w:highlight w:val="white"/>
        </w:rPr>
        <w:t xml:space="preserve">Оплата по счету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927"/>
        <w:jc w:val="both"/>
        <w:tabs>
          <w:tab w:val="left" w:pos="720" w:leader="none"/>
        </w:tabs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Условия оплаты:</w:t>
      </w:r>
      <w:r>
        <w:rPr>
          <w:sz w:val="28"/>
          <w:szCs w:val="28"/>
          <w:highlight w:val="white"/>
        </w:rPr>
        <w:t xml:space="preserve"> В установленный срок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7"/>
        <w:jc w:val="both"/>
        <w:tabs>
          <w:tab w:val="left" w:pos="720" w:leader="none"/>
        </w:tabs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Срок оплаты: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в течение 7 рабочих дней с даты подписания документа о приемке.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Оплата производится из средств федерального бюджета в пределах бюджетных обязательств на 2026 финансовый год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7"/>
        <w:jc w:val="both"/>
        <w:tabs>
          <w:tab w:val="left" w:pos="720" w:leader="none"/>
        </w:tabs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Стартовая цена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left" w:pos="720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Максимальное значение цены контракта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  <w:t xml:space="preserve"> 6669,1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(шесть</w:t>
      </w:r>
      <w:r>
        <w:rPr>
          <w:sz w:val="28"/>
          <w:szCs w:val="28"/>
          <w:highlight w:val="white"/>
        </w:rPr>
        <w:t xml:space="preserve"> тысяч шестьсот шестьдесят девять</w:t>
      </w:r>
      <w:r>
        <w:rPr>
          <w:sz w:val="28"/>
          <w:szCs w:val="28"/>
          <w:highlight w:val="white"/>
        </w:rPr>
        <w:t xml:space="preserve">) рубл</w:t>
      </w:r>
      <w:r>
        <w:rPr>
          <w:sz w:val="28"/>
          <w:szCs w:val="28"/>
          <w:highlight w:val="white"/>
        </w:rPr>
        <w:t xml:space="preserve">ей </w:t>
      </w:r>
      <w:r>
        <w:rPr>
          <w:sz w:val="28"/>
          <w:szCs w:val="28"/>
          <w:highlight w:val="white"/>
        </w:rPr>
        <w:t xml:space="preserve">10</w:t>
      </w:r>
      <w:r>
        <w:rPr>
          <w:sz w:val="28"/>
          <w:szCs w:val="28"/>
          <w:highlight w:val="white"/>
        </w:rPr>
        <w:t xml:space="preserve"> копеек.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tabs>
          <w:tab w:val="left" w:pos="720" w:leader="none"/>
        </w:tabs>
        <w:rPr>
          <w:bCs/>
          <w:i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Формула цены:</w:t>
      </w:r>
      <w:r>
        <w:rPr>
          <w:sz w:val="28"/>
          <w:szCs w:val="28"/>
          <w:highlight w:val="none"/>
        </w:rPr>
        <w:t xml:space="preserve"> </w:t>
      </w:r>
      <w:r>
        <w:rPr>
          <w:i/>
          <w:iCs/>
          <w:sz w:val="28"/>
          <w:szCs w:val="28"/>
          <w:highlight w:val="none"/>
        </w:rPr>
        <w:t xml:space="preserve">Т</w:t>
      </w:r>
      <w:r>
        <w:rPr>
          <w:i/>
          <w:iCs/>
          <w:sz w:val="28"/>
          <w:szCs w:val="28"/>
          <w:highlight w:val="none"/>
        </w:rPr>
        <w:t xml:space="preserve">ранспортные средства категорий "B", "BE" - Т = ТБ х КТ x КБМ x КО x КМ x КC; Транспортные средства категорий "A", "M", "C", "CE", "D", "DE", "Tb", "Tm", тракторы, самоходные дорожно-строительные и иные машины - Т = ТБ х КТ x КБМ x КО x КC; где: Т - размер </w:t>
      </w:r>
      <w:r>
        <w:rPr>
          <w:i/>
          <w:iCs/>
          <w:sz w:val="28"/>
          <w:szCs w:val="28"/>
          <w:highlight w:val="none"/>
        </w:rPr>
        <w:t xml:space="preserve">с</w:t>
      </w:r>
      <w:r>
        <w:rPr>
          <w:i/>
          <w:iCs/>
          <w:sz w:val="28"/>
          <w:szCs w:val="28"/>
          <w:highlight w:val="none"/>
        </w:rPr>
        <w:t xml:space="preserve">траховой премии; ТБ - Базовая ставка страховых тарифов (их минимальные и максимальные значения); КБМ - Коэффициент страховых тарифов в зависимости от наличия или отсутствия страховых выплат при наступлении страховых случаев; КМ - Коэффициент страховых тари</w:t>
      </w:r>
      <w:r>
        <w:rPr>
          <w:i/>
          <w:iCs/>
          <w:sz w:val="28"/>
          <w:szCs w:val="28"/>
          <w:highlight w:val="none"/>
        </w:rPr>
        <w:t xml:space="preserve">ф</w:t>
      </w:r>
      <w:r>
        <w:rPr>
          <w:i/>
          <w:iCs/>
          <w:sz w:val="28"/>
          <w:szCs w:val="28"/>
          <w:highlight w:val="none"/>
        </w:rPr>
        <w:t xml:space="preserve">ов в зависимости от мощности двигателя легкового автомобиля; КО - Коэффициент страховых тарифов в зависимости от наличия сведений о количестве лиц, допущенных к управлению транспортным средством, принято 1,97 (договор не предусматривает ограничение); КТ - </w:t>
      </w:r>
      <w:r>
        <w:rPr>
          <w:i/>
          <w:iCs/>
          <w:sz w:val="28"/>
          <w:szCs w:val="28"/>
          <w:highlight w:val="none"/>
        </w:rPr>
        <w:t xml:space="preserve">К</w:t>
      </w:r>
      <w:r>
        <w:rPr>
          <w:i/>
          <w:iCs/>
          <w:sz w:val="28"/>
          <w:szCs w:val="28"/>
          <w:highlight w:val="none"/>
        </w:rPr>
        <w:t xml:space="preserve">оэффициент страховых тарифов в зависимости от территории преимущественного использования транспортного средства; КС - Коэффициент страховых тарифов в зависимости от периода использования транспортного средства, равен 1 (период использования 10 месяцев и бо</w:t>
      </w:r>
      <w:r>
        <w:rPr>
          <w:i/>
          <w:iCs/>
          <w:sz w:val="28"/>
          <w:szCs w:val="28"/>
          <w:highlight w:val="none"/>
        </w:rPr>
        <w:t xml:space="preserve">лее);</w:t>
      </w:r>
      <w:r>
        <w:rPr>
          <w:bCs/>
          <w:i/>
          <w:sz w:val="28"/>
          <w:szCs w:val="28"/>
          <w:highlight w:val="none"/>
        </w:rPr>
      </w:r>
      <w:r>
        <w:rPr>
          <w:bCs/>
          <w:i/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</w:pPr>
      <w:r>
        <w:rPr>
          <w:i/>
          <w:iCs/>
          <w:sz w:val="28"/>
          <w:szCs w:val="28"/>
          <w:highlight w:val="none"/>
        </w:rPr>
        <w:t xml:space="preserve">(Постановление Правительства РФ от 13.01.2014 N 19 </w:t>
      </w:r>
      <w:r>
        <w:rPr>
          <w:i/>
          <w:iCs/>
          <w:sz w:val="28"/>
          <w:szCs w:val="28"/>
          <w:highlight w:val="none"/>
        </w:rPr>
        <w:t xml:space="preserve">"Об установлении случаев, в которых при заключении контракта указываются формула цены и максимальное значение цены контракта": </w:t>
      </w:r>
      <w:r>
        <w:rPr>
          <w:i/>
          <w:iCs/>
          <w:sz w:val="28"/>
          <w:szCs w:val="28"/>
          <w:highlight w:val="none"/>
        </w:rPr>
        <w:t xml:space="preserve">заключение контракта на предоставление услуг обязательного страхования, предусмотренного федеральным законом о соответствующем виде обязательного страхования</w:t>
      </w:r>
      <w:r>
        <w:rPr>
          <w:i/>
          <w:iCs/>
          <w:sz w:val="28"/>
          <w:szCs w:val="28"/>
          <w:highlight w:val="none"/>
        </w:rPr>
        <w:t xml:space="preserve">)</w:t>
      </w:r>
      <w:r>
        <w:rPr>
          <w:i/>
          <w:iCs/>
          <w:sz w:val="28"/>
          <w:szCs w:val="28"/>
          <w:highlight w:val="none"/>
        </w:rPr>
      </w:r>
      <w:r/>
    </w:p>
    <w:p>
      <w:pPr>
        <w:pStyle w:val="927"/>
        <w:jc w:val="both"/>
        <w:tabs>
          <w:tab w:val="left" w:pos="720" w:leader="none"/>
        </w:tabs>
        <w:rPr>
          <w:b w:val="0"/>
          <w:bCs w:val="0"/>
          <w:sz w:val="28"/>
          <w:szCs w:val="28"/>
          <w:highlight w:val="yellow"/>
        </w:rPr>
      </w:pPr>
      <w:r>
        <w:rPr>
          <w:b/>
          <w:sz w:val="28"/>
          <w:szCs w:val="28"/>
          <w:highlight w:val="white"/>
        </w:rPr>
        <w:t xml:space="preserve">Срок  поставки товара (выполнения работ, оказания услуг):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</w:rPr>
        <w:t xml:space="preserve">До 31.07.2026</w:t>
      </w:r>
      <w:r>
        <w:rPr>
          <w:b w:val="0"/>
          <w:bCs w:val="0"/>
          <w:sz w:val="28"/>
          <w:szCs w:val="28"/>
          <w:highlight w:val="white"/>
        </w:rPr>
        <w:t xml:space="preserve">.</w:t>
      </w:r>
      <w:r>
        <w:rPr>
          <w:b w:val="0"/>
          <w:bCs w:val="0"/>
          <w:sz w:val="28"/>
          <w:szCs w:val="28"/>
          <w:highlight w:val="yellow"/>
        </w:rPr>
      </w:r>
      <w:r>
        <w:rPr>
          <w:b w:val="0"/>
          <w:bCs w:val="0"/>
          <w:sz w:val="28"/>
          <w:szCs w:val="28"/>
          <w:highlight w:val="yellow"/>
        </w:rPr>
      </w:r>
    </w:p>
    <w:p>
      <w:pPr>
        <w:jc w:val="both"/>
        <w:tabs>
          <w:tab w:val="left" w:pos="720" w:leader="none"/>
        </w:tabs>
        <w:rPr>
          <w:sz w:val="28"/>
          <w:szCs w:val="28"/>
          <w:highlight w:val="white"/>
          <w14:ligatures w14:val="none"/>
        </w:rPr>
      </w:pPr>
      <w:r>
        <w:rPr>
          <w:b/>
          <w:sz w:val="28"/>
          <w:szCs w:val="28"/>
          <w:highlight w:val="white"/>
        </w:rPr>
        <w:t xml:space="preserve">Источник финансирования</w:t>
      </w:r>
      <w:r>
        <w:rPr>
          <w:sz w:val="28"/>
          <w:szCs w:val="28"/>
          <w:highlight w:val="white"/>
        </w:rPr>
        <w:t xml:space="preserve"> - Федеральный бюджет </w:t>
      </w:r>
      <w:r>
        <w:rPr>
          <w:sz w:val="28"/>
          <w:szCs w:val="28"/>
          <w:highlight w:val="white"/>
        </w:rPr>
        <w:t xml:space="preserve">в предела</w:t>
      </w:r>
      <w:r>
        <w:rPr>
          <w:sz w:val="28"/>
          <w:szCs w:val="28"/>
          <w:highlight w:val="white"/>
        </w:rPr>
        <w:t xml:space="preserve">х ЛБО </w:t>
      </w:r>
      <w:r>
        <w:rPr>
          <w:sz w:val="28"/>
          <w:szCs w:val="28"/>
          <w:highlight w:val="white"/>
        </w:rPr>
        <w:t xml:space="preserve">на 2026 год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pStyle w:val="927"/>
        <w:jc w:val="both"/>
        <w:tabs>
          <w:tab w:val="left" w:pos="720" w:leader="none"/>
        </w:tabs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Адрес поставки товара (оказания услуг, выполнения работ):</w:t>
      </w:r>
      <w:r>
        <w:rPr>
          <w:b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 Российская Федерация, </w:t>
      </w:r>
      <w:r>
        <w:rPr>
          <w:color w:val="000000"/>
          <w:sz w:val="28"/>
          <w:szCs w:val="28"/>
          <w:highlight w:val="white"/>
        </w:rPr>
        <w:t xml:space="preserve">Алтайский край, г. Барнаул ул. Молодежная,68а. каб.10.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927"/>
        <w:jc w:val="both"/>
        <w:tabs>
          <w:tab w:val="left" w:pos="7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white"/>
        </w:rPr>
        <w:t xml:space="preserve">Требование к товару (п</w:t>
      </w:r>
      <w:r>
        <w:rPr>
          <w:b/>
          <w:sz w:val="28"/>
          <w:szCs w:val="28"/>
          <w:highlight w:val="white"/>
          <w:shd w:val="clear" w:color="auto" w:fill="ffffff"/>
        </w:rPr>
        <w:t xml:space="preserve">ри необходимости может быть дополнено эскизами, чертежами и иными документами, позволяющими дополнить описание </w:t>
      </w:r>
      <w:r>
        <w:rPr>
          <w:b/>
          <w:bCs/>
          <w:sz w:val="28"/>
          <w:szCs w:val="28"/>
          <w:highlight w:val="white"/>
          <w:shd w:val="clear" w:color="auto" w:fill="ffffff"/>
        </w:rPr>
        <w:t xml:space="preserve">товара</w:t>
      </w:r>
      <w:r>
        <w:rPr>
          <w:b/>
          <w:sz w:val="28"/>
          <w:szCs w:val="28"/>
          <w:highlight w:val="white"/>
          <w:shd w:val="clear" w:color="auto" w:fill="ffffff"/>
        </w:rPr>
        <w:t xml:space="preserve"> (работ, услуг)</w:t>
      </w:r>
      <w:r>
        <w:rPr>
          <w:b/>
          <w:sz w:val="28"/>
          <w:szCs w:val="28"/>
          <w:highlight w:val="white"/>
        </w:rPr>
        <w:t xml:space="preserve">: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27"/>
        <w:ind w:firstLine="709"/>
        <w:jc w:val="both"/>
        <w:tabs>
          <w:tab w:val="left" w:pos="720" w:leader="none"/>
        </w:tabs>
        <w:rPr>
          <w:b/>
          <w:bCs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Исполнитель принимает на себя обязанности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страхованию гражданской ответственности владельцев автотранспортных средств (ОСАГО), при использовании транспортных средств, указанных в </w:t>
      </w:r>
      <w:r>
        <w:rPr>
          <w:b/>
          <w:sz w:val="28"/>
          <w:szCs w:val="28"/>
        </w:rPr>
        <w:t xml:space="preserve">Приложении №1</w:t>
      </w:r>
      <w:r>
        <w:rPr>
          <w:sz w:val="28"/>
          <w:szCs w:val="28"/>
        </w:rPr>
        <w:t xml:space="preserve">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right"/>
        <w:tabs>
          <w:tab w:val="left" w:pos="720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right"/>
        <w:tabs>
          <w:tab w:val="left" w:pos="7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right"/>
        <w:tabs>
          <w:tab w:val="left" w:pos="7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Приложение №1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firstLine="709"/>
        <w:jc w:val="right"/>
        <w:tabs>
          <w:tab w:val="left" w:pos="720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Style w:val="783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997"/>
        <w:gridCol w:w="1267"/>
        <w:gridCol w:w="1248"/>
        <w:gridCol w:w="1539"/>
        <w:gridCol w:w="598"/>
        <w:gridCol w:w="586"/>
        <w:gridCol w:w="1053"/>
        <w:gridCol w:w="548"/>
        <w:gridCol w:w="301"/>
        <w:gridCol w:w="227"/>
        <w:gridCol w:w="310"/>
        <w:gridCol w:w="255"/>
        <w:gridCol w:w="994"/>
      </w:tblGrid>
      <w:tr>
        <w:tblPrEx/>
        <w:trPr>
          <w:trHeight w:val="48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20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Перечень транспортных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4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№ п\п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Марка транспортного средства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Регистрационный знак автомобиля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ПТС (ЭПТС)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Тип транспорта/категория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Год выпуска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Мощность двигателя (N, л/с)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Дата начала страхования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Тб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Кбм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Расчетная страховая премия на предстоящий период страхования (руб.)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LADA VESTA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Е277СЕ122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164301136961676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легковой/(В)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106,1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 27.07.2026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2058,00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1,49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1,2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1,97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3 479,53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LADA Niva Legend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Е275СЕ122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164301136051130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легковой/(В)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82,9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5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с 27.07.2026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2058,00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1,49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7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1,1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1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0,48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1,97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3 189,57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 </w:t>
            </w:r>
            <w:r/>
          </w:p>
        </w:tc>
      </w:tr>
      <w:tr>
        <w:tblPrEx/>
        <w:trPr>
          <w:trHeight w:val="0"/>
        </w:trPr>
        <w:tc>
          <w:tcPr>
            <w:gridSpan w:val="13"/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21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4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Arial Cyr" w:hAnsi="Arial Cyr" w:eastAsia="Arial Cyr" w:cs="Arial Cyr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6669,10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ind w:firstLine="709"/>
        <w:jc w:val="both"/>
        <w:tabs>
          <w:tab w:val="left" w:pos="720" w:leader="none"/>
        </w:tabs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заказчике: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961"/>
        <w:spacing w:line="240" w:lineRule="auto"/>
        <w:shd w:val="clear" w:color="ffffff" w:themeColor="background1" w:fill="ffffff" w:themeFill="background1"/>
        <w:rPr>
          <w:color w:val="auto"/>
          <w:highlight w:val="white"/>
        </w:rPr>
      </w:pPr>
      <w:r>
        <w:rPr>
          <w:b/>
          <w:color w:val="auto"/>
          <w:sz w:val="28"/>
          <w:szCs w:val="28"/>
          <w:highlight w:val="white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961"/>
        <w:spacing w:after="0" w:afterAutospacing="0" w:line="240" w:lineRule="auto"/>
        <w:shd w:val="clear" w:color="ffffff" w:themeColor="background1" w:fill="ffffff" w:themeFill="background1"/>
        <w:rPr>
          <w:color w:val="auto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ИНН 2225066565 /КПП 222401001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961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 w:themeColor="background1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УФК по Алтайскому краю</w:t>
      </w:r>
      <w:r>
        <w:rPr>
          <w:color w:val="auto"/>
          <w:sz w:val="28"/>
          <w:szCs w:val="28"/>
          <w:highlight w:val="white"/>
        </w:rPr>
        <w:t xml:space="preserve"> (Управление Федеральной службы государственной регистрации, кадастра и картографии по Алтайскому краю л/с 03171А23650)</w:t>
      </w:r>
      <w:r>
        <w:rPr>
          <w:color w:val="auto" w:themeColor="background1"/>
          <w:highlight w:val="white"/>
        </w:rPr>
      </w:r>
      <w:r>
        <w:rPr>
          <w:color w:val="auto" w:themeColor="background1"/>
          <w:highlight w:val="white"/>
        </w:rPr>
      </w:r>
    </w:p>
    <w:p>
      <w:pPr>
        <w:pStyle w:val="961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КС        03211643000000015104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961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ЕКС     40102810445370000043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pStyle w:val="961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БИК     015004950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ind w:left="0" w:right="0" w:firstLine="0"/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№1 Сибирского ГУ Банка России//УФК по Новосибирской области, </w:t>
        <w:br/>
        <w:t xml:space="preserve">г. Новосибирск.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возможности  и случаях одностороннего расторжения сделки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соответствии с действующим законодательством РФ: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действующим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Ответственность сторон: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 Размеры неустоек (штрафов, пеней) устанавливаются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05.04.2013 № 44-ФЗ и Постановлением Правительства РФ от 30.08.2017 № 1042.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Контрактом предусмотрено условие об удержании суммы неисполненных поставщиком (подрядчиком, исполни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исполнителю), (п. 2 ч. 14 ст. 34 Федерального закона от 05.04.2013 N 44-ФЗ).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Реквизиты Заказчика для перечисления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61"/>
        <w:spacing w:after="0" w:afterAutospacing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ИНН 2225066565 /КПП 222401001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УФК по Алтайскому краю (Управление Федеральной службы государственной регистрации, кадастра и картографии по Алтайскому краю л/с 04171А23650)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КС       03100643000000011700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ЕКС     40102810045370000009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БИК     010173001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№2 Сибирского ГУ Банка России</w:t>
      </w:r>
      <w:r>
        <w:rPr>
          <w:sz w:val="28"/>
          <w:szCs w:val="28"/>
        </w:rPr>
        <w:t xml:space="preserve">//УФК по Алтайскому краю г. Барнаул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07010 01 9000 140 - просрочка исполнения контракта (пеня)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07090 01 9000 140 - ненадлежащее исполнение контракта (штраф).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Контактную информацию об уполномоченном лице, ответственном за закупку </w:t>
        <w:br w:type="textWrapping" w:clear="all"/>
        <w:t xml:space="preserve">(при осуществлении закупки без использования ЕАТ указывается при наличии)</w:t>
      </w:r>
      <w:r>
        <w:rPr>
          <w:sz w:val="28"/>
          <w:szCs w:val="28"/>
        </w:rPr>
        <w:t xml:space="preserve">: Брюханцев И.А., тел. (3852) 62-81-99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Дата, время и длительность закупочной сессии</w:t>
      </w:r>
      <w:r>
        <w:rPr>
          <w:sz w:val="28"/>
          <w:szCs w:val="28"/>
        </w:rPr>
        <w:t xml:space="preserve">: 2/24 часа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7"/>
        <w:tabs>
          <w:tab w:val="left" w:pos="720" w:leader="none"/>
        </w:tabs>
        <w:rPr>
          <w:b w:val="0"/>
          <w:bCs w:val="0"/>
          <w:sz w:val="28"/>
          <w:szCs w:val="28"/>
          <w:highlight w:val="yellow"/>
        </w:rPr>
      </w:pPr>
      <w:r>
        <w:rPr>
          <w:b/>
          <w:sz w:val="28"/>
          <w:szCs w:val="28"/>
        </w:rPr>
        <w:t xml:space="preserve">Планируемая дата заключения договора: </w:t>
      </w:r>
      <w:r>
        <w:rPr>
          <w:b w:val="0"/>
          <w:bCs w:val="0"/>
          <w:sz w:val="28"/>
          <w:szCs w:val="28"/>
        </w:rPr>
        <w:t xml:space="preserve">27.07</w:t>
      </w:r>
      <w:r>
        <w:rPr>
          <w:b w:val="0"/>
          <w:bCs w:val="0"/>
          <w:sz w:val="28"/>
          <w:szCs w:val="28"/>
        </w:rPr>
        <w:t xml:space="preserve">.2026</w:t>
      </w:r>
      <w:r>
        <w:rPr>
          <w:b w:val="0"/>
          <w:bCs w:val="0"/>
          <w:sz w:val="28"/>
          <w:szCs w:val="28"/>
          <w:highlight w:val="yellow"/>
        </w:rPr>
      </w:r>
      <w:r>
        <w:rPr>
          <w:b w:val="0"/>
          <w:bCs w:val="0"/>
          <w:sz w:val="28"/>
          <w:szCs w:val="28"/>
          <w:highlight w:val="yellow"/>
        </w:rPr>
      </w:r>
    </w:p>
    <w:sectPr>
      <w:headerReference w:type="default" r:id="rId9"/>
      <w:headerReference w:type="even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993" w:right="567" w:bottom="709" w:left="1134" w:header="709" w:footer="40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yr">
    <w:panose1 w:val="020B0604020202020204"/>
  </w:font>
  <w:font w:name="Symbol">
    <w:panose1 w:val="05010000000000000000"/>
  </w:font>
  <w:font w:name="Wingdings">
    <w:panose1 w:val="05010000000000000000"/>
  </w:font>
  <w:font w:name="Consolas">
    <w:panose1 w:val="020B0606020202030204"/>
  </w:font>
  <w:font w:name="Verdan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SimSun">
    <w:panose1 w:val="02000506000000020000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both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5"/>
      <w:jc w:val="both"/>
      <w:rPr>
        <w:sz w:val="16"/>
        <w:szCs w:val="16"/>
      </w:rPr>
    </w:pPr>
    <w:r>
      <w:rPr>
        <w:sz w:val="16"/>
        <w:szCs w:val="16"/>
      </w:rPr>
      <w:t xml:space="preserve">ИБ 2023-11-08</w:t>
    </w:r>
    <w:r>
      <w:rPr>
        <w:sz w:val="16"/>
        <w:szCs w:val="16"/>
      </w:rPr>
    </w:r>
    <w:r>
      <w:rPr>
        <w:sz w:val="16"/>
        <w:szCs w:val="16"/>
      </w:rPr>
    </w:r>
  </w:p>
  <w:p>
    <w:pPr>
      <w:pStyle w:val="935"/>
      <w:jc w:val="both"/>
    </w:pPr>
    <w:r>
      <w:rPr>
        <w:sz w:val="16"/>
        <w:szCs w:val="16"/>
      </w:rPr>
      <w:t xml:space="preserve">Исх./</w:t>
    </w:r>
    <w:r>
      <w:rPr>
        <w:sz w:val="16"/>
        <w:szCs w:val="16"/>
      </w:rPr>
      <w:t xml:space="preserve">08.11</w:t>
    </w:r>
    <w:r>
      <w:rPr>
        <w:sz w:val="16"/>
        <w:szCs w:val="16"/>
      </w:rPr>
      <w:t xml:space="preserve">_о поверке приборов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34"/>
      </w:rPr>
      <w:framePr w:wrap="around" w:vAnchor="text" w:hAnchor="margin" w:xAlign="center" w:y="1"/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separate"/>
    </w:r>
    <w:r>
      <w:rPr>
        <w:rStyle w:val="934"/>
      </w:rPr>
      <w:t xml:space="preserve">2</w: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34"/>
      </w:rPr>
      <w:framePr w:wrap="around" w:vAnchor="text" w:hAnchor="margin" w:xAlign="center" w:y="1"/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93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851" w:hanging="284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00" w:hanging="945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5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1211" w:hanging="360"/>
      </w:pPr>
      <w:rPr>
        <w:rFonts w:hint="default"/>
        <w:b w:val="0"/>
        <w:bCs/>
        <w:sz w:val="22"/>
        <w:szCs w:val="22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>
    <w:name w:val="Heading 1"/>
    <w:basedOn w:val="927"/>
    <w:next w:val="927"/>
    <w:link w:val="7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1">
    <w:name w:val="Heading 1 Char"/>
    <w:link w:val="750"/>
    <w:uiPriority w:val="9"/>
    <w:rPr>
      <w:rFonts w:ascii="Arial" w:hAnsi="Arial" w:eastAsia="Arial" w:cs="Arial"/>
      <w:sz w:val="40"/>
      <w:szCs w:val="40"/>
    </w:rPr>
  </w:style>
  <w:style w:type="paragraph" w:styleId="752">
    <w:name w:val="Heading 2"/>
    <w:basedOn w:val="927"/>
    <w:next w:val="927"/>
    <w:link w:val="7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3">
    <w:name w:val="Heading 2 Char"/>
    <w:link w:val="752"/>
    <w:uiPriority w:val="9"/>
    <w:rPr>
      <w:rFonts w:ascii="Arial" w:hAnsi="Arial" w:eastAsia="Arial" w:cs="Arial"/>
      <w:sz w:val="34"/>
    </w:rPr>
  </w:style>
  <w:style w:type="paragraph" w:styleId="754">
    <w:name w:val="Heading 3"/>
    <w:basedOn w:val="927"/>
    <w:next w:val="927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5">
    <w:name w:val="Heading 3 Char"/>
    <w:link w:val="754"/>
    <w:uiPriority w:val="9"/>
    <w:rPr>
      <w:rFonts w:ascii="Arial" w:hAnsi="Arial" w:eastAsia="Arial" w:cs="Arial"/>
      <w:sz w:val="30"/>
      <w:szCs w:val="30"/>
    </w:rPr>
  </w:style>
  <w:style w:type="paragraph" w:styleId="756">
    <w:name w:val="Heading 4"/>
    <w:basedOn w:val="927"/>
    <w:next w:val="927"/>
    <w:link w:val="7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7">
    <w:name w:val="Heading 4 Char"/>
    <w:link w:val="756"/>
    <w:uiPriority w:val="9"/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927"/>
    <w:next w:val="927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5 Char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927"/>
    <w:next w:val="927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>
    <w:name w:val="Heading 6 Char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>
    <w:name w:val="Heading 7"/>
    <w:basedOn w:val="927"/>
    <w:next w:val="927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>
    <w:name w:val="Heading 7 Char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927"/>
    <w:next w:val="927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>
    <w:name w:val="Heading 8 Char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927"/>
    <w:next w:val="927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>
    <w:name w:val="Heading 9 Char"/>
    <w:link w:val="766"/>
    <w:uiPriority w:val="9"/>
    <w:rPr>
      <w:rFonts w:ascii="Arial" w:hAnsi="Arial" w:eastAsia="Arial" w:cs="Arial"/>
      <w:i/>
      <w:iCs/>
      <w:sz w:val="21"/>
      <w:szCs w:val="21"/>
    </w:rPr>
  </w:style>
  <w:style w:type="paragraph" w:styleId="768">
    <w:name w:val="No Spacing"/>
    <w:uiPriority w:val="1"/>
    <w:qFormat/>
    <w:pPr>
      <w:spacing w:before="0" w:after="0" w:line="240" w:lineRule="auto"/>
    </w:pPr>
  </w:style>
  <w:style w:type="paragraph" w:styleId="769">
    <w:name w:val="Title"/>
    <w:basedOn w:val="927"/>
    <w:next w:val="927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link w:val="769"/>
    <w:uiPriority w:val="10"/>
    <w:rPr>
      <w:sz w:val="48"/>
      <w:szCs w:val="48"/>
    </w:rPr>
  </w:style>
  <w:style w:type="paragraph" w:styleId="771">
    <w:name w:val="Subtitle"/>
    <w:basedOn w:val="927"/>
    <w:next w:val="927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link w:val="771"/>
    <w:uiPriority w:val="11"/>
    <w:rPr>
      <w:sz w:val="24"/>
      <w:szCs w:val="24"/>
    </w:rPr>
  </w:style>
  <w:style w:type="paragraph" w:styleId="773">
    <w:name w:val="Quote"/>
    <w:basedOn w:val="927"/>
    <w:next w:val="927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7"/>
    <w:next w:val="927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paragraph" w:styleId="777">
    <w:name w:val="Header"/>
    <w:basedOn w:val="927"/>
    <w:link w:val="7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8">
    <w:name w:val="Header Char"/>
    <w:link w:val="777"/>
    <w:uiPriority w:val="99"/>
  </w:style>
  <w:style w:type="paragraph" w:styleId="779">
    <w:name w:val="Footer"/>
    <w:basedOn w:val="927"/>
    <w:link w:val="7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0">
    <w:name w:val="Footer Char"/>
    <w:link w:val="779"/>
    <w:uiPriority w:val="99"/>
  </w:style>
  <w:style w:type="paragraph" w:styleId="781">
    <w:name w:val="Caption"/>
    <w:basedOn w:val="927"/>
    <w:next w:val="9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779"/>
    <w:uiPriority w:val="99"/>
  </w:style>
  <w:style w:type="table" w:styleId="78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9">
    <w:name w:val="Hyperlink"/>
    <w:uiPriority w:val="99"/>
    <w:unhideWhenUsed/>
    <w:rPr>
      <w:color w:val="0000ff" w:themeColor="hyperlink"/>
      <w:u w:val="single"/>
    </w:rPr>
  </w:style>
  <w:style w:type="paragraph" w:styleId="910">
    <w:name w:val="footnote text"/>
    <w:basedOn w:val="927"/>
    <w:link w:val="911"/>
    <w:uiPriority w:val="99"/>
    <w:semiHidden/>
    <w:unhideWhenUsed/>
    <w:pPr>
      <w:spacing w:after="40" w:line="240" w:lineRule="auto"/>
    </w:pPr>
    <w:rPr>
      <w:sz w:val="18"/>
    </w:rPr>
  </w:style>
  <w:style w:type="character" w:styleId="911">
    <w:name w:val="Footnote Text Char"/>
    <w:link w:val="910"/>
    <w:uiPriority w:val="99"/>
    <w:rPr>
      <w:sz w:val="18"/>
    </w:rPr>
  </w:style>
  <w:style w:type="character" w:styleId="912">
    <w:name w:val="footnote reference"/>
    <w:uiPriority w:val="99"/>
    <w:unhideWhenUsed/>
    <w:rPr>
      <w:vertAlign w:val="superscript"/>
    </w:rPr>
  </w:style>
  <w:style w:type="paragraph" w:styleId="913">
    <w:name w:val="endnote text"/>
    <w:basedOn w:val="927"/>
    <w:link w:val="914"/>
    <w:uiPriority w:val="99"/>
    <w:semiHidden/>
    <w:unhideWhenUsed/>
    <w:pPr>
      <w:spacing w:after="0" w:line="240" w:lineRule="auto"/>
    </w:pPr>
    <w:rPr>
      <w:sz w:val="20"/>
    </w:rPr>
  </w:style>
  <w:style w:type="character" w:styleId="914">
    <w:name w:val="Endnote Text Char"/>
    <w:link w:val="913"/>
    <w:uiPriority w:val="99"/>
    <w:rPr>
      <w:sz w:val="20"/>
    </w:rPr>
  </w:style>
  <w:style w:type="character" w:styleId="915">
    <w:name w:val="endnote reference"/>
    <w:uiPriority w:val="99"/>
    <w:semiHidden/>
    <w:unhideWhenUsed/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ind w:left="0" w:right="0" w:firstLine="0"/>
      <w:spacing w:after="57"/>
    </w:pPr>
  </w:style>
  <w:style w:type="paragraph" w:styleId="917">
    <w:name w:val="toc 2"/>
    <w:basedOn w:val="927"/>
    <w:next w:val="927"/>
    <w:uiPriority w:val="39"/>
    <w:unhideWhenUsed/>
    <w:pPr>
      <w:ind w:left="283" w:right="0" w:firstLine="0"/>
      <w:spacing w:after="57"/>
    </w:pPr>
  </w:style>
  <w:style w:type="paragraph" w:styleId="918">
    <w:name w:val="toc 3"/>
    <w:basedOn w:val="927"/>
    <w:next w:val="927"/>
    <w:uiPriority w:val="39"/>
    <w:unhideWhenUsed/>
    <w:pPr>
      <w:ind w:left="567" w:right="0" w:firstLine="0"/>
      <w:spacing w:after="57"/>
    </w:pPr>
  </w:style>
  <w:style w:type="paragraph" w:styleId="919">
    <w:name w:val="toc 4"/>
    <w:basedOn w:val="927"/>
    <w:next w:val="927"/>
    <w:uiPriority w:val="39"/>
    <w:unhideWhenUsed/>
    <w:pPr>
      <w:ind w:left="850" w:right="0" w:firstLine="0"/>
      <w:spacing w:after="57"/>
    </w:pPr>
  </w:style>
  <w:style w:type="paragraph" w:styleId="920">
    <w:name w:val="toc 5"/>
    <w:basedOn w:val="927"/>
    <w:next w:val="927"/>
    <w:uiPriority w:val="39"/>
    <w:unhideWhenUsed/>
    <w:pPr>
      <w:ind w:left="1134" w:right="0" w:firstLine="0"/>
      <w:spacing w:after="57"/>
    </w:pPr>
  </w:style>
  <w:style w:type="paragraph" w:styleId="921">
    <w:name w:val="toc 6"/>
    <w:basedOn w:val="927"/>
    <w:next w:val="927"/>
    <w:uiPriority w:val="39"/>
    <w:unhideWhenUsed/>
    <w:pPr>
      <w:ind w:left="1417" w:right="0" w:firstLine="0"/>
      <w:spacing w:after="57"/>
    </w:pPr>
  </w:style>
  <w:style w:type="paragraph" w:styleId="922">
    <w:name w:val="toc 7"/>
    <w:basedOn w:val="927"/>
    <w:next w:val="927"/>
    <w:uiPriority w:val="39"/>
    <w:unhideWhenUsed/>
    <w:pPr>
      <w:ind w:left="1701" w:right="0" w:firstLine="0"/>
      <w:spacing w:after="57"/>
    </w:pPr>
  </w:style>
  <w:style w:type="paragraph" w:styleId="923">
    <w:name w:val="toc 8"/>
    <w:basedOn w:val="927"/>
    <w:next w:val="927"/>
    <w:uiPriority w:val="39"/>
    <w:unhideWhenUsed/>
    <w:pPr>
      <w:ind w:left="1984" w:right="0" w:firstLine="0"/>
      <w:spacing w:after="57"/>
    </w:pPr>
  </w:style>
  <w:style w:type="paragraph" w:styleId="924">
    <w:name w:val="toc 9"/>
    <w:basedOn w:val="927"/>
    <w:next w:val="927"/>
    <w:uiPriority w:val="39"/>
    <w:unhideWhenUsed/>
    <w:pPr>
      <w:ind w:left="2268" w:right="0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927"/>
    <w:next w:val="927"/>
    <w:uiPriority w:val="99"/>
    <w:unhideWhenUsed/>
    <w:pPr>
      <w:spacing w:after="0" w:afterAutospacing="0"/>
    </w:pPr>
  </w:style>
  <w:style w:type="paragraph" w:styleId="927" w:default="1">
    <w:name w:val="Normal"/>
    <w:next w:val="927"/>
    <w:link w:val="927"/>
    <w:qFormat/>
    <w:rPr>
      <w:sz w:val="24"/>
      <w:szCs w:val="24"/>
      <w:lang w:val="ru-RU" w:eastAsia="ru-RU" w:bidi="ar-SA"/>
    </w:rPr>
  </w:style>
  <w:style w:type="paragraph" w:styleId="928">
    <w:name w:val="Заголовок 1"/>
    <w:basedOn w:val="927"/>
    <w:next w:val="928"/>
    <w:link w:val="927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styleId="929">
    <w:name w:val="Основной шрифт абзаца"/>
    <w:next w:val="929"/>
    <w:link w:val="927"/>
    <w:semiHidden/>
  </w:style>
  <w:style w:type="table" w:styleId="930">
    <w:name w:val="Обычная таблица"/>
    <w:next w:val="930"/>
    <w:link w:val="927"/>
    <w:semiHidden/>
    <w:tblPr/>
  </w:style>
  <w:style w:type="numbering" w:styleId="931">
    <w:name w:val="Нет списка"/>
    <w:next w:val="931"/>
    <w:link w:val="927"/>
    <w:semiHidden/>
  </w:style>
  <w:style w:type="paragraph" w:styleId="932">
    <w:name w:val="Основной текст"/>
    <w:basedOn w:val="927"/>
    <w:next w:val="932"/>
    <w:link w:val="936"/>
    <w:pPr>
      <w:jc w:val="center"/>
    </w:pPr>
    <w:rPr>
      <w:b/>
      <w:sz w:val="28"/>
      <w:szCs w:val="20"/>
    </w:rPr>
  </w:style>
  <w:style w:type="paragraph" w:styleId="933">
    <w:name w:val="Верхний колонтитул"/>
    <w:basedOn w:val="927"/>
    <w:next w:val="933"/>
    <w:link w:val="927"/>
    <w:pPr>
      <w:tabs>
        <w:tab w:val="center" w:pos="4677" w:leader="none"/>
        <w:tab w:val="right" w:pos="9355" w:leader="none"/>
      </w:tabs>
    </w:pPr>
  </w:style>
  <w:style w:type="character" w:styleId="934">
    <w:name w:val="Номер страницы"/>
    <w:basedOn w:val="929"/>
    <w:next w:val="934"/>
    <w:link w:val="927"/>
  </w:style>
  <w:style w:type="paragraph" w:styleId="935">
    <w:name w:val="Нижний колонтитул"/>
    <w:basedOn w:val="927"/>
    <w:next w:val="935"/>
    <w:link w:val="927"/>
    <w:pPr>
      <w:tabs>
        <w:tab w:val="center" w:pos="4677" w:leader="none"/>
        <w:tab w:val="right" w:pos="9355" w:leader="none"/>
      </w:tabs>
    </w:pPr>
  </w:style>
  <w:style w:type="character" w:styleId="936">
    <w:name w:val="Основной текст Знак"/>
    <w:next w:val="936"/>
    <w:link w:val="932"/>
    <w:rPr>
      <w:b/>
      <w:sz w:val="28"/>
      <w:lang w:val="ru-RU" w:eastAsia="ru-RU" w:bidi="ar-SA"/>
    </w:rPr>
  </w:style>
  <w:style w:type="paragraph" w:styleId="937">
    <w:name w:val="Основной текст с отступом"/>
    <w:basedOn w:val="927"/>
    <w:next w:val="937"/>
    <w:link w:val="948"/>
    <w:pPr>
      <w:ind w:left="283"/>
      <w:spacing w:after="120"/>
    </w:pPr>
  </w:style>
  <w:style w:type="paragraph" w:styleId="938">
    <w:name w:val="Текст сноски,Знак, Знак"/>
    <w:basedOn w:val="927"/>
    <w:next w:val="938"/>
    <w:link w:val="944"/>
    <w:uiPriority w:val="99"/>
    <w:rPr>
      <w:sz w:val="20"/>
      <w:szCs w:val="20"/>
    </w:rPr>
  </w:style>
  <w:style w:type="character" w:styleId="939">
    <w:name w:val="Знак сноски"/>
    <w:next w:val="939"/>
    <w:link w:val="927"/>
    <w:rPr>
      <w:vertAlign w:val="superscript"/>
    </w:rPr>
  </w:style>
  <w:style w:type="paragraph" w:styleId="940">
    <w:name w:val="Текст выноски"/>
    <w:basedOn w:val="927"/>
    <w:next w:val="940"/>
    <w:link w:val="927"/>
    <w:semiHidden/>
    <w:rPr>
      <w:rFonts w:ascii="Tahoma" w:hAnsi="Tahoma" w:cs="Tahoma"/>
      <w:sz w:val="16"/>
      <w:szCs w:val="16"/>
    </w:rPr>
  </w:style>
  <w:style w:type="paragraph" w:styleId="941">
    <w:name w:val="Знак Знак Знак Знак Знак Знак Знак Знак Знак Знак Знак Знак"/>
    <w:basedOn w:val="927"/>
    <w:next w:val="941"/>
    <w:link w:val="9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42">
    <w:name w:val=" Знак Знак Char Char"/>
    <w:basedOn w:val="927"/>
    <w:next w:val="942"/>
    <w:link w:val="927"/>
    <w:pPr>
      <w:jc w:val="both"/>
      <w:widowControl w:val="off"/>
    </w:pPr>
    <w:rPr>
      <w:rFonts w:ascii="Arial" w:hAnsi="Arial" w:eastAsia="SimSun" w:cs="Arial"/>
      <w:sz w:val="21"/>
      <w:lang w:val="en-US" w:eastAsia="zh-CN"/>
    </w:rPr>
  </w:style>
  <w:style w:type="paragraph" w:styleId="943">
    <w:name w:val="ConsPlusNormal"/>
    <w:next w:val="943"/>
    <w:link w:val="927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44">
    <w:name w:val="Текст сноски Знак,Знак Знак, Знак Знак1"/>
    <w:next w:val="944"/>
    <w:link w:val="938"/>
    <w:uiPriority w:val="99"/>
    <w:rPr>
      <w:lang w:val="ru-RU" w:eastAsia="ru-RU" w:bidi="ar-SA"/>
    </w:rPr>
  </w:style>
  <w:style w:type="paragraph" w:styleId="945">
    <w:name w:val="western"/>
    <w:basedOn w:val="927"/>
    <w:next w:val="945"/>
    <w:link w:val="927"/>
    <w:pPr>
      <w:jc w:val="center"/>
      <w:spacing w:before="100" w:beforeAutospacing="1"/>
    </w:pPr>
    <w:rPr>
      <w:color w:val="000000"/>
      <w:sz w:val="28"/>
      <w:szCs w:val="28"/>
    </w:rPr>
  </w:style>
  <w:style w:type="paragraph" w:styleId="946">
    <w:name w:val="Основной текст 31"/>
    <w:basedOn w:val="927"/>
    <w:next w:val="946"/>
    <w:link w:val="927"/>
    <w:pPr>
      <w:jc w:val="both"/>
    </w:pPr>
    <w:rPr>
      <w:sz w:val="28"/>
      <w:lang w:eastAsia="ar-SA"/>
    </w:rPr>
  </w:style>
  <w:style w:type="paragraph" w:styleId="947">
    <w:name w:val="List Paragraph"/>
    <w:basedOn w:val="927"/>
    <w:next w:val="947"/>
    <w:link w:val="927"/>
    <w:pPr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948">
    <w:name w:val="Основной текст с отступом Знак"/>
    <w:next w:val="948"/>
    <w:link w:val="937"/>
    <w:rPr>
      <w:sz w:val="24"/>
      <w:szCs w:val="24"/>
      <w:lang w:val="ru-RU" w:eastAsia="ru-RU" w:bidi="ar-SA"/>
    </w:rPr>
  </w:style>
  <w:style w:type="character" w:styleId="949">
    <w:name w:val=" Знак Знак7"/>
    <w:next w:val="949"/>
    <w:link w:val="927"/>
    <w:rPr>
      <w:lang w:val="ru-RU" w:eastAsia="ru-RU" w:bidi="ar-SA"/>
    </w:rPr>
  </w:style>
  <w:style w:type="character" w:styleId="950">
    <w:name w:val="Гиперссылка"/>
    <w:next w:val="950"/>
    <w:link w:val="927"/>
    <w:rPr>
      <w:rFonts w:cs="Times New Roman"/>
      <w:color w:val="0000ff"/>
      <w:u w:val="single"/>
    </w:rPr>
  </w:style>
  <w:style w:type="paragraph" w:styleId="951">
    <w:name w:val="ConsNonformat"/>
    <w:next w:val="951"/>
    <w:link w:val="952"/>
    <w:pPr>
      <w:widowControl w:val="off"/>
    </w:pPr>
    <w:rPr>
      <w:rFonts w:ascii="Courier New" w:hAnsi="Courier New" w:cs="Courier New"/>
      <w:sz w:val="26"/>
      <w:szCs w:val="26"/>
      <w:lang w:val="ru-RU" w:eastAsia="ru-RU" w:bidi="ar-SA"/>
    </w:rPr>
  </w:style>
  <w:style w:type="character" w:styleId="952">
    <w:name w:val="ConsNonformat Знак"/>
    <w:next w:val="952"/>
    <w:link w:val="951"/>
    <w:rPr>
      <w:rFonts w:ascii="Courier New" w:hAnsi="Courier New" w:cs="Courier New"/>
      <w:sz w:val="26"/>
      <w:szCs w:val="26"/>
      <w:lang w:val="ru-RU" w:eastAsia="ru-RU" w:bidi="ar-SA"/>
    </w:rPr>
  </w:style>
  <w:style w:type="character" w:styleId="953">
    <w:name w:val="title1"/>
    <w:next w:val="953"/>
    <w:link w:val="927"/>
    <w:rPr>
      <w:rFonts w:ascii="Verdana" w:hAnsi="Verdana" w:cs="Verdana"/>
      <w:b/>
      <w:bCs/>
      <w:color w:val="000000"/>
      <w:sz w:val="20"/>
      <w:szCs w:val="20"/>
    </w:rPr>
  </w:style>
  <w:style w:type="paragraph" w:styleId="954">
    <w:name w:val="Текст"/>
    <w:basedOn w:val="927"/>
    <w:next w:val="954"/>
    <w:link w:val="955"/>
    <w:unhideWhenUsed/>
    <w:rPr>
      <w:rFonts w:ascii="Consolas" w:hAnsi="Consolas" w:eastAsia="Calibri"/>
      <w:sz w:val="21"/>
      <w:szCs w:val="21"/>
      <w:lang w:val="en-US" w:eastAsia="en-US"/>
    </w:rPr>
  </w:style>
  <w:style w:type="character" w:styleId="955">
    <w:name w:val="Текст Знак"/>
    <w:next w:val="955"/>
    <w:link w:val="954"/>
    <w:rPr>
      <w:rFonts w:ascii="Consolas" w:hAnsi="Consolas" w:eastAsia="Calibri"/>
      <w:sz w:val="21"/>
      <w:szCs w:val="21"/>
      <w:lang w:eastAsia="en-US"/>
    </w:rPr>
  </w:style>
  <w:style w:type="character" w:styleId="956">
    <w:name w:val="apple-converted-space"/>
    <w:basedOn w:val="929"/>
    <w:next w:val="956"/>
    <w:link w:val="927"/>
    <w:uiPriority w:val="99"/>
  </w:style>
  <w:style w:type="paragraph" w:styleId="957">
    <w:name w:val="Основной текст с отступом 2"/>
    <w:basedOn w:val="927"/>
    <w:next w:val="957"/>
    <w:link w:val="958"/>
    <w:pPr>
      <w:ind w:left="283"/>
      <w:spacing w:after="120" w:line="480" w:lineRule="auto"/>
    </w:pPr>
    <w:rPr>
      <w:lang w:val="en-US" w:eastAsia="en-US"/>
    </w:rPr>
  </w:style>
  <w:style w:type="character" w:styleId="958">
    <w:name w:val="Основной текст с отступом 2 Знак"/>
    <w:next w:val="958"/>
    <w:link w:val="957"/>
    <w:rPr>
      <w:sz w:val="24"/>
      <w:szCs w:val="24"/>
    </w:rPr>
  </w:style>
  <w:style w:type="paragraph" w:styleId="959">
    <w:name w:val="Основной текст 3"/>
    <w:basedOn w:val="927"/>
    <w:next w:val="959"/>
    <w:link w:val="960"/>
    <w:pPr>
      <w:spacing w:after="120"/>
    </w:pPr>
    <w:rPr>
      <w:sz w:val="16"/>
      <w:szCs w:val="16"/>
      <w:lang w:val="en-US" w:eastAsia="en-US"/>
    </w:rPr>
  </w:style>
  <w:style w:type="character" w:styleId="960">
    <w:name w:val="Основной текст 3 Знак"/>
    <w:next w:val="960"/>
    <w:link w:val="959"/>
    <w:rPr>
      <w:sz w:val="16"/>
      <w:szCs w:val="16"/>
    </w:rPr>
  </w:style>
  <w:style w:type="paragraph" w:styleId="961">
    <w:name w:val="Основной текст 2"/>
    <w:basedOn w:val="927"/>
    <w:next w:val="961"/>
    <w:link w:val="962"/>
    <w:pPr>
      <w:spacing w:after="120" w:line="480" w:lineRule="auto"/>
    </w:pPr>
    <w:rPr>
      <w:lang w:val="en-US" w:eastAsia="en-US"/>
    </w:rPr>
  </w:style>
  <w:style w:type="character" w:styleId="962">
    <w:name w:val="Основной текст 2 Знак"/>
    <w:next w:val="962"/>
    <w:link w:val="961"/>
    <w:rPr>
      <w:sz w:val="24"/>
      <w:szCs w:val="24"/>
    </w:rPr>
  </w:style>
  <w:style w:type="character" w:styleId="963">
    <w:name w:val="Строгий"/>
    <w:next w:val="963"/>
    <w:link w:val="927"/>
    <w:uiPriority w:val="99"/>
    <w:qFormat/>
    <w:rPr>
      <w:rFonts w:cs="Times New Roman"/>
      <w:b/>
      <w:bCs/>
    </w:rPr>
  </w:style>
  <w:style w:type="character" w:styleId="964">
    <w:name w:val="Выделение"/>
    <w:next w:val="964"/>
    <w:link w:val="927"/>
    <w:uiPriority w:val="99"/>
    <w:qFormat/>
    <w:rPr>
      <w:i/>
      <w:iCs/>
    </w:rPr>
  </w:style>
  <w:style w:type="table" w:styleId="965">
    <w:name w:val="Сетка таблицы"/>
    <w:basedOn w:val="930"/>
    <w:next w:val="965"/>
    <w:link w:val="927"/>
    <w:rPr>
      <w:rFonts w:ascii="Calibri" w:hAnsi="Calibri" w:eastAsia="Times New Roman" w:cs="Times New Roman"/>
      <w:sz w:val="22"/>
      <w:szCs w:val="22"/>
    </w:rPr>
    <w:tblPr/>
  </w:style>
  <w:style w:type="character" w:styleId="966" w:default="1">
    <w:name w:val="Default Paragraph Font"/>
    <w:uiPriority w:val="1"/>
    <w:semiHidden/>
    <w:unhideWhenUsed/>
  </w:style>
  <w:style w:type="numbering" w:styleId="967" w:default="1">
    <w:name w:val="No List"/>
    <w:uiPriority w:val="99"/>
    <w:semiHidden/>
    <w:unhideWhenUsed/>
  </w:style>
  <w:style w:type="table" w:styleId="96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Kraftway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</dc:title>
  <dc:creator>hgd</dc:creator>
  <cp:revision>30</cp:revision>
  <dcterms:created xsi:type="dcterms:W3CDTF">2024-10-14T07:04:00Z</dcterms:created>
  <dcterms:modified xsi:type="dcterms:W3CDTF">2026-07-21T04:00:45Z</dcterms:modified>
  <cp:version>917504</cp:version>
</cp:coreProperties>
</file>