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801B27">
        <w:rPr>
          <w:rStyle w:val="1"/>
          <w:sz w:val="24"/>
          <w:szCs w:val="24"/>
        </w:rPr>
        <w:t>телевизоров</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D859E9" w:rsidRPr="00FB2D48" w:rsidRDefault="002B548A" w:rsidP="000D0D9D">
      <w:pPr>
        <w:pStyle w:val="a3"/>
        <w:spacing w:before="0" w:after="0"/>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801B27">
        <w:rPr>
          <w:b w:val="0"/>
          <w:sz w:val="24"/>
          <w:szCs w:val="24"/>
        </w:rPr>
        <w:t>телевизоры</w:t>
      </w:r>
      <w:r w:rsidR="00D82F7E" w:rsidRPr="00D82F7E">
        <w:rPr>
          <w:b w:val="0"/>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w:t>
      </w:r>
      <w:r w:rsidRPr="00FB2D48">
        <w:rPr>
          <w:lang w:eastAsia="en-US"/>
        </w:rPr>
        <w:lastRenderedPageBreak/>
        <w:t>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2D37BB">
        <w:t>30 (тридцати</w:t>
      </w:r>
      <w:r w:rsidRPr="00BF40C6">
        <w:t xml:space="preserve">) </w:t>
      </w:r>
      <w:r w:rsidR="002D37BB">
        <w:t>календарных</w:t>
      </w:r>
      <w:r w:rsidRPr="00BF40C6">
        <w:t xml:space="preserve"> дней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FB2D48">
        <w:rPr>
          <w:rFonts w:ascii="Times New Roman" w:hAnsi="Times New Roman" w:cs="Times New Roman"/>
          <w:sz w:val="24"/>
          <w:szCs w:val="24"/>
        </w:rPr>
        <w:lastRenderedPageBreak/>
        <w:t xml:space="preserve">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2D37BB" w:rsidRPr="002D37BB">
        <w:t>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Заказчиком документа о приемке</w:t>
      </w:r>
      <w:r w:rsidR="00B5008C" w:rsidRPr="00B5008C">
        <w:t>.</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F1272">
        <w:rPr>
          <w:lang w:eastAsia="en-US"/>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0" w:name="_Hlk111724154"/>
      <w:r w:rsidR="007455BF" w:rsidRPr="00946DD5">
        <w:rPr>
          <w:rFonts w:eastAsia="Calibri"/>
          <w:bCs/>
          <w:i/>
          <w:iCs/>
          <w:snapToGrid w:val="0"/>
          <w:color w:val="000000"/>
        </w:rPr>
        <w:t>(заполняется Заказчиком на стадии заключения Контракта)</w:t>
      </w:r>
    </w:p>
    <w:bookmarkEnd w:id="20"/>
    <w:p w:rsidR="007455BF" w:rsidRPr="004A632B" w:rsidRDefault="007455BF" w:rsidP="007455BF">
      <w:pPr>
        <w:widowControl w:val="0"/>
        <w:autoSpaceDE w:val="0"/>
        <w:autoSpaceDN w:val="0"/>
        <w:adjustRightInd w:val="0"/>
        <w:ind w:firstLine="709"/>
        <w:jc w:val="both"/>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4962"/>
        <w:gridCol w:w="1275"/>
        <w:gridCol w:w="567"/>
        <w:gridCol w:w="709"/>
        <w:gridCol w:w="998"/>
        <w:gridCol w:w="998"/>
      </w:tblGrid>
      <w:tr w:rsidR="008D6AD5" w:rsidRPr="004A632B" w:rsidTr="0069692B">
        <w:trPr>
          <w:trHeight w:val="915"/>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C714A3" w:rsidP="00B15D60">
            <w:pPr>
              <w:jc w:val="center"/>
              <w:rPr>
                <w:b/>
                <w:sz w:val="20"/>
                <w:szCs w:val="20"/>
              </w:rPr>
            </w:pPr>
            <w:r w:rsidRPr="004B5C98">
              <w:rPr>
                <w:b/>
                <w:sz w:val="20"/>
                <w:szCs w:val="20"/>
              </w:rPr>
              <w:t>Наимено</w:t>
            </w:r>
            <w:r>
              <w:rPr>
                <w:b/>
                <w:sz w:val="20"/>
                <w:szCs w:val="20"/>
              </w:rPr>
              <w:t>в</w:t>
            </w:r>
            <w:r w:rsidRPr="004B5C98">
              <w:rPr>
                <w:b/>
                <w:sz w:val="20"/>
                <w:szCs w:val="20"/>
              </w:rPr>
              <w:t>ание</w:t>
            </w:r>
            <w:r w:rsidR="008D6AD5" w:rsidRPr="004B5C98">
              <w:rPr>
                <w:b/>
                <w:sz w:val="20"/>
                <w:szCs w:val="20"/>
              </w:rPr>
              <w:t xml:space="preserve"> товара</w:t>
            </w:r>
          </w:p>
        </w:tc>
        <w:tc>
          <w:tcPr>
            <w:tcW w:w="4962"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8D6AD5">
            <w:pPr>
              <w:jc w:val="center"/>
              <w:rPr>
                <w:b/>
                <w:sz w:val="20"/>
                <w:szCs w:val="20"/>
              </w:rPr>
            </w:pPr>
            <w:r w:rsidRPr="004B5C98">
              <w:rPr>
                <w:b/>
                <w:sz w:val="20"/>
                <w:szCs w:val="20"/>
              </w:rPr>
              <w:t xml:space="preserve">Характеристики товара  </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jc w:val="center"/>
              <w:rPr>
                <w:b/>
                <w:sz w:val="20"/>
                <w:szCs w:val="20"/>
              </w:rPr>
            </w:pPr>
            <w:r w:rsidRPr="004B5C98">
              <w:rPr>
                <w:b/>
                <w:sz w:val="20"/>
                <w:szCs w:val="20"/>
              </w:rPr>
              <w:t xml:space="preserve">Страна </w:t>
            </w:r>
            <w:r w:rsidR="00C714A3" w:rsidRPr="004B5C98">
              <w:rPr>
                <w:b/>
                <w:sz w:val="20"/>
                <w:szCs w:val="20"/>
              </w:rPr>
              <w:t>происхож</w:t>
            </w:r>
            <w:r w:rsidR="00C714A3">
              <w:rPr>
                <w:b/>
                <w:sz w:val="20"/>
                <w:szCs w:val="20"/>
              </w:rPr>
              <w:t>д</w:t>
            </w:r>
            <w:r w:rsidR="00C714A3" w:rsidRPr="004B5C98">
              <w:rPr>
                <w:b/>
                <w:sz w:val="20"/>
                <w:szCs w:val="20"/>
              </w:rPr>
              <w:t>ения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Ед. изм.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Кол-во</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Цена за ед. товара, руб.</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Сумма, руб.</w:t>
            </w:r>
          </w:p>
        </w:tc>
      </w:tr>
      <w:tr w:rsidR="008D6AD5" w:rsidRPr="004A632B" w:rsidTr="0069692B">
        <w:trPr>
          <w:trHeight w:val="364"/>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01B27" w:rsidP="00B15D60">
            <w:pPr>
              <w:rPr>
                <w:sz w:val="20"/>
                <w:szCs w:val="20"/>
              </w:rPr>
            </w:pPr>
            <w:r>
              <w:rPr>
                <w:sz w:val="20"/>
                <w:szCs w:val="20"/>
              </w:rPr>
              <w:t>Телевизор</w:t>
            </w:r>
          </w:p>
        </w:tc>
        <w:tc>
          <w:tcPr>
            <w:tcW w:w="4962" w:type="dxa"/>
            <w:tcBorders>
              <w:top w:val="single" w:sz="4" w:space="0" w:color="auto"/>
              <w:left w:val="single" w:sz="4" w:space="0" w:color="auto"/>
              <w:bottom w:val="single" w:sz="4" w:space="0" w:color="auto"/>
              <w:right w:val="single" w:sz="4" w:space="0" w:color="auto"/>
            </w:tcBorders>
            <w:noWrap/>
            <w:vAlign w:val="center"/>
          </w:tcPr>
          <w:p w:rsidR="00801B27" w:rsidRPr="00801B27" w:rsidRDefault="00801B27" w:rsidP="00801B27">
            <w:pPr>
              <w:rPr>
                <w:sz w:val="20"/>
                <w:szCs w:val="20"/>
              </w:rPr>
            </w:pPr>
            <w:r w:rsidRPr="00801B27">
              <w:rPr>
                <w:sz w:val="20"/>
                <w:szCs w:val="20"/>
              </w:rPr>
              <w:t xml:space="preserve">Диагональ экрана: ≥ 85 и </w:t>
            </w:r>
            <w:proofErr w:type="gramStart"/>
            <w:r w:rsidRPr="00801B27">
              <w:rPr>
                <w:sz w:val="20"/>
                <w:szCs w:val="20"/>
              </w:rPr>
              <w:t>&lt; 90</w:t>
            </w:r>
            <w:proofErr w:type="gramEnd"/>
            <w:r w:rsidRPr="00801B27">
              <w:rPr>
                <w:sz w:val="20"/>
                <w:szCs w:val="20"/>
              </w:rPr>
              <w:t xml:space="preserve"> Дюйм (25,4 мм)</w:t>
            </w:r>
          </w:p>
          <w:p w:rsidR="00801B27" w:rsidRPr="00801B27" w:rsidRDefault="00801B27" w:rsidP="00801B27">
            <w:pPr>
              <w:rPr>
                <w:sz w:val="20"/>
                <w:szCs w:val="20"/>
              </w:rPr>
            </w:pPr>
            <w:r w:rsidRPr="00801B27">
              <w:rPr>
                <w:sz w:val="20"/>
                <w:szCs w:val="20"/>
              </w:rPr>
              <w:t>Класс энергетической эффективности: Не ниже А</w:t>
            </w:r>
          </w:p>
          <w:p w:rsidR="00801B27" w:rsidRPr="00801B27" w:rsidRDefault="00801B27" w:rsidP="00801B27">
            <w:pPr>
              <w:rPr>
                <w:sz w:val="20"/>
                <w:szCs w:val="20"/>
              </w:rPr>
            </w:pPr>
            <w:r w:rsidRPr="00801B27">
              <w:rPr>
                <w:sz w:val="20"/>
                <w:szCs w:val="20"/>
              </w:rPr>
              <w:t xml:space="preserve">Наличие </w:t>
            </w:r>
            <w:proofErr w:type="spellStart"/>
            <w:r w:rsidRPr="00801B27">
              <w:rPr>
                <w:sz w:val="20"/>
                <w:szCs w:val="20"/>
              </w:rPr>
              <w:t>Smart</w:t>
            </w:r>
            <w:proofErr w:type="spellEnd"/>
            <w:r w:rsidRPr="00801B27">
              <w:rPr>
                <w:sz w:val="20"/>
                <w:szCs w:val="20"/>
              </w:rPr>
              <w:t xml:space="preserve"> TV: Да</w:t>
            </w:r>
          </w:p>
          <w:p w:rsidR="00801B27" w:rsidRPr="00801B27" w:rsidRDefault="00801B27" w:rsidP="00801B27">
            <w:pPr>
              <w:rPr>
                <w:sz w:val="20"/>
                <w:szCs w:val="20"/>
              </w:rPr>
            </w:pPr>
            <w:r w:rsidRPr="00801B27">
              <w:rPr>
                <w:sz w:val="20"/>
                <w:szCs w:val="20"/>
              </w:rPr>
              <w:t>Наличие Wi-Fi: Да</w:t>
            </w:r>
          </w:p>
          <w:p w:rsidR="00801B27" w:rsidRPr="00801B27" w:rsidRDefault="00801B27" w:rsidP="00801B27">
            <w:pPr>
              <w:rPr>
                <w:sz w:val="20"/>
                <w:szCs w:val="20"/>
              </w:rPr>
            </w:pPr>
            <w:r w:rsidRPr="00801B27">
              <w:rPr>
                <w:sz w:val="20"/>
                <w:szCs w:val="20"/>
              </w:rPr>
              <w:t xml:space="preserve">Мощность звука ≥ 30 Ватт </w:t>
            </w:r>
          </w:p>
          <w:p w:rsidR="00801B27" w:rsidRPr="00801B27" w:rsidRDefault="00801B27" w:rsidP="00801B27">
            <w:pPr>
              <w:rPr>
                <w:sz w:val="20"/>
                <w:szCs w:val="20"/>
              </w:rPr>
            </w:pPr>
            <w:r w:rsidRPr="00801B27">
              <w:rPr>
                <w:sz w:val="20"/>
                <w:szCs w:val="20"/>
              </w:rPr>
              <w:t>Объем оперативной памяти ≥ 3 Гигабайт</w:t>
            </w:r>
          </w:p>
          <w:p w:rsidR="00801B27" w:rsidRPr="00801B27" w:rsidRDefault="00801B27" w:rsidP="00801B27">
            <w:pPr>
              <w:rPr>
                <w:sz w:val="20"/>
                <w:szCs w:val="20"/>
              </w:rPr>
            </w:pPr>
            <w:r w:rsidRPr="00801B27">
              <w:rPr>
                <w:sz w:val="20"/>
                <w:szCs w:val="20"/>
              </w:rPr>
              <w:t xml:space="preserve">Операционная система </w:t>
            </w:r>
            <w:proofErr w:type="spellStart"/>
            <w:r w:rsidRPr="00801B27">
              <w:rPr>
                <w:sz w:val="20"/>
                <w:szCs w:val="20"/>
              </w:rPr>
              <w:t>Android</w:t>
            </w:r>
            <w:proofErr w:type="spellEnd"/>
            <w:r w:rsidRPr="00801B27">
              <w:rPr>
                <w:sz w:val="20"/>
                <w:szCs w:val="20"/>
              </w:rPr>
              <w:t xml:space="preserve"> TV </w:t>
            </w:r>
          </w:p>
          <w:p w:rsidR="00801B27" w:rsidRPr="00801B27" w:rsidRDefault="00801B27" w:rsidP="00801B27">
            <w:pPr>
              <w:rPr>
                <w:sz w:val="20"/>
                <w:szCs w:val="20"/>
              </w:rPr>
            </w:pPr>
            <w:r w:rsidRPr="00801B27">
              <w:rPr>
                <w:sz w:val="20"/>
                <w:szCs w:val="20"/>
              </w:rPr>
              <w:t xml:space="preserve">Разрешение экрана: 4K UHD </w:t>
            </w:r>
          </w:p>
          <w:p w:rsidR="00801B27" w:rsidRPr="00801B27" w:rsidRDefault="00801B27" w:rsidP="00801B27">
            <w:pPr>
              <w:rPr>
                <w:sz w:val="20"/>
                <w:szCs w:val="20"/>
              </w:rPr>
            </w:pPr>
            <w:r w:rsidRPr="00801B27">
              <w:rPr>
                <w:sz w:val="20"/>
                <w:szCs w:val="20"/>
              </w:rPr>
              <w:t>Тип экрана: QLED</w:t>
            </w:r>
          </w:p>
          <w:p w:rsidR="00801B27" w:rsidRPr="00801B27" w:rsidRDefault="00801B27" w:rsidP="00801B27">
            <w:pPr>
              <w:rPr>
                <w:sz w:val="20"/>
                <w:szCs w:val="20"/>
              </w:rPr>
            </w:pPr>
            <w:r w:rsidRPr="00801B27">
              <w:rPr>
                <w:sz w:val="20"/>
                <w:szCs w:val="20"/>
              </w:rPr>
              <w:t>Угол обзора</w:t>
            </w:r>
            <w:proofErr w:type="gramStart"/>
            <w:r w:rsidRPr="00801B27">
              <w:rPr>
                <w:sz w:val="20"/>
                <w:szCs w:val="20"/>
              </w:rPr>
              <w:t>: &gt;</w:t>
            </w:r>
            <w:proofErr w:type="gramEnd"/>
            <w:r w:rsidRPr="00801B27">
              <w:rPr>
                <w:sz w:val="20"/>
                <w:szCs w:val="20"/>
              </w:rPr>
              <w:t xml:space="preserve"> 170 град</w:t>
            </w:r>
          </w:p>
          <w:p w:rsidR="00801B27" w:rsidRPr="00801B27" w:rsidRDefault="00801B27" w:rsidP="00801B27">
            <w:pPr>
              <w:rPr>
                <w:sz w:val="20"/>
                <w:szCs w:val="20"/>
              </w:rPr>
            </w:pPr>
            <w:r w:rsidRPr="00801B27">
              <w:rPr>
                <w:sz w:val="20"/>
                <w:szCs w:val="20"/>
              </w:rPr>
              <w:t>Цифровые тюнеры: DVB-</w:t>
            </w:r>
            <w:proofErr w:type="gramStart"/>
            <w:r w:rsidRPr="00801B27">
              <w:rPr>
                <w:sz w:val="20"/>
                <w:szCs w:val="20"/>
              </w:rPr>
              <w:t>C  DVB</w:t>
            </w:r>
            <w:proofErr w:type="gramEnd"/>
            <w:r w:rsidRPr="00801B27">
              <w:rPr>
                <w:sz w:val="20"/>
                <w:szCs w:val="20"/>
              </w:rPr>
              <w:t>-S2  DVB-T2</w:t>
            </w:r>
          </w:p>
          <w:p w:rsidR="00801B27" w:rsidRPr="00801B27" w:rsidRDefault="00801B27" w:rsidP="00801B27">
            <w:pPr>
              <w:rPr>
                <w:sz w:val="20"/>
                <w:szCs w:val="20"/>
              </w:rPr>
            </w:pPr>
            <w:r w:rsidRPr="00801B27">
              <w:rPr>
                <w:sz w:val="20"/>
                <w:szCs w:val="20"/>
              </w:rPr>
              <w:t xml:space="preserve">Частота обновления экрана; 120 Герц </w:t>
            </w:r>
          </w:p>
          <w:p w:rsidR="00801B27" w:rsidRPr="00801B27" w:rsidRDefault="00801B27" w:rsidP="00801B27">
            <w:pPr>
              <w:rPr>
                <w:sz w:val="20"/>
                <w:szCs w:val="20"/>
              </w:rPr>
            </w:pPr>
            <w:r w:rsidRPr="00801B27">
              <w:rPr>
                <w:sz w:val="20"/>
                <w:szCs w:val="20"/>
              </w:rPr>
              <w:t>Яркость экрана, кд/м2: ≥ 400</w:t>
            </w:r>
          </w:p>
          <w:p w:rsidR="00801B27" w:rsidRPr="00801B27" w:rsidRDefault="00801B27" w:rsidP="00801B27">
            <w:pPr>
              <w:rPr>
                <w:sz w:val="20"/>
                <w:szCs w:val="20"/>
              </w:rPr>
            </w:pPr>
            <w:r w:rsidRPr="00801B27">
              <w:rPr>
                <w:sz w:val="20"/>
                <w:szCs w:val="20"/>
              </w:rPr>
              <w:t xml:space="preserve">Дополнительно: Пульт мультимедийный </w:t>
            </w:r>
          </w:p>
          <w:p w:rsidR="00801B27" w:rsidRPr="00801B27" w:rsidRDefault="00801B27" w:rsidP="00801B27">
            <w:pPr>
              <w:rPr>
                <w:sz w:val="20"/>
                <w:szCs w:val="20"/>
              </w:rPr>
            </w:pPr>
            <w:r w:rsidRPr="00801B27">
              <w:rPr>
                <w:sz w:val="20"/>
                <w:szCs w:val="20"/>
              </w:rPr>
              <w:t>Мощность звука ≥ 30 Ватт</w:t>
            </w:r>
          </w:p>
          <w:p w:rsidR="00801B27" w:rsidRPr="00801B27" w:rsidRDefault="00801B27" w:rsidP="00801B27">
            <w:pPr>
              <w:rPr>
                <w:sz w:val="20"/>
                <w:szCs w:val="20"/>
              </w:rPr>
            </w:pPr>
            <w:r w:rsidRPr="00801B27">
              <w:rPr>
                <w:sz w:val="20"/>
                <w:szCs w:val="20"/>
              </w:rPr>
              <w:t>Разъемы: HDMI, USB</w:t>
            </w:r>
          </w:p>
          <w:p w:rsidR="00801B27" w:rsidRPr="00801B27" w:rsidRDefault="00801B27" w:rsidP="00801B27">
            <w:pPr>
              <w:rPr>
                <w:sz w:val="20"/>
                <w:szCs w:val="20"/>
              </w:rPr>
            </w:pPr>
            <w:r w:rsidRPr="00801B27">
              <w:rPr>
                <w:sz w:val="20"/>
                <w:szCs w:val="20"/>
              </w:rPr>
              <w:t xml:space="preserve">Функции и возможности: Голосовой ассистент, </w:t>
            </w:r>
            <w:proofErr w:type="spellStart"/>
            <w:r w:rsidRPr="00801B27">
              <w:rPr>
                <w:sz w:val="20"/>
                <w:szCs w:val="20"/>
              </w:rPr>
              <w:t>Bluetooth</w:t>
            </w:r>
            <w:proofErr w:type="spellEnd"/>
            <w:r w:rsidRPr="00801B27">
              <w:rPr>
                <w:sz w:val="20"/>
                <w:szCs w:val="20"/>
              </w:rPr>
              <w:t xml:space="preserve">, </w:t>
            </w:r>
            <w:proofErr w:type="spellStart"/>
            <w:r w:rsidRPr="00801B27">
              <w:rPr>
                <w:sz w:val="20"/>
                <w:szCs w:val="20"/>
              </w:rPr>
              <w:t>Miracast</w:t>
            </w:r>
            <w:proofErr w:type="spellEnd"/>
            <w:r w:rsidRPr="00801B27">
              <w:rPr>
                <w:sz w:val="20"/>
                <w:szCs w:val="20"/>
              </w:rPr>
              <w:t xml:space="preserve">, </w:t>
            </w:r>
            <w:proofErr w:type="spellStart"/>
            <w:r w:rsidRPr="00801B27">
              <w:rPr>
                <w:sz w:val="20"/>
                <w:szCs w:val="20"/>
              </w:rPr>
              <w:t>Airplay</w:t>
            </w:r>
            <w:proofErr w:type="spellEnd"/>
          </w:p>
          <w:p w:rsidR="008D6AD5" w:rsidRPr="004B5C98" w:rsidRDefault="00801B27" w:rsidP="00801B27">
            <w:pPr>
              <w:rPr>
                <w:sz w:val="20"/>
                <w:szCs w:val="20"/>
              </w:rPr>
            </w:pPr>
            <w:r w:rsidRPr="00801B27">
              <w:rPr>
                <w:sz w:val="20"/>
                <w:szCs w:val="20"/>
              </w:rPr>
              <w:t>Количество: HDMI портов ≥ 3 Штука</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01B27" w:rsidP="0069692B">
            <w:pPr>
              <w:jc w:val="center"/>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sz w:val="20"/>
                <w:szCs w:val="20"/>
              </w:rPr>
            </w:pPr>
          </w:p>
        </w:tc>
      </w:tr>
      <w:tr w:rsidR="00801B27" w:rsidRPr="004A632B" w:rsidTr="0069692B">
        <w:trPr>
          <w:trHeight w:val="364"/>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801B27" w:rsidRDefault="00801B27" w:rsidP="00B15D60">
            <w:pPr>
              <w:rPr>
                <w:sz w:val="20"/>
                <w:szCs w:val="20"/>
              </w:rPr>
            </w:pPr>
            <w:r w:rsidRPr="00801B27">
              <w:rPr>
                <w:sz w:val="20"/>
                <w:szCs w:val="20"/>
              </w:rPr>
              <w:t>Телевизор</w:t>
            </w:r>
          </w:p>
        </w:tc>
        <w:tc>
          <w:tcPr>
            <w:tcW w:w="4962" w:type="dxa"/>
            <w:tcBorders>
              <w:top w:val="single" w:sz="4" w:space="0" w:color="auto"/>
              <w:left w:val="single" w:sz="4" w:space="0" w:color="auto"/>
              <w:bottom w:val="single" w:sz="4" w:space="0" w:color="auto"/>
              <w:right w:val="single" w:sz="4" w:space="0" w:color="auto"/>
            </w:tcBorders>
            <w:noWrap/>
            <w:vAlign w:val="center"/>
          </w:tcPr>
          <w:p w:rsidR="00801B27" w:rsidRPr="00801B27" w:rsidRDefault="00801B27" w:rsidP="00801B27">
            <w:pPr>
              <w:rPr>
                <w:sz w:val="20"/>
                <w:szCs w:val="20"/>
              </w:rPr>
            </w:pPr>
            <w:r w:rsidRPr="00801B27">
              <w:rPr>
                <w:sz w:val="20"/>
                <w:szCs w:val="20"/>
              </w:rPr>
              <w:t xml:space="preserve">Диагональ экрана ≥ 40 и </w:t>
            </w:r>
            <w:proofErr w:type="gramStart"/>
            <w:r w:rsidRPr="00801B27">
              <w:rPr>
                <w:sz w:val="20"/>
                <w:szCs w:val="20"/>
              </w:rPr>
              <w:t>&lt; 45</w:t>
            </w:r>
            <w:proofErr w:type="gramEnd"/>
            <w:r w:rsidRPr="00801B27">
              <w:rPr>
                <w:sz w:val="20"/>
                <w:szCs w:val="20"/>
              </w:rPr>
              <w:t xml:space="preserve"> Дюйм (25,4 мм)</w:t>
            </w:r>
          </w:p>
          <w:p w:rsidR="00801B27" w:rsidRPr="00801B27" w:rsidRDefault="00801B27" w:rsidP="00801B27">
            <w:pPr>
              <w:rPr>
                <w:sz w:val="20"/>
                <w:szCs w:val="20"/>
              </w:rPr>
            </w:pPr>
            <w:r w:rsidRPr="00801B27">
              <w:rPr>
                <w:sz w:val="20"/>
                <w:szCs w:val="20"/>
              </w:rPr>
              <w:t xml:space="preserve">Дополнительно Пульт мультимедийный </w:t>
            </w:r>
          </w:p>
          <w:p w:rsidR="00801B27" w:rsidRPr="00801B27" w:rsidRDefault="00801B27" w:rsidP="00801B27">
            <w:pPr>
              <w:rPr>
                <w:sz w:val="20"/>
                <w:szCs w:val="20"/>
              </w:rPr>
            </w:pPr>
            <w:r w:rsidRPr="00801B27">
              <w:rPr>
                <w:sz w:val="20"/>
                <w:szCs w:val="20"/>
              </w:rPr>
              <w:t>Изогнутый экран Нет</w:t>
            </w:r>
          </w:p>
          <w:p w:rsidR="00801B27" w:rsidRPr="00801B27" w:rsidRDefault="00801B27" w:rsidP="00801B27">
            <w:pPr>
              <w:rPr>
                <w:sz w:val="20"/>
                <w:szCs w:val="20"/>
              </w:rPr>
            </w:pPr>
            <w:r w:rsidRPr="00801B27">
              <w:rPr>
                <w:sz w:val="20"/>
                <w:szCs w:val="20"/>
              </w:rPr>
              <w:t xml:space="preserve">Класс энергетической эффективности </w:t>
            </w:r>
            <w:proofErr w:type="gramStart"/>
            <w:r w:rsidRPr="00801B27">
              <w:rPr>
                <w:sz w:val="20"/>
                <w:szCs w:val="20"/>
              </w:rPr>
              <w:t>Не</w:t>
            </w:r>
            <w:proofErr w:type="gramEnd"/>
            <w:r w:rsidRPr="00801B27">
              <w:rPr>
                <w:sz w:val="20"/>
                <w:szCs w:val="20"/>
              </w:rPr>
              <w:t xml:space="preserve"> ниже А </w:t>
            </w:r>
          </w:p>
          <w:p w:rsidR="00801B27" w:rsidRPr="00801B27" w:rsidRDefault="00801B27" w:rsidP="00801B27">
            <w:pPr>
              <w:rPr>
                <w:sz w:val="20"/>
                <w:szCs w:val="20"/>
              </w:rPr>
            </w:pPr>
            <w:r w:rsidRPr="00801B27">
              <w:rPr>
                <w:sz w:val="20"/>
                <w:szCs w:val="20"/>
              </w:rPr>
              <w:t xml:space="preserve">Мощность звука ≥ </w:t>
            </w:r>
            <w:proofErr w:type="gramStart"/>
            <w:r w:rsidRPr="00801B27">
              <w:rPr>
                <w:sz w:val="20"/>
                <w:szCs w:val="20"/>
              </w:rPr>
              <w:t>20  и</w:t>
            </w:r>
            <w:proofErr w:type="gramEnd"/>
            <w:r w:rsidRPr="00801B27">
              <w:rPr>
                <w:sz w:val="20"/>
                <w:szCs w:val="20"/>
              </w:rPr>
              <w:t xml:space="preserve">  &lt; 30 Ватт </w:t>
            </w:r>
          </w:p>
          <w:p w:rsidR="00801B27" w:rsidRPr="00801B27" w:rsidRDefault="00801B27" w:rsidP="00801B27">
            <w:pPr>
              <w:rPr>
                <w:sz w:val="20"/>
                <w:szCs w:val="20"/>
              </w:rPr>
            </w:pPr>
            <w:r w:rsidRPr="00801B27">
              <w:rPr>
                <w:sz w:val="20"/>
                <w:szCs w:val="20"/>
              </w:rPr>
              <w:t xml:space="preserve">Наличие </w:t>
            </w:r>
            <w:proofErr w:type="spellStart"/>
            <w:r w:rsidRPr="00801B27">
              <w:rPr>
                <w:sz w:val="20"/>
                <w:szCs w:val="20"/>
              </w:rPr>
              <w:t>Smart</w:t>
            </w:r>
            <w:proofErr w:type="spellEnd"/>
            <w:r w:rsidRPr="00801B27">
              <w:rPr>
                <w:sz w:val="20"/>
                <w:szCs w:val="20"/>
              </w:rPr>
              <w:t xml:space="preserve"> TV Да  </w:t>
            </w:r>
          </w:p>
          <w:p w:rsidR="00801B27" w:rsidRPr="00801B27" w:rsidRDefault="00801B27" w:rsidP="00801B27">
            <w:pPr>
              <w:rPr>
                <w:sz w:val="20"/>
                <w:szCs w:val="20"/>
              </w:rPr>
            </w:pPr>
            <w:r w:rsidRPr="00801B27">
              <w:rPr>
                <w:sz w:val="20"/>
                <w:szCs w:val="20"/>
              </w:rPr>
              <w:t xml:space="preserve">Наличие Wi-Fi Да  </w:t>
            </w:r>
          </w:p>
          <w:p w:rsidR="00801B27" w:rsidRPr="00801B27" w:rsidRDefault="00801B27" w:rsidP="00801B27">
            <w:pPr>
              <w:rPr>
                <w:sz w:val="20"/>
                <w:szCs w:val="20"/>
              </w:rPr>
            </w:pPr>
            <w:r w:rsidRPr="00801B27">
              <w:rPr>
                <w:sz w:val="20"/>
                <w:szCs w:val="20"/>
              </w:rPr>
              <w:t>Объем оперативной памяти ≥ 2 Гигабайт</w:t>
            </w:r>
          </w:p>
          <w:p w:rsidR="00801B27" w:rsidRPr="00801B27" w:rsidRDefault="00801B27" w:rsidP="00801B27">
            <w:pPr>
              <w:rPr>
                <w:sz w:val="20"/>
                <w:szCs w:val="20"/>
              </w:rPr>
            </w:pPr>
            <w:r w:rsidRPr="00801B27">
              <w:rPr>
                <w:sz w:val="20"/>
                <w:szCs w:val="20"/>
              </w:rPr>
              <w:t xml:space="preserve">Операционная система </w:t>
            </w:r>
            <w:proofErr w:type="spellStart"/>
            <w:r w:rsidRPr="00801B27">
              <w:rPr>
                <w:sz w:val="20"/>
                <w:szCs w:val="20"/>
              </w:rPr>
              <w:t>Android</w:t>
            </w:r>
            <w:proofErr w:type="spellEnd"/>
            <w:r w:rsidRPr="00801B27">
              <w:rPr>
                <w:sz w:val="20"/>
                <w:szCs w:val="20"/>
              </w:rPr>
              <w:t xml:space="preserve"> TV </w:t>
            </w:r>
          </w:p>
          <w:p w:rsidR="00801B27" w:rsidRPr="00801B27" w:rsidRDefault="00801B27" w:rsidP="00801B27">
            <w:pPr>
              <w:rPr>
                <w:sz w:val="20"/>
                <w:szCs w:val="20"/>
              </w:rPr>
            </w:pPr>
            <w:r w:rsidRPr="00801B27">
              <w:rPr>
                <w:sz w:val="20"/>
                <w:szCs w:val="20"/>
              </w:rPr>
              <w:t xml:space="preserve">Разрешение экрана 4K UHD </w:t>
            </w:r>
          </w:p>
          <w:p w:rsidR="00801B27" w:rsidRPr="00801B27" w:rsidRDefault="00801B27" w:rsidP="00801B27">
            <w:pPr>
              <w:rPr>
                <w:sz w:val="20"/>
                <w:szCs w:val="20"/>
              </w:rPr>
            </w:pPr>
            <w:r w:rsidRPr="00801B27">
              <w:rPr>
                <w:sz w:val="20"/>
                <w:szCs w:val="20"/>
              </w:rPr>
              <w:t>Разъемы HDMI, USB</w:t>
            </w:r>
          </w:p>
          <w:p w:rsidR="00801B27" w:rsidRPr="00801B27" w:rsidRDefault="00801B27" w:rsidP="00801B27">
            <w:pPr>
              <w:rPr>
                <w:sz w:val="20"/>
                <w:szCs w:val="20"/>
              </w:rPr>
            </w:pPr>
            <w:r w:rsidRPr="00801B27">
              <w:rPr>
                <w:sz w:val="20"/>
                <w:szCs w:val="20"/>
              </w:rPr>
              <w:t>Тип экрана QLED</w:t>
            </w:r>
          </w:p>
          <w:p w:rsidR="00801B27" w:rsidRPr="00801B27" w:rsidRDefault="00801B27" w:rsidP="00801B27">
            <w:pPr>
              <w:rPr>
                <w:sz w:val="20"/>
                <w:szCs w:val="20"/>
              </w:rPr>
            </w:pPr>
            <w:r w:rsidRPr="00801B27">
              <w:rPr>
                <w:sz w:val="20"/>
                <w:szCs w:val="20"/>
              </w:rPr>
              <w:t>Угол обзора</w:t>
            </w:r>
            <w:proofErr w:type="gramStart"/>
            <w:r w:rsidRPr="00801B27">
              <w:rPr>
                <w:sz w:val="20"/>
                <w:szCs w:val="20"/>
              </w:rPr>
              <w:t>: &gt;</w:t>
            </w:r>
            <w:proofErr w:type="gramEnd"/>
            <w:r w:rsidRPr="00801B27">
              <w:rPr>
                <w:sz w:val="20"/>
                <w:szCs w:val="20"/>
              </w:rPr>
              <w:t xml:space="preserve"> 170 град</w:t>
            </w:r>
          </w:p>
          <w:p w:rsidR="00801B27" w:rsidRPr="00801B27" w:rsidRDefault="00801B27" w:rsidP="00801B27">
            <w:pPr>
              <w:rPr>
                <w:sz w:val="20"/>
                <w:szCs w:val="20"/>
              </w:rPr>
            </w:pPr>
            <w:r w:rsidRPr="00801B27">
              <w:rPr>
                <w:sz w:val="20"/>
                <w:szCs w:val="20"/>
              </w:rPr>
              <w:t xml:space="preserve">Функции и возможности: Голосовой </w:t>
            </w:r>
            <w:proofErr w:type="gramStart"/>
            <w:r w:rsidRPr="00801B27">
              <w:rPr>
                <w:sz w:val="20"/>
                <w:szCs w:val="20"/>
              </w:rPr>
              <w:t xml:space="preserve">ассистент  </w:t>
            </w:r>
            <w:proofErr w:type="spellStart"/>
            <w:r w:rsidRPr="00801B27">
              <w:rPr>
                <w:sz w:val="20"/>
                <w:szCs w:val="20"/>
              </w:rPr>
              <w:t>Bluetooth</w:t>
            </w:r>
            <w:proofErr w:type="spellEnd"/>
            <w:proofErr w:type="gramEnd"/>
            <w:r w:rsidRPr="00801B27">
              <w:rPr>
                <w:sz w:val="20"/>
                <w:szCs w:val="20"/>
              </w:rPr>
              <w:t xml:space="preserve">  </w:t>
            </w:r>
            <w:proofErr w:type="spellStart"/>
            <w:r w:rsidRPr="00801B27">
              <w:rPr>
                <w:sz w:val="20"/>
                <w:szCs w:val="20"/>
              </w:rPr>
              <w:t>Miracast</w:t>
            </w:r>
            <w:proofErr w:type="spellEnd"/>
            <w:r w:rsidRPr="00801B27">
              <w:rPr>
                <w:sz w:val="20"/>
                <w:szCs w:val="20"/>
              </w:rPr>
              <w:t xml:space="preserve">  </w:t>
            </w:r>
            <w:proofErr w:type="spellStart"/>
            <w:r w:rsidRPr="00801B27">
              <w:rPr>
                <w:sz w:val="20"/>
                <w:szCs w:val="20"/>
              </w:rPr>
              <w:t>Airplay</w:t>
            </w:r>
            <w:proofErr w:type="spellEnd"/>
            <w:r w:rsidRPr="00801B27">
              <w:rPr>
                <w:sz w:val="20"/>
                <w:szCs w:val="20"/>
              </w:rPr>
              <w:t xml:space="preserve"> </w:t>
            </w:r>
          </w:p>
          <w:p w:rsidR="00801B27" w:rsidRPr="00801B27" w:rsidRDefault="00801B27" w:rsidP="00801B27">
            <w:pPr>
              <w:rPr>
                <w:sz w:val="20"/>
                <w:szCs w:val="20"/>
              </w:rPr>
            </w:pPr>
            <w:r w:rsidRPr="00801B27">
              <w:rPr>
                <w:sz w:val="20"/>
                <w:szCs w:val="20"/>
              </w:rPr>
              <w:t>Цифровые тюнеры: DVB-T</w:t>
            </w:r>
            <w:proofErr w:type="gramStart"/>
            <w:r w:rsidRPr="00801B27">
              <w:rPr>
                <w:sz w:val="20"/>
                <w:szCs w:val="20"/>
              </w:rPr>
              <w:t>2  DVB</w:t>
            </w:r>
            <w:proofErr w:type="gramEnd"/>
            <w:r w:rsidRPr="00801B27">
              <w:rPr>
                <w:sz w:val="20"/>
                <w:szCs w:val="20"/>
              </w:rPr>
              <w:t xml:space="preserve">-C  DVB-S2 </w:t>
            </w:r>
          </w:p>
          <w:p w:rsidR="00801B27" w:rsidRPr="00801B27" w:rsidRDefault="00801B27" w:rsidP="00801B27">
            <w:pPr>
              <w:rPr>
                <w:sz w:val="20"/>
                <w:szCs w:val="20"/>
              </w:rPr>
            </w:pPr>
            <w:r w:rsidRPr="00801B27">
              <w:rPr>
                <w:sz w:val="20"/>
                <w:szCs w:val="20"/>
              </w:rPr>
              <w:t xml:space="preserve">Яркость экрана, кд/м2 ≥ 300 </w:t>
            </w:r>
          </w:p>
          <w:p w:rsidR="00801B27" w:rsidRPr="00801B27" w:rsidRDefault="00801B27" w:rsidP="00801B27">
            <w:pPr>
              <w:rPr>
                <w:sz w:val="20"/>
                <w:szCs w:val="20"/>
              </w:rPr>
            </w:pPr>
            <w:r w:rsidRPr="00801B27">
              <w:rPr>
                <w:sz w:val="20"/>
                <w:szCs w:val="20"/>
              </w:rPr>
              <w:t xml:space="preserve">Частота обновления экрана 60 Герц </w:t>
            </w:r>
          </w:p>
          <w:p w:rsidR="00801B27" w:rsidRPr="00801B27" w:rsidRDefault="00801B27" w:rsidP="00801B27">
            <w:pPr>
              <w:rPr>
                <w:sz w:val="20"/>
                <w:szCs w:val="20"/>
              </w:rPr>
            </w:pPr>
            <w:r w:rsidRPr="00801B27">
              <w:rPr>
                <w:sz w:val="20"/>
                <w:szCs w:val="20"/>
              </w:rPr>
              <w:t xml:space="preserve">Возможность управления со </w:t>
            </w:r>
            <w:proofErr w:type="gramStart"/>
            <w:r w:rsidRPr="00801B27">
              <w:rPr>
                <w:sz w:val="20"/>
                <w:szCs w:val="20"/>
              </w:rPr>
              <w:t>смартфона  Наличие</w:t>
            </w:r>
            <w:proofErr w:type="gramEnd"/>
            <w:r w:rsidRPr="00801B27">
              <w:rPr>
                <w:sz w:val="20"/>
                <w:szCs w:val="20"/>
              </w:rPr>
              <w:t xml:space="preserve">  </w:t>
            </w:r>
          </w:p>
          <w:p w:rsidR="00801B27" w:rsidRPr="00801B27" w:rsidRDefault="00801B27" w:rsidP="00801B27">
            <w:pPr>
              <w:rPr>
                <w:sz w:val="20"/>
                <w:szCs w:val="20"/>
              </w:rPr>
            </w:pPr>
            <w:r w:rsidRPr="00801B27">
              <w:rPr>
                <w:sz w:val="20"/>
                <w:szCs w:val="20"/>
              </w:rPr>
              <w:t>Количество HDMI портов ≥ 3 Шт</w:t>
            </w:r>
          </w:p>
          <w:p w:rsidR="00801B27" w:rsidRPr="002D37BB" w:rsidRDefault="00801B27" w:rsidP="00801B27">
            <w:pPr>
              <w:rPr>
                <w:sz w:val="20"/>
                <w:szCs w:val="20"/>
              </w:rPr>
            </w:pPr>
            <w:r w:rsidRPr="00801B27">
              <w:rPr>
                <w:sz w:val="20"/>
                <w:szCs w:val="20"/>
              </w:rPr>
              <w:t>Объем постоянной памяти ≥ 8 Гигабайт</w:t>
            </w:r>
          </w:p>
        </w:tc>
        <w:tc>
          <w:tcPr>
            <w:tcW w:w="1275" w:type="dxa"/>
            <w:tcBorders>
              <w:top w:val="single" w:sz="4" w:space="0" w:color="auto"/>
              <w:left w:val="single" w:sz="4" w:space="0" w:color="auto"/>
              <w:bottom w:val="single" w:sz="4" w:space="0" w:color="auto"/>
              <w:right w:val="single" w:sz="4" w:space="0" w:color="auto"/>
            </w:tcBorders>
          </w:tcPr>
          <w:p w:rsidR="00801B27" w:rsidRPr="004B5C98" w:rsidRDefault="00801B27"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801B27" w:rsidRPr="004B5C98" w:rsidRDefault="00801B27"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01B27" w:rsidRDefault="00801B27" w:rsidP="0069692B">
            <w:pPr>
              <w:jc w:val="center"/>
              <w:rPr>
                <w:sz w:val="20"/>
                <w:szCs w:val="20"/>
              </w:rPr>
            </w:pPr>
            <w:r>
              <w:rPr>
                <w:sz w:val="20"/>
                <w:szCs w:val="20"/>
              </w:rPr>
              <w:t>1</w:t>
            </w:r>
            <w:bookmarkStart w:id="21" w:name="_GoBack"/>
            <w:bookmarkEnd w:id="21"/>
          </w:p>
        </w:tc>
        <w:tc>
          <w:tcPr>
            <w:tcW w:w="998" w:type="dxa"/>
            <w:tcBorders>
              <w:top w:val="single" w:sz="4" w:space="0" w:color="auto"/>
              <w:left w:val="single" w:sz="4" w:space="0" w:color="auto"/>
              <w:bottom w:val="single" w:sz="4" w:space="0" w:color="auto"/>
              <w:right w:val="single" w:sz="4" w:space="0" w:color="auto"/>
            </w:tcBorders>
            <w:noWrap/>
            <w:vAlign w:val="center"/>
          </w:tcPr>
          <w:p w:rsidR="00801B27" w:rsidRPr="004B5C98" w:rsidRDefault="00801B27"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01B27" w:rsidRPr="004B5C98" w:rsidRDefault="00801B27" w:rsidP="00B15D60">
            <w:pPr>
              <w:rPr>
                <w:sz w:val="20"/>
                <w:szCs w:val="20"/>
              </w:rPr>
            </w:pPr>
          </w:p>
        </w:tc>
      </w:tr>
      <w:tr w:rsidR="008D6AD5" w:rsidRPr="004A632B" w:rsidTr="004B5C98">
        <w:trPr>
          <w:trHeight w:val="347"/>
          <w:jc w:val="center"/>
        </w:trPr>
        <w:tc>
          <w:tcPr>
            <w:tcW w:w="9640" w:type="dxa"/>
            <w:gridSpan w:val="6"/>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8D6AD5">
            <w:pPr>
              <w:jc w:val="right"/>
              <w:rPr>
                <w:sz w:val="20"/>
                <w:szCs w:val="20"/>
              </w:rPr>
            </w:pPr>
            <w:r w:rsidRPr="004B5C98">
              <w:rPr>
                <w:b/>
                <w:sz w:val="20"/>
                <w:szCs w:val="20"/>
              </w:rPr>
              <w:t>ИТОГО:</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b/>
                <w:sz w:val="20"/>
                <w:szCs w:val="20"/>
              </w:rPr>
            </w:pPr>
          </w:p>
        </w:tc>
      </w:tr>
    </w:tbl>
    <w:p w:rsidR="007455BF" w:rsidRPr="004A632B" w:rsidRDefault="007455BF" w:rsidP="007455BF"/>
    <w:p w:rsidR="002D37BB" w:rsidRPr="002D37BB" w:rsidRDefault="002D37BB" w:rsidP="002D37BB">
      <w:pPr>
        <w:snapToGrid w:val="0"/>
        <w:jc w:val="both"/>
        <w:rPr>
          <w:rFonts w:eastAsia="Calibri"/>
          <w:bCs/>
          <w:color w:val="000000"/>
        </w:rPr>
      </w:pPr>
      <w:r w:rsidRPr="002D37BB">
        <w:rPr>
          <w:rFonts w:eastAsia="Calibri"/>
          <w:bCs/>
          <w:color w:val="000000"/>
        </w:rPr>
        <w:t>1. Качество и безопасность поставляемого Товара должны соответствовать установленным стандартам и техническим требованиям завода-изготовителя и подтверждаться документами, выданным заводом-изготовителем. 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w:t>
      </w:r>
      <w:r>
        <w:rPr>
          <w:rFonts w:eastAsia="Calibri"/>
          <w:bCs/>
          <w:color w:val="000000"/>
        </w:rPr>
        <w:t>тельством Российской Федерации.</w:t>
      </w:r>
    </w:p>
    <w:p w:rsidR="002D37BB" w:rsidRPr="002D37BB" w:rsidRDefault="002D37BB" w:rsidP="002D37BB">
      <w:pPr>
        <w:snapToGrid w:val="0"/>
        <w:jc w:val="both"/>
        <w:rPr>
          <w:rFonts w:eastAsia="Calibri"/>
          <w:bCs/>
          <w:color w:val="000000"/>
        </w:rPr>
      </w:pPr>
      <w:r w:rsidRPr="002D37BB">
        <w:rPr>
          <w:rFonts w:eastAsia="Calibri"/>
          <w:bCs/>
          <w:color w:val="000000"/>
        </w:rPr>
        <w:t>2. Товар должен быть новым, не восстановленным, не бывшим в употреблении, не должен содержать повторно используемые детали. Товар должен обладать совокупностью свойств, определяющих пригодность Товара для использования его по назначению в соответствии с потребностями Заказчика. 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 Товар должен быть пригодным для целей, для которых Товар такого рода обычно используется в течение установленного</w:t>
      </w:r>
      <w:r w:rsidRPr="002D37BB">
        <w:rPr>
          <w:rFonts w:eastAsia="Calibri"/>
          <w:b/>
          <w:bCs/>
          <w:color w:val="000000"/>
        </w:rPr>
        <w:t xml:space="preserve"> </w:t>
      </w:r>
      <w:r w:rsidRPr="002D37BB">
        <w:rPr>
          <w:rFonts w:eastAsia="Calibri"/>
          <w:bCs/>
          <w:color w:val="000000"/>
        </w:rPr>
        <w:t>производителем срока службы и соответствовать техническим характеристикам, уста</w:t>
      </w:r>
      <w:r>
        <w:rPr>
          <w:rFonts w:eastAsia="Calibri"/>
          <w:bCs/>
          <w:color w:val="000000"/>
        </w:rPr>
        <w:t>новленным техническим заданием.</w:t>
      </w:r>
    </w:p>
    <w:p w:rsidR="002D37BB" w:rsidRPr="002D37BB" w:rsidRDefault="002D37BB" w:rsidP="002D37BB">
      <w:pPr>
        <w:snapToGrid w:val="0"/>
        <w:jc w:val="both"/>
        <w:rPr>
          <w:rFonts w:eastAsia="Calibri"/>
          <w:bCs/>
          <w:color w:val="000000"/>
        </w:rPr>
      </w:pPr>
      <w:r w:rsidRPr="002D37BB">
        <w:rPr>
          <w:rFonts w:eastAsia="Calibri"/>
          <w:bCs/>
          <w:color w:val="000000"/>
        </w:rPr>
        <w:t>3. Требования к упаковке Товара:</w:t>
      </w:r>
    </w:p>
    <w:p w:rsidR="002D37BB" w:rsidRPr="002D37BB" w:rsidRDefault="002D37BB" w:rsidP="002D37BB">
      <w:pPr>
        <w:snapToGrid w:val="0"/>
        <w:jc w:val="both"/>
        <w:rPr>
          <w:rFonts w:eastAsia="Calibri"/>
          <w:bCs/>
          <w:color w:val="000000"/>
        </w:rPr>
      </w:pPr>
      <w:r w:rsidRPr="002D37BB">
        <w:rPr>
          <w:rFonts w:eastAsia="Calibri"/>
          <w:bCs/>
          <w:color w:val="000000"/>
        </w:rPr>
        <w:t>- Товар должен быть упакован заводским способом в стандартную оригинальную фирменную упаковку с соответствующей оригинальной лицензионной маркировкой фирмы производителя, обеспечивающую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rsidR="002D37BB" w:rsidRPr="002D37BB" w:rsidRDefault="002D37BB" w:rsidP="002D37BB">
      <w:pPr>
        <w:snapToGrid w:val="0"/>
        <w:jc w:val="both"/>
        <w:rPr>
          <w:rFonts w:eastAsia="Calibri"/>
          <w:bCs/>
          <w:color w:val="000000"/>
        </w:rPr>
      </w:pPr>
      <w:r w:rsidRPr="002D37BB">
        <w:rPr>
          <w:rFonts w:eastAsia="Calibri"/>
          <w:bCs/>
          <w:color w:val="000000"/>
        </w:rPr>
        <w:t>- упаковка Товара должна отвечать требованиям безопасности жизни, здоровья работников Заказчика и охраны окружающей среды, давать возможность определить количество содержащегося в ней Товара (опись, упаковочные ярлыки или листы) и соответствовать характеру Товара и способу транспортировки;</w:t>
      </w:r>
    </w:p>
    <w:p w:rsidR="002D37BB" w:rsidRPr="002D37BB" w:rsidRDefault="002D37BB" w:rsidP="002D37BB">
      <w:pPr>
        <w:snapToGrid w:val="0"/>
        <w:jc w:val="both"/>
        <w:rPr>
          <w:rFonts w:eastAsia="Calibri"/>
          <w:bCs/>
          <w:color w:val="000000"/>
        </w:rPr>
      </w:pPr>
      <w:r w:rsidRPr="002D37BB">
        <w:rPr>
          <w:rFonts w:eastAsia="Calibri"/>
          <w:bCs/>
          <w:color w:val="000000"/>
        </w:rPr>
        <w:t>- упаковка Товара не должна иметь дефектов и повреждений;</w:t>
      </w:r>
    </w:p>
    <w:p w:rsidR="002D37BB" w:rsidRPr="002D37BB" w:rsidRDefault="002D37BB" w:rsidP="002D37BB">
      <w:pPr>
        <w:snapToGrid w:val="0"/>
        <w:jc w:val="both"/>
        <w:rPr>
          <w:rFonts w:eastAsia="Calibri"/>
          <w:bCs/>
          <w:color w:val="000000"/>
        </w:rPr>
      </w:pPr>
      <w:r w:rsidRPr="002D37BB">
        <w:rPr>
          <w:rFonts w:eastAsia="Calibri"/>
          <w:bCs/>
          <w:color w:val="000000"/>
        </w:rPr>
        <w:t>-упаковка, порядок погрузки-разгрузки и транспортировки должны исключать возможность механических по</w:t>
      </w:r>
      <w:r>
        <w:rPr>
          <w:rFonts w:eastAsia="Calibri"/>
          <w:bCs/>
          <w:color w:val="000000"/>
        </w:rPr>
        <w:t>вреждений поставляемого Товара.</w:t>
      </w:r>
    </w:p>
    <w:p w:rsidR="002D37BB" w:rsidRPr="002D37BB" w:rsidRDefault="002D37BB" w:rsidP="002D37BB">
      <w:pPr>
        <w:snapToGrid w:val="0"/>
        <w:jc w:val="both"/>
        <w:rPr>
          <w:rFonts w:eastAsia="Calibri"/>
          <w:bCs/>
          <w:color w:val="000000"/>
        </w:rPr>
      </w:pPr>
      <w:r w:rsidRPr="002D37BB">
        <w:rPr>
          <w:rFonts w:eastAsia="Calibri"/>
          <w:bCs/>
          <w:color w:val="000000"/>
        </w:rPr>
        <w:t>4. Требования к маркировке, этикеткам, подтверждению соответствия, процессам и методам производства должны соответствовать требованиям технических регламентов, с</w:t>
      </w:r>
      <w:r>
        <w:rPr>
          <w:rFonts w:eastAsia="Calibri"/>
          <w:bCs/>
          <w:color w:val="000000"/>
        </w:rPr>
        <w:t>тандартов, технических условий.</w:t>
      </w:r>
    </w:p>
    <w:p w:rsidR="002D37BB" w:rsidRPr="002D37BB" w:rsidRDefault="002D37BB" w:rsidP="002D37BB">
      <w:pPr>
        <w:snapToGrid w:val="0"/>
        <w:jc w:val="both"/>
        <w:rPr>
          <w:rFonts w:eastAsia="Calibri"/>
          <w:bCs/>
          <w:color w:val="000000"/>
        </w:rPr>
      </w:pPr>
      <w:r w:rsidRPr="002D37BB">
        <w:rPr>
          <w:rFonts w:eastAsia="Calibri"/>
          <w:bCs/>
          <w:color w:val="000000"/>
        </w:rPr>
        <w:t xml:space="preserve">5. 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w:t>
      </w:r>
      <w:r>
        <w:rPr>
          <w:rFonts w:eastAsia="Calibri"/>
          <w:bCs/>
          <w:color w:val="000000"/>
        </w:rPr>
        <w:t>Заказчиком документа о приемке.</w:t>
      </w:r>
    </w:p>
    <w:p w:rsidR="002D37BB" w:rsidRDefault="002D37BB" w:rsidP="002D37BB">
      <w:pPr>
        <w:snapToGrid w:val="0"/>
        <w:jc w:val="both"/>
        <w:rPr>
          <w:rFonts w:eastAsia="Calibri"/>
          <w:bCs/>
          <w:color w:val="000000"/>
        </w:rPr>
      </w:pPr>
      <w:r w:rsidRPr="002D37BB">
        <w:rPr>
          <w:rFonts w:eastAsia="Calibri"/>
          <w:bCs/>
          <w:color w:val="000000"/>
        </w:rPr>
        <w:t>6. Функциональные, технические и качественные характеристики,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w:t>
      </w:r>
    </w:p>
    <w:p w:rsidR="002D37BB" w:rsidRPr="002D37BB" w:rsidRDefault="002D37BB" w:rsidP="002D37BB">
      <w:pPr>
        <w:snapToGrid w:val="0"/>
        <w:jc w:val="both"/>
        <w:rPr>
          <w:rFonts w:eastAsia="Calibri"/>
          <w:bCs/>
          <w:color w:val="000000"/>
        </w:rPr>
      </w:pPr>
      <w:r>
        <w:rPr>
          <w:rFonts w:eastAsia="Calibri"/>
          <w:bCs/>
          <w:color w:val="000000"/>
        </w:rPr>
        <w:t xml:space="preserve">7. </w:t>
      </w:r>
      <w:r w:rsidRPr="002D37BB">
        <w:rPr>
          <w:rFonts w:eastAsia="Calibri"/>
          <w:bCs/>
          <w:color w:val="000000"/>
        </w:rPr>
        <w:t>Место поставки Товара: г. Архангельск, ул</w:t>
      </w:r>
      <w:r>
        <w:rPr>
          <w:rFonts w:eastAsia="Calibri"/>
          <w:bCs/>
          <w:color w:val="000000"/>
        </w:rPr>
        <w:t xml:space="preserve">. Чумбарова-Лучинского, д.17.  </w:t>
      </w:r>
    </w:p>
    <w:p w:rsidR="002D37BB" w:rsidRPr="002D37BB" w:rsidRDefault="002D37BB" w:rsidP="002D37BB">
      <w:pPr>
        <w:snapToGrid w:val="0"/>
        <w:jc w:val="both"/>
        <w:rPr>
          <w:rFonts w:eastAsia="Calibri"/>
          <w:bCs/>
          <w:color w:val="000000"/>
        </w:rPr>
      </w:pPr>
      <w:r>
        <w:rPr>
          <w:rFonts w:eastAsia="Calibri"/>
          <w:bCs/>
          <w:color w:val="000000"/>
        </w:rPr>
        <w:t xml:space="preserve"> 8. </w:t>
      </w:r>
      <w:r w:rsidRPr="002D37BB">
        <w:rPr>
          <w:rFonts w:eastAsia="Calibri"/>
          <w:bCs/>
          <w:color w:val="000000"/>
        </w:rPr>
        <w:t>Срок поставки Товара: в течение 30 календарных дней с момента подписания Контракта Сторонами.</w:t>
      </w:r>
    </w:p>
    <w:p w:rsidR="002D37BB" w:rsidRPr="002D37BB" w:rsidRDefault="002D37BB" w:rsidP="002D37BB">
      <w:pPr>
        <w:snapToGrid w:val="0"/>
        <w:jc w:val="both"/>
        <w:rPr>
          <w:rFonts w:eastAsia="Calibri"/>
          <w:bCs/>
          <w:color w:val="000000"/>
        </w:rPr>
      </w:pPr>
      <w:r w:rsidRPr="002D37BB">
        <w:rPr>
          <w:rFonts w:eastAsia="Calibri"/>
          <w:bCs/>
          <w:color w:val="000000"/>
        </w:rPr>
        <w:t>Поставка осуществляется в рабочие дни Заказчика с 09.00 до 16.00 по московскому времени</w:t>
      </w:r>
    </w:p>
    <w:p w:rsidR="002D37BB" w:rsidRPr="002D37BB" w:rsidRDefault="002D37BB" w:rsidP="002D37BB">
      <w:pPr>
        <w:snapToGrid w:val="0"/>
        <w:jc w:val="both"/>
        <w:rPr>
          <w:rFonts w:eastAsia="Calibri"/>
          <w:color w:val="000000"/>
        </w:rPr>
      </w:pPr>
      <w:r>
        <w:rPr>
          <w:rFonts w:eastAsia="Calibri"/>
          <w:color w:val="000000"/>
        </w:rPr>
        <w:t xml:space="preserve">9. </w:t>
      </w:r>
      <w:r w:rsidRPr="002D37BB">
        <w:rPr>
          <w:rFonts w:eastAsia="Calibri"/>
          <w:color w:val="000000"/>
        </w:rPr>
        <w:t xml:space="preserve">Поставка Товара осуществляется за счёт Поставщика. Способ поставки выбирает Поставщик. </w:t>
      </w:r>
    </w:p>
    <w:p w:rsidR="007D0949" w:rsidRPr="007D0949" w:rsidRDefault="002D37BB" w:rsidP="002D37BB">
      <w:pPr>
        <w:snapToGrid w:val="0"/>
        <w:jc w:val="both"/>
        <w:rPr>
          <w:rFonts w:eastAsia="Calibri"/>
          <w:color w:val="000000"/>
        </w:rPr>
      </w:pPr>
      <w:r>
        <w:rPr>
          <w:rFonts w:eastAsia="Calibri"/>
          <w:color w:val="000000"/>
        </w:rPr>
        <w:t xml:space="preserve">10. </w:t>
      </w:r>
      <w:r w:rsidRPr="002D37BB">
        <w:rPr>
          <w:rFonts w:eastAsia="Calibri"/>
          <w:color w:val="000000"/>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5B2F"/>
    <w:rsid w:val="00083796"/>
    <w:rsid w:val="000957BC"/>
    <w:rsid w:val="000A0538"/>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37BB"/>
    <w:rsid w:val="002D7116"/>
    <w:rsid w:val="002E1BA4"/>
    <w:rsid w:val="002E2F37"/>
    <w:rsid w:val="002E4CA0"/>
    <w:rsid w:val="002E70BD"/>
    <w:rsid w:val="00300165"/>
    <w:rsid w:val="003115C9"/>
    <w:rsid w:val="00312433"/>
    <w:rsid w:val="00320974"/>
    <w:rsid w:val="00323BF6"/>
    <w:rsid w:val="003265AB"/>
    <w:rsid w:val="00326EA4"/>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27"/>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link w:val="a6"/>
    <w:locked/>
    <w:rsid w:val="00FC15F9"/>
  </w:style>
  <w:style w:type="paragraph" w:styleId="a6">
    <w:name w:val="List Paragraph"/>
    <w:basedOn w:val="a"/>
    <w:link w:val="a5"/>
    <w:uiPriority w:val="99"/>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02B97-5627-4634-9F40-FA244435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4557</Words>
  <Characters>25981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99</cp:revision>
  <dcterms:created xsi:type="dcterms:W3CDTF">2026-04-29T13:24:00Z</dcterms:created>
  <dcterms:modified xsi:type="dcterms:W3CDTF">2026-05-22T11:40:00Z</dcterms:modified>
</cp:coreProperties>
</file>