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tabs>
          <w:tab w:val="clear" w:pos="708"/>
          <w:tab w:val="left" w:pos="851" w:leader="none"/>
        </w:tabs>
        <w:jc w:val="center"/>
        <w:rPr>
          <w:b/>
          <w:sz w:val="22"/>
          <w:szCs w:val="22"/>
        </w:rPr>
      </w:pPr>
      <w:r>
        <w:rPr>
          <w:b/>
          <w:bCs/>
          <w:sz w:val="22"/>
          <w:szCs w:val="22"/>
        </w:rPr>
        <w:t xml:space="preserve">                         </w:t>
      </w:r>
      <w:r>
        <w:rPr>
          <w:b/>
          <w:bCs/>
          <w:sz w:val="22"/>
          <w:szCs w:val="22"/>
        </w:rPr>
        <w:t>Проект Государственного контракта № __________________</w:t>
      </w:r>
    </w:p>
    <w:p>
      <w:pPr>
        <w:pStyle w:val="Normal"/>
        <w:tabs>
          <w:tab w:val="clear" w:pos="708"/>
          <w:tab w:val="left" w:pos="851" w:leader="none"/>
        </w:tabs>
        <w:jc w:val="center"/>
        <w:rPr>
          <w:b/>
          <w:bCs/>
          <w:i/>
          <w:i/>
          <w:sz w:val="22"/>
          <w:szCs w:val="22"/>
        </w:rPr>
      </w:pPr>
      <w:r>
        <w:rPr>
          <w:b/>
          <w:sz w:val="22"/>
          <w:szCs w:val="22"/>
        </w:rPr>
        <w:t>на поставку  мундштуков одноразовых для алкометра  Drivesafe II  и шпателей медицинских деревянных стерильных одноразовых</w:t>
      </w:r>
    </w:p>
    <w:p>
      <w:pPr>
        <w:pStyle w:val="Normal"/>
        <w:jc w:val="center"/>
        <w:rPr>
          <w:b/>
          <w:bCs/>
          <w:i/>
          <w:i/>
          <w:sz w:val="22"/>
          <w:szCs w:val="22"/>
        </w:rPr>
      </w:pPr>
      <w:r>
        <w:rPr>
          <w:b/>
          <w:bCs/>
          <w:i/>
          <w:sz w:val="22"/>
          <w:szCs w:val="22"/>
        </w:rPr>
        <w:t>ИКЗ:</w:t>
      </w:r>
      <w:r>
        <w:rPr>
          <w:i/>
          <w:sz w:val="22"/>
          <w:szCs w:val="22"/>
        </w:rPr>
        <w:t xml:space="preserve"> </w:t>
      </w:r>
      <w:r>
        <w:rPr>
          <w:b/>
          <w:bCs/>
          <w:i/>
          <w:sz w:val="22"/>
          <w:szCs w:val="22"/>
        </w:rPr>
        <w:t>___________________________________________</w:t>
      </w:r>
    </w:p>
    <w:p>
      <w:pPr>
        <w:pStyle w:val="Normal"/>
        <w:jc w:val="center"/>
        <w:rPr>
          <w:b/>
          <w:bCs/>
          <w:i/>
          <w:i/>
          <w:sz w:val="22"/>
          <w:szCs w:val="22"/>
        </w:rPr>
      </w:pPr>
      <w:r>
        <w:rPr>
          <w:b/>
          <w:bCs/>
          <w:i/>
          <w:sz w:val="22"/>
          <w:szCs w:val="22"/>
        </w:rPr>
      </w:r>
    </w:p>
    <w:tbl>
      <w:tblPr>
        <w:tblW w:w="9854" w:type="dxa"/>
        <w:jc w:val="left"/>
        <w:tblInd w:w="0" w:type="dxa"/>
        <w:tblLayout w:type="fixed"/>
        <w:tblCellMar>
          <w:top w:w="0" w:type="dxa"/>
          <w:left w:w="108" w:type="dxa"/>
          <w:bottom w:w="0" w:type="dxa"/>
          <w:right w:w="108" w:type="dxa"/>
        </w:tblCellMar>
      </w:tblPr>
      <w:tblGrid>
        <w:gridCol w:w="4844"/>
        <w:gridCol w:w="5010"/>
      </w:tblGrid>
      <w:tr>
        <w:trPr/>
        <w:tc>
          <w:tcPr>
            <w:tcW w:w="4844" w:type="dxa"/>
            <w:tcBorders/>
          </w:tcPr>
          <w:p>
            <w:pPr>
              <w:pStyle w:val="Normal"/>
              <w:jc w:val="both"/>
              <w:rPr>
                <w:sz w:val="22"/>
                <w:szCs w:val="22"/>
              </w:rPr>
            </w:pPr>
            <w:r>
              <w:rPr>
                <w:sz w:val="22"/>
                <w:szCs w:val="22"/>
              </w:rPr>
              <w:t>г. Благовещенск</w:t>
            </w:r>
          </w:p>
        </w:tc>
        <w:tc>
          <w:tcPr>
            <w:tcW w:w="5010" w:type="dxa"/>
            <w:tcBorders/>
          </w:tcPr>
          <w:p>
            <w:pPr>
              <w:pStyle w:val="Normal"/>
              <w:jc w:val="right"/>
              <w:rPr>
                <w:sz w:val="22"/>
                <w:szCs w:val="22"/>
              </w:rPr>
            </w:pPr>
            <w:r>
              <w:rPr>
                <w:sz w:val="22"/>
                <w:szCs w:val="22"/>
              </w:rPr>
              <w:t>«____» ________ 2026  года</w:t>
            </w:r>
          </w:p>
        </w:tc>
      </w:tr>
    </w:tbl>
    <w:p>
      <w:pPr>
        <w:pStyle w:val="Normal"/>
        <w:widowControl w:val="false"/>
        <w:ind w:firstLine="709" w:right="0"/>
        <w:jc w:val="both"/>
        <w:rPr>
          <w:sz w:val="22"/>
          <w:szCs w:val="22"/>
        </w:rPr>
      </w:pPr>
      <w:r>
        <w:rPr>
          <w:sz w:val="22"/>
          <w:szCs w:val="22"/>
        </w:rPr>
      </w:r>
    </w:p>
    <w:p>
      <w:pPr>
        <w:pStyle w:val="Normal"/>
        <w:widowControl w:val="false"/>
        <w:ind w:firstLine="567" w:right="0"/>
        <w:jc w:val="both"/>
        <w:rPr/>
      </w:pPr>
      <w:r>
        <w:rPr>
          <w:color w:val="000000"/>
        </w:rPr>
        <w:t>Главное управление МЧС России по Амурской области от имени Российской Федерации в целях обеспечения государственных нужд</w:t>
      </w:r>
      <w:r>
        <w:rPr/>
        <w:t xml:space="preserve">, в лице _________________, действующего на основании ___________________, именуемый в дальнейшем «Государственный заказчик» с одной стороны,___________________, именуемое в дальнейшем «Поставщик», в лице _____________________, действующего на основании ____________, с другой стороны, именуемые в дальнейшем «Стороны», </w:t>
      </w:r>
      <w:r>
        <w:rPr>
          <w:color w:val="000000"/>
        </w:rPr>
        <w:t>в соответствии с п.4 ч.1 ст.93 Федеральным законом от 05.04.2013 N 44-ФЗ «О контрактной системе в сфере закупок товаров, работ, услуг для обеспечения государственных и муниципальных нужд» (в редакции, действующей на момент заключения настоящего Государственного контракта), заключили настоящий Государственный контракт (далее – Контракт) о нижеследующем</w:t>
      </w:r>
      <w:r>
        <w:rPr/>
        <w:t>:</w:t>
      </w:r>
    </w:p>
    <w:p>
      <w:pPr>
        <w:pStyle w:val="ConsPlusNonformat"/>
        <w:ind w:firstLine="709" w:right="0"/>
        <w:jc w:val="both"/>
        <w:rPr/>
      </w:pPr>
      <w:r>
        <w:rPr/>
      </w:r>
    </w:p>
    <w:p>
      <w:pPr>
        <w:pStyle w:val="Normal"/>
        <w:widowControl w:val="false"/>
        <w:numPr>
          <w:ilvl w:val="0"/>
          <w:numId w:val="3"/>
        </w:numPr>
        <w:ind w:hanging="2127" w:left="2127" w:right="0"/>
        <w:jc w:val="center"/>
        <w:rPr>
          <w:b/>
          <w:bCs/>
          <w:sz w:val="22"/>
          <w:szCs w:val="22"/>
        </w:rPr>
      </w:pPr>
      <w:r>
        <w:rPr>
          <w:b/>
          <w:bCs/>
          <w:sz w:val="22"/>
          <w:szCs w:val="22"/>
        </w:rPr>
        <w:t>ПРЕДМЕТ ГОСУДАРСТВЕННОГО КОНТРАКТА</w:t>
      </w:r>
    </w:p>
    <w:p>
      <w:pPr>
        <w:pStyle w:val="Normal"/>
        <w:widowControl w:val="false"/>
        <w:ind w:left="45" w:right="0"/>
        <w:jc w:val="center"/>
        <w:rPr>
          <w:b/>
          <w:bCs/>
          <w:sz w:val="22"/>
          <w:szCs w:val="22"/>
        </w:rPr>
      </w:pPr>
      <w:r>
        <w:rPr>
          <w:b/>
          <w:bCs/>
          <w:sz w:val="22"/>
          <w:szCs w:val="22"/>
        </w:rPr>
      </w:r>
    </w:p>
    <w:p>
      <w:pPr>
        <w:pStyle w:val="Normal"/>
        <w:widowControl w:val="false"/>
        <w:tabs>
          <w:tab w:val="clear" w:pos="708"/>
          <w:tab w:val="left" w:pos="0" w:leader="none"/>
          <w:tab w:val="left" w:pos="950" w:leader="none"/>
        </w:tabs>
        <w:suppressAutoHyphens w:val="true"/>
        <w:bidi w:val="0"/>
        <w:ind w:firstLine="397" w:right="0"/>
        <w:jc w:val="both"/>
        <w:rPr>
          <w:lang w:eastAsia="ar-SA"/>
        </w:rPr>
      </w:pPr>
      <w:r>
        <w:rPr>
          <w:lang w:eastAsia="ar-SA"/>
        </w:rPr>
        <w:t xml:space="preserve">1.1. Государственный заказчик поручает, а Поставщик принимает на себя обязательства </w:t>
      </w:r>
      <w:r>
        <w:rPr>
          <w:bCs/>
        </w:rPr>
        <w:t xml:space="preserve">на поставку </w:t>
      </w:r>
      <w:r>
        <w:rPr>
          <w:sz w:val="22"/>
          <w:szCs w:val="22"/>
        </w:rPr>
        <w:t xml:space="preserve"> </w:t>
      </w:r>
      <w:r>
        <w:rPr>
          <w:b/>
          <w:sz w:val="22"/>
          <w:szCs w:val="22"/>
        </w:rPr>
        <w:t>мундштуков одноразовых для алкометра  Drivesafe II  и шпателей медицинских деревянных стерильных одноразовых,</w:t>
      </w:r>
      <w:r>
        <w:rPr>
          <w:lang w:eastAsia="ar-SA"/>
        </w:rPr>
        <w:t xml:space="preserve"> согласно </w:t>
      </w:r>
      <w:r>
        <w:rPr/>
        <w:t>Техническому заданию</w:t>
      </w:r>
      <w:r>
        <w:rPr>
          <w:lang w:eastAsia="ar-SA"/>
        </w:rPr>
        <w:t xml:space="preserve"> – (Приложение № 2 к настоящему Контракту) - (далее Товар). </w:t>
      </w:r>
    </w:p>
    <w:p>
      <w:pPr>
        <w:pStyle w:val="Normal"/>
        <w:widowControl w:val="false"/>
        <w:tabs>
          <w:tab w:val="clear" w:pos="708"/>
          <w:tab w:val="left" w:pos="625" w:leader="none"/>
          <w:tab w:val="left" w:pos="1188" w:leader="none"/>
        </w:tabs>
        <w:suppressAutoHyphens w:val="true"/>
        <w:autoSpaceDE w:val="false"/>
        <w:bidi w:val="0"/>
        <w:spacing w:before="0" w:after="0"/>
        <w:ind w:firstLine="397" w:right="0"/>
        <w:contextualSpacing/>
        <w:jc w:val="both"/>
        <w:rPr>
          <w:lang w:eastAsia="ar-SA"/>
        </w:rPr>
      </w:pPr>
      <w:r>
        <w:rPr>
          <w:lang w:eastAsia="ar-SA"/>
        </w:rPr>
        <w:t xml:space="preserve">1.2. Поставка Товара включает в себя доставку Товара по адресу Государственного заказчика: Амурская область, г. Благовещенск, </w:t>
      </w:r>
      <w:r>
        <w:rPr>
          <w:color w:val="000000"/>
          <w:lang w:eastAsia="ar-SA"/>
        </w:rPr>
        <w:t>ул. Пионерская, 47.</w:t>
      </w:r>
      <w:r>
        <w:rPr>
          <w:bCs/>
          <w:iCs/>
          <w:color w:val="000000"/>
        </w:rPr>
        <w:t xml:space="preserve"> Поставка должна быть осуществлена в рабочее время Государственного заказчика: с 8-30 до 17-30 (с учётом времени на приёмку товара), перерыв с 12-30 до 13-30.</w:t>
      </w:r>
    </w:p>
    <w:p>
      <w:pPr>
        <w:pStyle w:val="Normal"/>
        <w:widowControl/>
        <w:suppressAutoHyphens w:val="true"/>
        <w:bidi w:val="0"/>
        <w:ind w:firstLine="397" w:right="0"/>
        <w:jc w:val="both"/>
        <w:rPr>
          <w:color w:val="000000"/>
        </w:rPr>
      </w:pPr>
      <w:r>
        <w:rPr>
          <w:lang w:eastAsia="ar-SA"/>
        </w:rPr>
        <w:t>1.3. Государственный заказчик обязуется принять и оплатить поставленный Поставщиком по настоящему Контракту Товар.</w:t>
      </w:r>
    </w:p>
    <w:p>
      <w:pPr>
        <w:pStyle w:val="Normal"/>
        <w:widowControl w:val="false"/>
        <w:suppressAutoHyphens w:val="true"/>
        <w:bidi w:val="0"/>
        <w:ind w:firstLine="397" w:right="0"/>
        <w:jc w:val="both"/>
        <w:rPr>
          <w:rFonts w:eastAsia="Calibri"/>
          <w:color w:val="000000"/>
          <w:sz w:val="22"/>
          <w:szCs w:val="22"/>
        </w:rPr>
      </w:pPr>
      <w:r>
        <w:rPr>
          <w:color w:val="000000"/>
        </w:rPr>
        <w:t xml:space="preserve">1.4. Срок (дата) поставки Товара: </w:t>
      </w:r>
      <w:r>
        <w:rPr/>
        <w:t>в течение 10 (десяти) рабочих дней со дня заключения настоящего Государственного контракта</w:t>
      </w:r>
      <w:r>
        <w:rPr>
          <w:rFonts w:eastAsia="Calibri"/>
        </w:rPr>
        <w:t>.</w:t>
      </w:r>
      <w:r>
        <w:rPr/>
        <w:t xml:space="preserve"> </w:t>
      </w:r>
      <w:r>
        <w:rPr>
          <w:rFonts w:eastAsia="Calibri"/>
        </w:rPr>
        <w:t>Согласование поставки с Государственным заказчиком производится не менее чем за 1 (один) рабочий день</w:t>
      </w:r>
      <w:r>
        <w:rPr>
          <w:rFonts w:eastAsia="Calibri"/>
          <w:sz w:val="22"/>
          <w:szCs w:val="22"/>
        </w:rPr>
        <w:t>.</w:t>
      </w:r>
    </w:p>
    <w:p>
      <w:pPr>
        <w:pStyle w:val="Normal"/>
        <w:widowControl w:val="false"/>
        <w:ind w:firstLine="284" w:right="0"/>
        <w:jc w:val="both"/>
        <w:rPr>
          <w:rFonts w:eastAsia="Calibri"/>
          <w:color w:val="000000"/>
          <w:sz w:val="22"/>
          <w:szCs w:val="22"/>
        </w:rPr>
      </w:pPr>
      <w:r>
        <w:rPr>
          <w:rFonts w:eastAsia="Calibri"/>
          <w:color w:val="000000"/>
          <w:sz w:val="22"/>
          <w:szCs w:val="22"/>
        </w:rPr>
      </w:r>
    </w:p>
    <w:p>
      <w:pPr>
        <w:pStyle w:val="Normal"/>
        <w:ind w:left="720" w:right="0"/>
        <w:jc w:val="center"/>
        <w:rPr>
          <w:b/>
          <w:bCs/>
          <w:sz w:val="22"/>
          <w:szCs w:val="22"/>
        </w:rPr>
      </w:pPr>
      <w:r>
        <w:rPr>
          <w:b/>
          <w:bCs/>
          <w:sz w:val="22"/>
          <w:szCs w:val="22"/>
        </w:rPr>
        <w:t>2. ПРАВА И ОБЯЗАННОСТИ СТОРОН</w:t>
      </w:r>
    </w:p>
    <w:p>
      <w:pPr>
        <w:pStyle w:val="Normal"/>
        <w:ind w:firstLine="426" w:right="0"/>
        <w:jc w:val="both"/>
        <w:rPr>
          <w:b/>
          <w:bCs/>
          <w:sz w:val="22"/>
          <w:szCs w:val="22"/>
        </w:rPr>
      </w:pPr>
      <w:r>
        <w:rPr>
          <w:b/>
          <w:bCs/>
          <w:sz w:val="22"/>
          <w:szCs w:val="22"/>
        </w:rPr>
      </w:r>
    </w:p>
    <w:p>
      <w:pPr>
        <w:pStyle w:val="Normal"/>
        <w:ind w:firstLine="426" w:right="0"/>
        <w:jc w:val="both"/>
        <w:rPr/>
      </w:pPr>
      <w:r>
        <w:rPr/>
        <w:t>2.1. Государственный заказчик обязан:</w:t>
      </w:r>
    </w:p>
    <w:p>
      <w:pPr>
        <w:pStyle w:val="Normal"/>
        <w:ind w:firstLine="426" w:right="0"/>
        <w:jc w:val="both"/>
        <w:rPr/>
      </w:pPr>
      <w:r>
        <w:rPr/>
        <w:t>2.1.1. Требовать от Поставщика надлежащего исполнения обязательств по Контракту.</w:t>
      </w:r>
    </w:p>
    <w:p>
      <w:pPr>
        <w:pStyle w:val="Normal"/>
        <w:ind w:firstLine="426" w:right="0"/>
        <w:jc w:val="both"/>
        <w:rPr/>
      </w:pPr>
      <w:r>
        <w:rPr/>
        <w:t>2.1.2. Требовать от Поставщика своевременного устранения недостатков, выявленных как в ходе приемки, так и в  течение гарантийного  периода.</w:t>
      </w:r>
    </w:p>
    <w:p>
      <w:pPr>
        <w:pStyle w:val="Normal"/>
        <w:ind w:firstLine="426" w:right="0"/>
        <w:jc w:val="both"/>
        <w:rPr/>
      </w:pPr>
      <w:r>
        <w:rPr/>
        <w:t>2.1.3. Обеспечить своевременную приемку и оплату поставленного Товара надлежащего качества  в порядке  и сроки, предусмотренные Контрактом.</w:t>
      </w:r>
    </w:p>
    <w:p>
      <w:pPr>
        <w:pStyle w:val="Normal"/>
        <w:ind w:firstLine="426" w:right="0"/>
        <w:jc w:val="both"/>
        <w:rPr/>
      </w:pPr>
      <w:r>
        <w:rPr/>
        <w:t>2.1.4. Обеспечить контроль за исполнением Поставщиком условий  Контракта, проверять в любое время ход исполнения Поставщиком обязательств по Контракту без вмешательства в оперативно -хозяйственную деятельность Поставщика, в том числе осуществлять контроль сроков поставки Товара в соответствии с условиями Контракта.</w:t>
      </w:r>
    </w:p>
    <w:p>
      <w:pPr>
        <w:pStyle w:val="Normal"/>
        <w:ind w:firstLine="426" w:right="0"/>
        <w:jc w:val="both"/>
        <w:rPr/>
      </w:pPr>
      <w:r>
        <w:rPr/>
        <w:t>2.1.5. В случае принятия  решения об одностороннем отказе от исполнения Контракта в соответствии со ст. 95 ч. 15 п. 1 Закона 44-ФЗ, Государственный заказчик такое решение направляет в следующем порядке:</w:t>
      </w:r>
    </w:p>
    <w:p>
      <w:pPr>
        <w:pStyle w:val="Normal"/>
        <w:ind w:firstLine="426" w:right="0"/>
        <w:jc w:val="both"/>
        <w:rPr/>
      </w:pPr>
      <w:r>
        <w:rPr/>
        <w:t>2.1.6. Не позднее, чем в течении 3-х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либо  по адресу электронной почты, либо с использованием иных средств связи и доставки, обеспечивающих фиксирование данного уведомления и получение  подтверждения о его вручении Поставщику.</w:t>
      </w:r>
    </w:p>
    <w:p>
      <w:pPr>
        <w:pStyle w:val="Normal"/>
        <w:ind w:firstLine="426" w:right="0"/>
        <w:jc w:val="both"/>
        <w:rPr/>
      </w:pPr>
      <w:r>
        <w:rPr/>
        <w:t>2.1.7. Требовать возмещения убытков, причиненных по вине Поставщика.</w:t>
      </w:r>
    </w:p>
    <w:p>
      <w:pPr>
        <w:pStyle w:val="Normal"/>
        <w:ind w:firstLine="426" w:right="0"/>
        <w:jc w:val="both"/>
        <w:rPr/>
      </w:pPr>
      <w:r>
        <w:rPr/>
        <w:t>2.1.8. Требовать уплаты неустоек(штрафов, пеней) в соответствии с разделом 7 Контракта</w:t>
      </w:r>
    </w:p>
    <w:p>
      <w:pPr>
        <w:pStyle w:val="Normal"/>
        <w:ind w:firstLine="426" w:right="0"/>
        <w:jc w:val="both"/>
        <w:rPr/>
      </w:pPr>
      <w:r>
        <w:rPr/>
      </w:r>
    </w:p>
    <w:p>
      <w:pPr>
        <w:pStyle w:val="Normal"/>
        <w:ind w:firstLine="426" w:right="0"/>
        <w:jc w:val="both"/>
        <w:rPr/>
      </w:pPr>
      <w:r>
        <w:rPr/>
      </w:r>
    </w:p>
    <w:p>
      <w:pPr>
        <w:pStyle w:val="Normal"/>
        <w:ind w:firstLine="426" w:right="0"/>
        <w:jc w:val="both"/>
        <w:rPr/>
      </w:pPr>
      <w:r>
        <w:rPr/>
        <w:t>2.1.9. П</w:t>
      </w:r>
      <w:r>
        <w:rPr>
          <w:color w:val="000000"/>
        </w:rPr>
        <w:t>ровести экспертизу поставленного товара, на предмет соответствия его условиям Контракта в соответствии с Законом 44-ФЗ.</w:t>
      </w:r>
    </w:p>
    <w:p>
      <w:pPr>
        <w:pStyle w:val="Normal"/>
        <w:ind w:firstLine="426" w:right="0"/>
        <w:jc w:val="both"/>
        <w:rPr/>
      </w:pPr>
      <w:r>
        <w:rPr/>
        <w:t>2.2. Государственный заказчик имеет право:</w:t>
      </w:r>
    </w:p>
    <w:p>
      <w:pPr>
        <w:pStyle w:val="Normal"/>
        <w:ind w:firstLine="426" w:right="0"/>
        <w:jc w:val="both"/>
        <w:rPr/>
      </w:pPr>
      <w:r>
        <w:rPr/>
        <w:t>2.2.1. Досрочно принять и оплатить Товар.</w:t>
      </w:r>
    </w:p>
    <w:p>
      <w:pPr>
        <w:pStyle w:val="Normal"/>
        <w:ind w:firstLine="426" w:right="0"/>
        <w:jc w:val="both"/>
        <w:rPr/>
      </w:pPr>
      <w:r>
        <w:rPr/>
        <w:t>2.2.3. Отказаться от приемки и оплаты Товара , не соответствующего условиям Контракта.</w:t>
      </w:r>
    </w:p>
    <w:p>
      <w:pPr>
        <w:pStyle w:val="Normal"/>
        <w:widowControl/>
        <w:suppressAutoHyphens w:val="true"/>
        <w:bidi w:val="0"/>
        <w:ind w:firstLine="454" w:right="113"/>
        <w:jc w:val="both"/>
        <w:rPr/>
      </w:pPr>
      <w:r>
        <w:rPr/>
        <w:t>2.2.4. Запрашивать у Поставщика информацию об исполнении им обязательств по Контракту.</w:t>
      </w:r>
    </w:p>
    <w:p>
      <w:pPr>
        <w:pStyle w:val="Normal"/>
        <w:ind w:firstLine="426" w:right="0"/>
        <w:jc w:val="both"/>
        <w:rPr/>
      </w:pPr>
      <w:r>
        <w:rPr/>
        <w:t>2.3.5. Предложить увеличить или уменьшить в процессе исполнения Контракта количество Товара, предусмотренного Контрактом, не более чем на 10 процентов, в порядке и  на условиях, установленных Законом 44-ФЗ.</w:t>
      </w:r>
    </w:p>
    <w:p>
      <w:pPr>
        <w:pStyle w:val="Normal"/>
        <w:ind w:firstLine="426" w:right="0"/>
        <w:jc w:val="both"/>
        <w:rPr/>
      </w:pPr>
      <w:r>
        <w:rPr/>
        <w:t>2.3.6. Принять решение об одностороннем отказе от исполнения Контракта в соответствии с гражданским законодательством.</w:t>
      </w:r>
    </w:p>
    <w:p>
      <w:pPr>
        <w:pStyle w:val="Normal"/>
        <w:ind w:firstLine="426" w:right="0"/>
        <w:jc w:val="both"/>
        <w:rPr/>
      </w:pPr>
      <w:r>
        <w:rPr/>
        <w:t>2.3.7. Удержать суммы неисполненных Поставщиком требований об уплате неустоек (штрафов, пеней), предъявляемых Государственным заказчиком, в соответствии с Законом 44-ФЗ, из суммы, подлежащей оплате Поставщику.</w:t>
      </w:r>
    </w:p>
    <w:p>
      <w:pPr>
        <w:pStyle w:val="Normal"/>
        <w:ind w:firstLine="426" w:right="0"/>
        <w:jc w:val="both"/>
        <w:rPr/>
      </w:pPr>
      <w:r>
        <w:rPr/>
        <w:t>2.3.8. Привлекать для проведения экспертизы экспертов или экспертные организации, основанием для привлечения которых является  контракт, заключенный в соответствии с требованиями Закона 44-ФЗ.</w:t>
      </w:r>
    </w:p>
    <w:p>
      <w:pPr>
        <w:pStyle w:val="Normal"/>
        <w:ind w:firstLine="426" w:right="0"/>
        <w:jc w:val="both"/>
        <w:rPr/>
      </w:pPr>
      <w:r>
        <w:rPr/>
        <w:t>2.3.9. Осуществлять иные права, предусмотренные Контрактом и (или) действующим  законодательством Российской Федерации.</w:t>
      </w:r>
    </w:p>
    <w:p>
      <w:pPr>
        <w:pStyle w:val="Normal"/>
        <w:ind w:firstLine="426" w:right="0"/>
        <w:jc w:val="both"/>
        <w:rPr/>
      </w:pPr>
      <w:r>
        <w:rPr/>
        <w:t>2.3. Поставщик обязан:</w:t>
      </w:r>
    </w:p>
    <w:p>
      <w:pPr>
        <w:pStyle w:val="Normal"/>
        <w:ind w:firstLine="426" w:right="0"/>
        <w:jc w:val="both"/>
        <w:rPr/>
      </w:pPr>
      <w:r>
        <w:rPr/>
        <w:t xml:space="preserve">2.3.1. Поставить и передать Товар надлежащего качества Государственному заказчику в порядке, количестве, ассортименте и комплектации, согласно Спецификации (Приложение №1 </w:t>
      </w:r>
      <w:r>
        <w:rPr>
          <w:lang w:eastAsia="ar-SA"/>
        </w:rPr>
        <w:t>настоящему Контракту</w:t>
      </w:r>
      <w:r>
        <w:rPr/>
        <w:t>), являющейся неотъемлемой частью Контракта, и сроки, на условиях, предусмотренных Контрактом.</w:t>
      </w:r>
    </w:p>
    <w:p>
      <w:pPr>
        <w:pStyle w:val="Normal"/>
        <w:ind w:firstLine="426" w:right="0"/>
        <w:jc w:val="both"/>
        <w:rPr/>
      </w:pPr>
      <w:r>
        <w:rPr/>
        <w:t xml:space="preserve">2.3.2. Доставить Товар по адресу, указанному Государственным заказчиком. </w:t>
      </w:r>
    </w:p>
    <w:p>
      <w:pPr>
        <w:pStyle w:val="Normal"/>
        <w:ind w:firstLine="426" w:right="0"/>
        <w:jc w:val="both"/>
        <w:rPr/>
      </w:pPr>
      <w:r>
        <w:rPr/>
        <w:t>2.3.3. В случае принятия Поставщиком предусмотренного ч. 19 ст. 95 Закона № 44-ФЗ решения об одностороннем отказе от исполнения Контракта, такое решение направляется в следующем порядке:</w:t>
      </w:r>
    </w:p>
    <w:p>
      <w:pPr>
        <w:pStyle w:val="Normal"/>
        <w:ind w:firstLine="426" w:right="0"/>
        <w:jc w:val="both"/>
        <w:rPr/>
      </w:pPr>
      <w:r>
        <w:rPr/>
        <w:t>2.3.4. Не позднее, чем в течение 3-х рабочих дней  с даты принятия указанного  решения направить его Государственному заказчику по почте заказным письмом с уведомлением о вручении по адресу Государственного заказчика, указанному в Контракте, либо по адресу электронной почты, либо с использованием иных средств и доставки, обеспечивающих фиксирование данного уведомление и получение Поставщиком подтверждения о его вручении Государственному заказчику.</w:t>
      </w:r>
    </w:p>
    <w:p>
      <w:pPr>
        <w:pStyle w:val="Normal"/>
        <w:ind w:firstLine="426" w:right="0"/>
        <w:jc w:val="both"/>
        <w:rPr/>
      </w:pPr>
      <w:r>
        <w:rPr/>
        <w:t>2.3.5. Предоставлять Государственному заказчику по его требованию документы, относящиеся к предмету Контракта. Своевременно предоставлять достоверную информацию о ходе выполнения своих обязательств, незамедлительно  информировать в письменной форме о сложностях, возникающих при исполнении Контракта в порядке, предусмотренном Контрактом для уведомления сторон.</w:t>
      </w:r>
    </w:p>
    <w:p>
      <w:pPr>
        <w:pStyle w:val="Normal"/>
        <w:ind w:firstLine="426" w:right="0"/>
        <w:jc w:val="both"/>
        <w:rPr/>
      </w:pPr>
      <w:r>
        <w:rPr/>
        <w:t>2.4. Поставщик вправе:</w:t>
      </w:r>
    </w:p>
    <w:p>
      <w:pPr>
        <w:pStyle w:val="Normal"/>
        <w:ind w:firstLine="426" w:right="0"/>
        <w:jc w:val="both"/>
        <w:rPr/>
      </w:pPr>
      <w:r>
        <w:rPr/>
        <w:t>2.4.1. Требовать приемки и оплаты Товара в объеме, порядке, сроки и на условиях, предусмотренных Контрактом.</w:t>
      </w:r>
    </w:p>
    <w:p>
      <w:pPr>
        <w:pStyle w:val="Normal"/>
        <w:ind w:firstLine="426" w:right="0"/>
        <w:jc w:val="both"/>
        <w:rPr/>
      </w:pPr>
      <w:r>
        <w:rPr/>
        <w:t>2.4.2. По согласованию с Государственным заказчиком досрочно поставить Товар.</w:t>
      </w:r>
    </w:p>
    <w:p>
      <w:pPr>
        <w:pStyle w:val="Normal"/>
        <w:ind w:firstLine="426" w:right="0"/>
        <w:jc w:val="both"/>
        <w:rPr/>
      </w:pPr>
      <w:r>
        <w:rPr/>
        <w:t>2.4.3. Принять решение об одностороннем отказе от исполнения Контракта в соответствии с законодательством Российской Федерации.</w:t>
      </w:r>
    </w:p>
    <w:p>
      <w:pPr>
        <w:pStyle w:val="Normal"/>
        <w:ind w:firstLine="426" w:right="0"/>
        <w:jc w:val="both"/>
        <w:rPr/>
      </w:pPr>
      <w:r>
        <w:rPr/>
        <w:t>2.4.4. Требовать уплаты неустоек(штрафов,пеней) в соответствии с разделом 7 Контракта.</w:t>
      </w:r>
    </w:p>
    <w:p>
      <w:pPr>
        <w:pStyle w:val="Normal"/>
        <w:ind w:firstLine="426" w:right="0"/>
        <w:jc w:val="both"/>
        <w:rPr/>
      </w:pPr>
      <w:r>
        <w:rPr/>
        <w:t>2.4.5. По согласованию с Государственным заказчиком( путем заключения дополнительного соглашения) поставить Товар, качество и технические  и функциональные характеристики которого являются улучшенными по сравнению с указанными в Контракте( за исключением</w:t>
      </w:r>
    </w:p>
    <w:p>
      <w:pPr>
        <w:pStyle w:val="Normal"/>
        <w:ind w:firstLine="426" w:right="0"/>
        <w:jc w:val="both"/>
        <w:rPr/>
      </w:pPr>
      <w:r>
        <w:rPr/>
      </w:r>
    </w:p>
    <w:p>
      <w:pPr>
        <w:pStyle w:val="Normal"/>
        <w:ind w:firstLine="426" w:right="0"/>
        <w:jc w:val="both"/>
        <w:rPr/>
      </w:pPr>
      <w:r>
        <w:rPr/>
      </w:r>
    </w:p>
    <w:p>
      <w:pPr>
        <w:pStyle w:val="Normal"/>
        <w:ind w:firstLine="426" w:right="0"/>
        <w:jc w:val="both"/>
        <w:rPr/>
      </w:pPr>
      <w:r>
        <w:rPr/>
      </w:r>
    </w:p>
    <w:p>
      <w:pPr>
        <w:pStyle w:val="Normal"/>
        <w:ind w:firstLine="426" w:right="0"/>
        <w:jc w:val="both"/>
        <w:rPr/>
      </w:pPr>
      <w:r>
        <w:rPr/>
        <w:t>случаев, которые предусмотрены нормативными праовыми актами, принятыми в соответствии с ч. 6 ст.14 Законом 44-ФЗ.</w:t>
      </w:r>
    </w:p>
    <w:p>
      <w:pPr>
        <w:pStyle w:val="Normal"/>
        <w:tabs>
          <w:tab w:val="clear" w:pos="708"/>
          <w:tab w:val="left" w:pos="500" w:leader="none"/>
        </w:tabs>
        <w:ind w:firstLine="426" w:right="0"/>
        <w:jc w:val="both"/>
        <w:rPr/>
      </w:pPr>
      <w:r>
        <w:rPr/>
        <w:t>2.4.6. Осуществлять иные права, предусмотренные Контрактом и(или) действующим законодательством Российской Федерации.</w:t>
      </w:r>
    </w:p>
    <w:p>
      <w:pPr>
        <w:pStyle w:val="Normal"/>
        <w:ind w:firstLine="426" w:right="0"/>
        <w:jc w:val="both"/>
        <w:rPr/>
      </w:pPr>
      <w:r>
        <w:rPr/>
      </w:r>
    </w:p>
    <w:p>
      <w:pPr>
        <w:pStyle w:val="Normal"/>
        <w:widowControl w:val="false"/>
        <w:numPr>
          <w:ilvl w:val="0"/>
          <w:numId w:val="4"/>
        </w:numPr>
        <w:jc w:val="center"/>
        <w:rPr>
          <w:b/>
          <w:bCs/>
          <w:sz w:val="22"/>
          <w:szCs w:val="22"/>
        </w:rPr>
      </w:pPr>
      <w:r>
        <w:rPr>
          <w:b/>
          <w:bCs/>
          <w:sz w:val="22"/>
          <w:szCs w:val="22"/>
        </w:rPr>
        <w:t>ЦЕНА ГОСУДАРСТВЕННОГО КОНТРАКТА И ПОРЯДОК РАСЧЁТОВ</w:t>
      </w:r>
    </w:p>
    <w:p>
      <w:pPr>
        <w:pStyle w:val="Normal"/>
        <w:widowControl w:val="false"/>
        <w:ind w:left="405" w:right="0"/>
        <w:rPr>
          <w:b/>
          <w:bCs/>
          <w:sz w:val="22"/>
          <w:szCs w:val="22"/>
        </w:rPr>
      </w:pPr>
      <w:r>
        <w:rPr>
          <w:b/>
          <w:bCs/>
          <w:sz w:val="22"/>
          <w:szCs w:val="22"/>
        </w:rPr>
      </w:r>
    </w:p>
    <w:p>
      <w:pPr>
        <w:pStyle w:val="ConsPlusNormal"/>
        <w:ind w:firstLine="540" w:right="0"/>
        <w:jc w:val="both"/>
        <w:rPr/>
      </w:pPr>
      <w:r>
        <w:rPr/>
        <w:t>3.1. Цена настоящего Контракта составляет________________________________ и является твердой и определяется на весь срок исполнения Контракта за исключением случаев, предусмотренных действующим законодательством, в том числе НДС - __% (_______ процентов), _________ (______) рублей (далее - цена Контракта).</w:t>
      </w:r>
    </w:p>
    <w:p>
      <w:pPr>
        <w:pStyle w:val="Normal"/>
        <w:ind w:firstLine="567" w:right="0"/>
        <w:jc w:val="both"/>
        <w:rPr/>
      </w:pPr>
      <w:r>
        <w:rPr/>
        <w:t>3.2.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tabs>
          <w:tab w:val="clear" w:pos="708"/>
          <w:tab w:val="left" w:pos="1188" w:leader="none"/>
        </w:tabs>
        <w:ind w:firstLine="567" w:right="0"/>
        <w:jc w:val="both"/>
        <w:rPr/>
      </w:pPr>
      <w:r>
        <w:rPr/>
        <w:t>3.3. Цена Контракта включает в себя расходы по оплате обязательных платежей, всех налогов и сборов, а также затраты на транспортировку (в том числе связанные с погрузочно-разгрузочными работами) до адреса, указанного в настоящем Контракте, на страхование, уплату таможенных пошлин и иные затраты Поставщика, необходимые для поставки Товара.</w:t>
      </w:r>
    </w:p>
    <w:p>
      <w:pPr>
        <w:pStyle w:val="Normal"/>
        <w:tabs>
          <w:tab w:val="clear" w:pos="708"/>
          <w:tab w:val="left" w:pos="1188" w:leader="none"/>
        </w:tabs>
        <w:ind w:firstLine="567" w:right="0"/>
        <w:jc w:val="both"/>
        <w:rPr/>
      </w:pPr>
      <w:r>
        <w:rPr/>
        <w:t>3.4. Авансирование не предусмотрено. Оплата Товара производится Государственным заказчиком за счет средств федерального бюджета на 2026 год,  по безналичному расчету, в российских рублях на расчетный счет Поставщика в течение 10 (десяти) рабочих дней со дня подписания Акта приёма - передачи, на основании выставленного и оформленных надлежащим образом Поставщиком счета, Товарной накладной (Универсальный передаточный документ – далее УПД), которые предоставляются в день приемки Товара.</w:t>
      </w:r>
    </w:p>
    <w:p>
      <w:pPr>
        <w:pStyle w:val="Normal"/>
        <w:tabs>
          <w:tab w:val="clear" w:pos="708"/>
          <w:tab w:val="left" w:pos="1188" w:leader="none"/>
        </w:tabs>
        <w:ind w:firstLine="567" w:right="0"/>
        <w:jc w:val="both"/>
        <w:rPr/>
      </w:pPr>
      <w:r>
        <w:rPr/>
        <w:t>3.5. В случае изменения расчетного счета Поставщик обязан в однодневный срок в письменной форме сообщить новые реквизиты расчетного счета Государственному заказчику.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pPr>
        <w:pStyle w:val="Normal"/>
        <w:widowControl w:val="false"/>
        <w:numPr>
          <w:ilvl w:val="1"/>
          <w:numId w:val="10"/>
        </w:numPr>
        <w:tabs>
          <w:tab w:val="clear" w:pos="708"/>
          <w:tab w:val="left" w:pos="851" w:leader="none"/>
          <w:tab w:val="left" w:pos="1188" w:leader="none"/>
        </w:tabs>
        <w:spacing w:before="0" w:after="0"/>
        <w:ind w:firstLine="425" w:left="142" w:right="0"/>
        <w:contextualSpacing/>
        <w:jc w:val="both"/>
        <w:rPr>
          <w:rFonts w:eastAsia="Calibri"/>
          <w:lang w:eastAsia="en-US"/>
        </w:rPr>
      </w:pPr>
      <w:r>
        <w:rPr/>
        <w:t>По соглашению Сторон цена Контракта может быть изменена в случаях:</w:t>
      </w:r>
    </w:p>
    <w:p>
      <w:pPr>
        <w:pStyle w:val="Normal"/>
        <w:numPr>
          <w:ilvl w:val="2"/>
          <w:numId w:val="10"/>
        </w:numPr>
        <w:tabs>
          <w:tab w:val="clear" w:pos="708"/>
          <w:tab w:val="left" w:pos="851" w:leader="none"/>
          <w:tab w:val="left" w:pos="1188" w:leader="none"/>
        </w:tabs>
        <w:autoSpaceDE w:val="false"/>
        <w:spacing w:before="0" w:after="0"/>
        <w:ind w:firstLine="567" w:left="0" w:right="0"/>
        <w:contextualSpacing/>
        <w:jc w:val="both"/>
        <w:rPr>
          <w:rFonts w:eastAsia="Calibri"/>
          <w:lang w:eastAsia="en-US"/>
        </w:rPr>
      </w:pPr>
      <w:r>
        <w:rPr>
          <w:rFonts w:eastAsia="Calibri"/>
          <w:lang w:eastAsia="en-US"/>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pStyle w:val="Normal"/>
        <w:numPr>
          <w:ilvl w:val="2"/>
          <w:numId w:val="10"/>
        </w:numPr>
        <w:tabs>
          <w:tab w:val="clear" w:pos="708"/>
          <w:tab w:val="left" w:pos="851" w:leader="none"/>
          <w:tab w:val="left" w:pos="1188" w:leader="none"/>
        </w:tabs>
        <w:autoSpaceDE w:val="false"/>
        <w:spacing w:before="0" w:after="0"/>
        <w:ind w:firstLine="567" w:left="0" w:right="0"/>
        <w:contextualSpacing/>
        <w:jc w:val="both"/>
        <w:rPr/>
      </w:pPr>
      <w:r>
        <w:rPr>
          <w:rFonts w:eastAsia="Calibri"/>
          <w:lang w:eastAsia="en-US"/>
        </w:rPr>
        <w:t>Если по предложению Государственного заказчика увеличивается, предусмотренное Контрактом количество Товара или уменьшается предусмотренное Контрактом количество поставляемого Товара.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pStyle w:val="Normal"/>
        <w:numPr>
          <w:ilvl w:val="2"/>
          <w:numId w:val="10"/>
        </w:numPr>
        <w:tabs>
          <w:tab w:val="clear" w:pos="708"/>
          <w:tab w:val="left" w:pos="851" w:leader="none"/>
          <w:tab w:val="left" w:pos="1138" w:leader="none"/>
        </w:tabs>
        <w:autoSpaceDE w:val="false"/>
        <w:spacing w:before="0" w:after="0"/>
        <w:ind w:firstLine="567" w:left="0" w:right="0"/>
        <w:contextualSpacing/>
        <w:jc w:val="both"/>
        <w:rPr/>
      </w:pPr>
      <w:r>
        <w:rPr/>
        <w:t xml:space="preserve">В случаях, предусмотренных </w:t>
      </w:r>
      <w:hyperlink r:id="rId2">
        <w:r>
          <w:rPr>
            <w:rStyle w:val="Hyperlink"/>
          </w:rPr>
          <w:t>пунктом 6 статьи 161</w:t>
        </w:r>
      </w:hyperlink>
      <w:r>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3">
        <w:r>
          <w:rPr>
            <w:rStyle w:val="Hyperlink"/>
          </w:rPr>
          <w:t>обеспечивает согласование</w:t>
        </w:r>
      </w:hyperlink>
      <w:r>
        <w:rPr/>
        <w:t xml:space="preserve"> новых условий Контракта, в том числе цены и (или) сроков исполнения Контракта и (или) количества Товар, предусмотренных Контрактом.</w:t>
      </w:r>
    </w:p>
    <w:p>
      <w:pPr>
        <w:pStyle w:val="Normal"/>
        <w:numPr>
          <w:ilvl w:val="2"/>
          <w:numId w:val="10"/>
        </w:numPr>
        <w:tabs>
          <w:tab w:val="clear" w:pos="708"/>
          <w:tab w:val="left" w:pos="851" w:leader="none"/>
          <w:tab w:val="left" w:pos="1188" w:leader="none"/>
        </w:tabs>
        <w:autoSpaceDE w:val="false"/>
        <w:spacing w:before="0" w:after="0"/>
        <w:ind w:firstLine="567" w:left="0" w:right="0"/>
        <w:contextualSpacing/>
        <w:jc w:val="both"/>
        <w:rPr/>
      </w:pPr>
      <w:r>
        <w:rPr/>
        <w:t>Товар, поставленный Поставщиком, не предусмотренный настоящим Контрактом, Государственным заказчиком не оплачивается.</w:t>
      </w:r>
    </w:p>
    <w:p>
      <w:pPr>
        <w:pStyle w:val="Normal"/>
        <w:widowControl w:val="false"/>
        <w:numPr>
          <w:ilvl w:val="1"/>
          <w:numId w:val="10"/>
        </w:numPr>
        <w:tabs>
          <w:tab w:val="clear" w:pos="708"/>
          <w:tab w:val="left" w:pos="963" w:leader="none"/>
        </w:tabs>
        <w:spacing w:before="0" w:after="0"/>
        <w:ind w:firstLine="567" w:left="0" w:right="0"/>
        <w:contextualSpacing/>
        <w:jc w:val="both"/>
        <w:rPr>
          <w:sz w:val="22"/>
          <w:szCs w:val="22"/>
        </w:rPr>
      </w:pPr>
      <w:r>
        <w:rPr/>
        <w:t>Источник финансирования - федеральный бюджет. КБК17709021040190049244.</w:t>
      </w:r>
    </w:p>
    <w:p>
      <w:pPr>
        <w:pStyle w:val="Normal"/>
        <w:ind w:firstLine="142" w:right="0"/>
        <w:jc w:val="both"/>
        <w:rPr>
          <w:sz w:val="22"/>
          <w:szCs w:val="22"/>
        </w:rPr>
      </w:pPr>
      <w:r>
        <w:rPr>
          <w:sz w:val="22"/>
          <w:szCs w:val="22"/>
        </w:rPr>
      </w:r>
    </w:p>
    <w:p>
      <w:pPr>
        <w:pStyle w:val="Normal"/>
        <w:numPr>
          <w:ilvl w:val="0"/>
          <w:numId w:val="10"/>
        </w:numPr>
        <w:ind w:firstLine="142" w:left="360" w:right="0"/>
        <w:jc w:val="center"/>
        <w:rPr>
          <w:b/>
          <w:sz w:val="22"/>
          <w:szCs w:val="22"/>
        </w:rPr>
      </w:pPr>
      <w:r>
        <w:rPr>
          <w:b/>
          <w:bCs/>
          <w:sz w:val="22"/>
          <w:szCs w:val="22"/>
        </w:rPr>
        <w:t xml:space="preserve"> </w:t>
      </w:r>
      <w:r>
        <w:rPr>
          <w:b/>
          <w:bCs/>
          <w:sz w:val="22"/>
          <w:szCs w:val="22"/>
        </w:rPr>
        <w:t>КАЧЕСТВО И ПОРЯДОК ПРИЕМКИ ТОВАРА.</w:t>
      </w:r>
      <w:r>
        <w:rPr>
          <w:b/>
          <w:sz w:val="22"/>
          <w:szCs w:val="22"/>
        </w:rPr>
        <w:t xml:space="preserve"> ТРЕБОВАНИЯ К УПАКОВКЕ</w:t>
      </w:r>
    </w:p>
    <w:p>
      <w:pPr>
        <w:pStyle w:val="Normal"/>
        <w:ind w:left="360" w:right="0"/>
        <w:jc w:val="center"/>
        <w:rPr>
          <w:b/>
          <w:sz w:val="22"/>
          <w:szCs w:val="22"/>
        </w:rPr>
      </w:pPr>
      <w:r>
        <w:rPr>
          <w:b/>
          <w:sz w:val="22"/>
          <w:szCs w:val="22"/>
        </w:rPr>
        <w:t>(ТАРЕ), МАРКИРОВКЕ, ТРАНСПОРТИРОВКЕ</w:t>
      </w:r>
    </w:p>
    <w:p>
      <w:pPr>
        <w:pStyle w:val="Normal"/>
        <w:autoSpaceDE w:val="false"/>
        <w:ind w:firstLine="567" w:right="0"/>
        <w:jc w:val="both"/>
        <w:rPr/>
      </w:pPr>
      <w:r>
        <w:rPr/>
        <w:t>4.1. Для проверки поставленного Поставщиком Товара, предусмотренного Контрактом, в части его соответствия условиям Контракта Государственный заказчик вправе провести экспертизу. Экспертиза может проводиться Государственным заказчиком своими силами. При этом Государственный заказчик вправе в любой момент ознакомиться с документами, подтверждающими качество поставляемого Товара.</w:t>
      </w:r>
    </w:p>
    <w:p>
      <w:pPr>
        <w:pStyle w:val="Normal"/>
        <w:tabs>
          <w:tab w:val="clear" w:pos="708"/>
          <w:tab w:val="left" w:pos="1134" w:leader="none"/>
        </w:tabs>
        <w:ind w:firstLine="567" w:right="0"/>
        <w:jc w:val="both"/>
        <w:rPr/>
      </w:pPr>
      <w:r>
        <w:rPr/>
        <w:t xml:space="preserve">4.2. Качество поставляемого Товара должно соответствовать действующему сертификату соответствия изготовителя. </w:t>
      </w:r>
    </w:p>
    <w:p>
      <w:pPr>
        <w:pStyle w:val="Normal"/>
        <w:tabs>
          <w:tab w:val="clear" w:pos="708"/>
          <w:tab w:val="left" w:pos="1134" w:leader="none"/>
        </w:tabs>
        <w:ind w:firstLine="567" w:right="0"/>
        <w:jc w:val="both"/>
        <w:rPr/>
      </w:pPr>
      <w:r>
        <w:rPr/>
        <w:t>4.3. При поставке Товара Поставщик передает Государственному заказчику по Акту приема-передачи все необходимые документы, подтверждающие качество Товара, в том числе сертификаты соответствия или их копии, заверенные печатью Поставщика.</w:t>
      </w:r>
    </w:p>
    <w:p>
      <w:pPr>
        <w:pStyle w:val="Normal"/>
        <w:tabs>
          <w:tab w:val="clear" w:pos="708"/>
          <w:tab w:val="left" w:pos="1134" w:leader="none"/>
        </w:tabs>
        <w:ind w:firstLine="567" w:right="0"/>
        <w:jc w:val="both"/>
        <w:rPr/>
      </w:pPr>
      <w:r>
        <w:rPr/>
        <w:t xml:space="preserve">4.4. Требования к качеству Товара: </w:t>
      </w:r>
    </w:p>
    <w:p>
      <w:pPr>
        <w:pStyle w:val="Normal"/>
        <w:tabs>
          <w:tab w:val="clear" w:pos="708"/>
          <w:tab w:val="left" w:pos="1134" w:leader="none"/>
        </w:tabs>
        <w:ind w:firstLine="567" w:right="0"/>
        <w:jc w:val="both"/>
        <w:rPr/>
      </w:pPr>
      <w:r>
        <w:rPr/>
        <w:t>4.4.1. Качество Товара, подлежащего поставке, подтверждается документами о качестве Товара, удостоверение о качестве прилагается.</w:t>
      </w:r>
    </w:p>
    <w:p>
      <w:pPr>
        <w:pStyle w:val="Normal"/>
        <w:tabs>
          <w:tab w:val="clear" w:pos="708"/>
          <w:tab w:val="left" w:pos="1134" w:leader="none"/>
        </w:tabs>
        <w:ind w:firstLine="567" w:right="0"/>
        <w:jc w:val="both"/>
        <w:rPr>
          <w:rFonts w:ascii="Times New Roman" w:hAnsi="Times New Roman" w:cs="Times New Roman"/>
          <w:sz w:val="24"/>
          <w:szCs w:val="24"/>
        </w:rPr>
      </w:pPr>
      <w:r>
        <w:rPr/>
        <w:t>4.4.2. Товар должен быть новым, не бывшим в эксплуатации, предназначенным для условий эксплуатации стороны Государственного заказчика. На данный Товар должна распространяться полная гарантия производителя.</w:t>
      </w:r>
    </w:p>
    <w:p>
      <w:pPr>
        <w:pStyle w:val="Style32"/>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4.4.3. Поставщик гарантирует, что поставляемый Товар принадлежит Поставщику на праве собственности, не заложен, не арестован, не является предметом споров с другими лицами.</w:t>
      </w:r>
    </w:p>
    <w:p>
      <w:pPr>
        <w:pStyle w:val="Style32"/>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4.4.4. Поставщик гарантирует Государственному заказчику освобождение от всех претензий и судебных исков в случае нарушения Поставщиком патентных и/или лицензионных прав, товарных знаков, а также торговых марок, названий.</w:t>
      </w:r>
    </w:p>
    <w:p>
      <w:pPr>
        <w:pStyle w:val="Style32"/>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4.4.5. Поставщик гарантирует качество и безопасность поставляемого Товара в соответствии с действующими стандартами, утверждёнными на данный вид продукции и наличием сертификатов, обязательных для данного вида продукции, оформленных в соответствии с Российским законодательством.</w:t>
      </w:r>
    </w:p>
    <w:p>
      <w:pPr>
        <w:pStyle w:val="Style32"/>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4.4.6. На поставляемый Товар Поставщик предоставляет гарантию качества в соответствии с нормативными документами на данный вид Товара.</w:t>
      </w:r>
    </w:p>
    <w:p>
      <w:pPr>
        <w:pStyle w:val="Normal"/>
        <w:ind w:firstLine="567" w:right="0"/>
        <w:jc w:val="both"/>
        <w:rPr/>
      </w:pPr>
      <w:r>
        <w:rPr/>
        <w:t>4.5. Гарантийный срок должен распространяться на весь поставляемый товар в полном объеме (100 %) и исчисляется от даты подписания Государственным заказчиком документов о приёмке Товара.</w:t>
      </w:r>
    </w:p>
    <w:p>
      <w:pPr>
        <w:pStyle w:val="Normal"/>
        <w:ind w:firstLine="567" w:right="0"/>
        <w:jc w:val="both"/>
        <w:rPr/>
      </w:pPr>
      <w:r>
        <w:rPr/>
        <w:t>4.6. Приёмка Товара:</w:t>
      </w:r>
    </w:p>
    <w:p>
      <w:pPr>
        <w:pStyle w:val="Normal"/>
        <w:ind w:firstLine="567" w:right="0"/>
        <w:jc w:val="both"/>
        <w:rPr/>
      </w:pPr>
      <w:r>
        <w:rPr/>
        <w:t>4.6.1. Осуществляется по месту доставки Товара Государственному заказчику.</w:t>
      </w:r>
    </w:p>
    <w:p>
      <w:pPr>
        <w:pStyle w:val="Normal"/>
        <w:ind w:firstLine="567" w:right="0"/>
        <w:jc w:val="both"/>
        <w:rPr/>
      </w:pPr>
      <w:r>
        <w:rPr/>
        <w:t>4.6.2. Приёмка Товара по качеству и комплектности проводится Государственным заказчиком в течение 10 (десяти) календарных дней.</w:t>
      </w:r>
    </w:p>
    <w:p>
      <w:pPr>
        <w:pStyle w:val="Normal"/>
        <w:autoSpaceDE w:val="false"/>
        <w:ind w:firstLine="567" w:right="0"/>
        <w:jc w:val="both"/>
        <w:rPr/>
      </w:pPr>
      <w:r>
        <w:rPr/>
        <w:t>4.6.3. При поставке Товар сопровождается следующими документами для оплаты:</w:t>
      </w:r>
    </w:p>
    <w:p>
      <w:pPr>
        <w:pStyle w:val="Normal"/>
        <w:autoSpaceDE w:val="false"/>
        <w:ind w:firstLine="142" w:right="0"/>
        <w:jc w:val="both"/>
        <w:rPr/>
      </w:pPr>
      <w:r>
        <w:rPr/>
        <w:t>- счет для оплаты;</w:t>
      </w:r>
    </w:p>
    <w:p>
      <w:pPr>
        <w:pStyle w:val="Normal"/>
        <w:autoSpaceDE w:val="false"/>
        <w:ind w:firstLine="142" w:right="0"/>
        <w:jc w:val="both"/>
        <w:rPr/>
      </w:pPr>
      <w:r>
        <w:rPr/>
        <w:t>- товарная накладная (УПД), оформленная в 2-х экземплярах с печатью Поставщика и Государственного заказчика;</w:t>
      </w:r>
    </w:p>
    <w:p>
      <w:pPr>
        <w:pStyle w:val="Normal"/>
        <w:tabs>
          <w:tab w:val="clear" w:pos="708"/>
          <w:tab w:val="left" w:pos="1134" w:leader="none"/>
        </w:tabs>
        <w:ind w:firstLine="142" w:right="0"/>
        <w:jc w:val="both"/>
        <w:rPr/>
      </w:pPr>
      <w:r>
        <w:rPr/>
        <w:t>- сертификаты соответствия на Товар;</w:t>
      </w:r>
    </w:p>
    <w:p>
      <w:pPr>
        <w:pStyle w:val="Normal"/>
        <w:autoSpaceDE w:val="false"/>
        <w:ind w:firstLine="142" w:right="0"/>
        <w:jc w:val="both"/>
        <w:rPr/>
      </w:pPr>
      <w:r>
        <w:rPr/>
        <w:t>- акт приема-передачи Товара, заверенный печатью Государственного заказчика;</w:t>
      </w:r>
    </w:p>
    <w:p>
      <w:pPr>
        <w:pStyle w:val="Normal"/>
        <w:tabs>
          <w:tab w:val="clear" w:pos="708"/>
          <w:tab w:val="left" w:pos="1134" w:leader="none"/>
        </w:tabs>
        <w:ind w:firstLine="142" w:right="0"/>
        <w:jc w:val="both"/>
        <w:rPr/>
      </w:pPr>
      <w:r>
        <w:rPr/>
        <w:t>- иные документы, необходимые для оплаты за поставленный Товар</w:t>
      </w:r>
    </w:p>
    <w:p>
      <w:pPr>
        <w:pStyle w:val="Normal"/>
        <w:autoSpaceDE w:val="false"/>
        <w:ind w:firstLine="567" w:right="0"/>
        <w:jc w:val="both"/>
        <w:rPr/>
      </w:pPr>
      <w:r>
        <w:rPr/>
        <w:t>4.6.4. Государственный заказчик в ходе приемки проверяет наличие на Товаре и транспортной упаковке информации на русском языке о составе, производителе, сроках и условиях эксплуатации и применения, а также других установленных сведений.</w:t>
      </w:r>
    </w:p>
    <w:p>
      <w:pPr>
        <w:pStyle w:val="Normal"/>
        <w:autoSpaceDE w:val="false"/>
        <w:ind w:firstLine="567" w:right="0"/>
        <w:jc w:val="both"/>
        <w:rPr/>
      </w:pPr>
      <w:r>
        <w:rPr/>
        <w:t>4.6.5. При поставке Товара по количеству, не соответствующему условиям Контракта, Государственный заказчик вправе по своему выбору:</w:t>
      </w:r>
    </w:p>
    <w:p>
      <w:pPr>
        <w:pStyle w:val="Normal"/>
        <w:autoSpaceDE w:val="false"/>
        <w:ind w:firstLine="142" w:right="0"/>
        <w:jc w:val="both"/>
        <w:rPr/>
      </w:pPr>
      <w:r>
        <w:rPr/>
        <w:t>- потребовать поставить в течение 3 (трех) рабочих дней Товар в полном объеме;</w:t>
      </w:r>
    </w:p>
    <w:p>
      <w:pPr>
        <w:pStyle w:val="Normal"/>
        <w:autoSpaceDE w:val="false"/>
        <w:ind w:firstLine="142" w:right="0"/>
        <w:jc w:val="both"/>
        <w:rPr/>
      </w:pPr>
      <w:r>
        <w:rPr/>
        <w:t>- отказаться от переданного Товара и от его оплаты, а если Товар оплачен потребовать возврата уплаченной денежной суммы.</w:t>
      </w:r>
    </w:p>
    <w:p>
      <w:pPr>
        <w:pStyle w:val="Normal"/>
        <w:autoSpaceDE w:val="false"/>
        <w:ind w:firstLine="567" w:right="0"/>
        <w:jc w:val="both"/>
        <w:rPr/>
      </w:pPr>
      <w:r>
        <w:rPr/>
        <w:t>4.6.6. При обнаружении недостатков по качеству Товара, выявленных после приемки Товара, Государственный заказчик в течение 24 часов с момента обнаружения недостатков письменно (по</w:t>
      </w:r>
    </w:p>
    <w:p>
      <w:pPr>
        <w:pStyle w:val="Normal"/>
        <w:autoSpaceDE w:val="false"/>
        <w:ind w:firstLine="567" w:right="0"/>
        <w:jc w:val="both"/>
        <w:rPr/>
      </w:pPr>
      <w:r>
        <w:rPr/>
        <w:t xml:space="preserve"> </w:t>
      </w:r>
      <w:r>
        <w:rPr/>
        <w:t>факсу или электронной  почтой) уведомляет об этом Поставщика. Поставщик направляет к Государственному заказчику своего представителя, который совместно с представителем Государственного заказчика составляет Акт о некачественном Товаре и его замене. В случае если Поставщик, получивший уведомление Государственного заказчика о недостатках поставленного Товара, в течение 3 (трех) рабочих дней не заменит поставленный Товар Товаром надлежащего качества, Государственный заказчик вправе отказаться от исполнения Контракта и потребовать возврата уплаченной денежной суммы. До момента вывоза некачественного Товара Государственный заказчик принимает Товар на ответственное хранение. Расходы, которые понесет, Государственный заказчик при ответственном хранении некачественного Товара возмещаются Поставщиком.</w:t>
      </w:r>
    </w:p>
    <w:p>
      <w:pPr>
        <w:pStyle w:val="Normal"/>
        <w:autoSpaceDE w:val="false"/>
        <w:ind w:firstLine="567" w:right="0"/>
        <w:jc w:val="both"/>
        <w:rPr/>
      </w:pPr>
      <w:r>
        <w:rPr/>
        <w:t>4.6.7. В случае, когда при визуальном осмотре и подсчете Товара в процессе приема-передачи Товара будут обнаружены брак и/или недостача Товара, Государственный заказчик обязан немедленно сделать отметки об этом в Акте приема-передачи, который составляется в 2-х экземплярах Акт о расхождении по количеству и качеству Товара. Акт о расхождении по количеству и качеству Товара должен быть подписан уполномоченными представителями обеих сторон.</w:t>
      </w:r>
    </w:p>
    <w:p>
      <w:pPr>
        <w:pStyle w:val="Normal"/>
        <w:autoSpaceDE w:val="false"/>
        <w:ind w:firstLine="567" w:right="0"/>
        <w:jc w:val="both"/>
        <w:rPr/>
      </w:pPr>
      <w:r>
        <w:rPr/>
        <w:t>4.6.8. При поставке Товара Государственному заказчику и в случае его отказа от приемки Товара составляется Акт, подписываемый уполномоченными представителями Сторон, в котором Государственный заказчик обязан указать причины отказа, должность и фамилию лица, производившего приемку Товара.</w:t>
      </w:r>
    </w:p>
    <w:p>
      <w:pPr>
        <w:pStyle w:val="Normal"/>
        <w:widowControl w:val="false"/>
        <w:autoSpaceDE w:val="false"/>
        <w:ind w:firstLine="567" w:right="0"/>
        <w:jc w:val="both"/>
        <w:rPr/>
      </w:pPr>
      <w:r>
        <w:rPr/>
        <w:t>4.6.9. В случае отказа Государственного заказчика составить Акт, факт отказа удостоверяется односторонним Актом, составленным представителем Поставщика.</w:t>
      </w:r>
    </w:p>
    <w:p>
      <w:pPr>
        <w:pStyle w:val="Normal"/>
        <w:widowControl w:val="false"/>
        <w:autoSpaceDE w:val="false"/>
        <w:ind w:firstLine="567" w:right="0"/>
        <w:jc w:val="both"/>
        <w:rPr/>
      </w:pPr>
      <w:r>
        <w:rPr/>
        <w:t>4.6.10. По вопросам приемки Товара (продукции) по качеству и комплектности, не оговоренным в Контракте, Стороны руководствуются действующими инструкциями, утвержденными постановлением Государственного арбитража.</w:t>
      </w:r>
    </w:p>
    <w:p>
      <w:pPr>
        <w:pStyle w:val="Normal"/>
        <w:widowControl w:val="false"/>
        <w:autoSpaceDE w:val="false"/>
        <w:ind w:firstLine="567" w:right="0"/>
        <w:jc w:val="both"/>
        <w:rPr>
          <w:szCs w:val="24"/>
        </w:rPr>
      </w:pPr>
      <w:r>
        <w:rPr/>
        <w:t>4.7. Поставляемый Товар должен быть упакован и замаркирован в соответствии с действующими стандартами и техническими условиями. Упаковка (тара) должна гарантировать целостность и сохранность Товара при перевозке и хранении.</w:t>
      </w:r>
    </w:p>
    <w:p>
      <w:pPr>
        <w:pStyle w:val="Heading2"/>
        <w:keepNext w:val="false"/>
        <w:widowControl w:val="false"/>
        <w:ind w:firstLine="567" w:left="0" w:right="0"/>
        <w:jc w:val="both"/>
        <w:rPr>
          <w:szCs w:val="24"/>
        </w:rPr>
      </w:pPr>
      <w:r>
        <w:rPr>
          <w:szCs w:val="24"/>
        </w:rPr>
        <w:t>4.7.1 Поставщик транспортирует Товар транспортом всех видов в соответствии с Правилами перевозки грузов, действующими на данном виде транспорта, и требованиями документации по погрузке и креплению грузов, утвержденными в установленном порядке.</w:t>
      </w:r>
    </w:p>
    <w:p>
      <w:pPr>
        <w:pStyle w:val="Heading2"/>
        <w:keepNext w:val="false"/>
        <w:widowControl w:val="false"/>
        <w:ind w:firstLine="567" w:left="0" w:right="0"/>
        <w:jc w:val="both"/>
        <w:rPr/>
      </w:pPr>
      <w:r>
        <w:rPr>
          <w:szCs w:val="24"/>
        </w:rPr>
        <w:t>4.7.2. Риск случайной гибели, повреждения, а также хищения имущества Государственного заказчика в период поставки Товара лежит на Поставщике до момента подписания Сторонами Акта приемки Товара.</w:t>
      </w:r>
    </w:p>
    <w:p>
      <w:pPr>
        <w:pStyle w:val="Normal"/>
        <w:ind w:firstLine="567" w:right="0"/>
        <w:rPr/>
      </w:pPr>
      <w:r>
        <w:rPr/>
        <w:t>4.8. Контактное лицо со стороны Государственного заказчика по сопровождению Контракта: Севостьянова Светлана Владимировна.</w:t>
      </w:r>
    </w:p>
    <w:p>
      <w:pPr>
        <w:pStyle w:val="Normal"/>
        <w:ind w:firstLine="567" w:right="0"/>
        <w:rPr/>
      </w:pPr>
      <w:r>
        <w:rPr/>
      </w:r>
    </w:p>
    <w:p>
      <w:pPr>
        <w:pStyle w:val="Heading2"/>
        <w:keepNext w:val="false"/>
        <w:widowControl w:val="false"/>
        <w:numPr>
          <w:ilvl w:val="0"/>
          <w:numId w:val="10"/>
        </w:numPr>
        <w:ind w:firstLine="142" w:left="360" w:right="0"/>
        <w:jc w:val="center"/>
        <w:rPr>
          <w:b/>
          <w:bCs/>
          <w:sz w:val="22"/>
          <w:szCs w:val="22"/>
        </w:rPr>
      </w:pPr>
      <w:r>
        <w:rPr>
          <w:b/>
          <w:bCs/>
          <w:sz w:val="22"/>
          <w:szCs w:val="22"/>
        </w:rPr>
        <w:t xml:space="preserve"> </w:t>
      </w:r>
      <w:r>
        <w:rPr>
          <w:b/>
          <w:bCs/>
          <w:sz w:val="22"/>
          <w:szCs w:val="22"/>
        </w:rPr>
        <w:t>ГАРАНТИЙНЫЕ ОБЯЗАТЕЛЬСТВА</w:t>
      </w:r>
    </w:p>
    <w:p>
      <w:pPr>
        <w:pStyle w:val="Normal"/>
        <w:rPr>
          <w:b/>
          <w:bCs/>
          <w:sz w:val="22"/>
          <w:szCs w:val="22"/>
        </w:rPr>
      </w:pPr>
      <w:r>
        <w:rPr>
          <w:b/>
          <w:bCs/>
          <w:sz w:val="22"/>
          <w:szCs w:val="22"/>
        </w:rPr>
      </w:r>
    </w:p>
    <w:p>
      <w:pPr>
        <w:pStyle w:val="Heading2"/>
        <w:keepNext w:val="false"/>
        <w:widowControl w:val="false"/>
        <w:ind w:firstLine="567" w:left="0" w:right="0"/>
        <w:jc w:val="both"/>
        <w:rPr/>
      </w:pPr>
      <w:r>
        <w:rPr>
          <w:szCs w:val="24"/>
        </w:rPr>
        <w:t>5.1.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p>
    <w:p>
      <w:pPr>
        <w:pStyle w:val="Normal"/>
        <w:tabs>
          <w:tab w:val="clear" w:pos="708"/>
          <w:tab w:val="left" w:pos="567" w:leader="none"/>
        </w:tabs>
        <w:spacing w:before="0" w:after="0"/>
        <w:contextualSpacing/>
        <w:jc w:val="both"/>
        <w:rPr>
          <w:szCs w:val="24"/>
        </w:rPr>
      </w:pPr>
      <w:r>
        <w:rPr/>
        <w:tab/>
        <w:t xml:space="preserve">5.2. Остаточный срок годности Товара не менее 80%, со дня поставки от начального срока годности. На поставляемый Товар Поставщик предоставляет гарантию качества. </w:t>
      </w:r>
      <w:r>
        <w:rPr>
          <w:lang w:val="ru-RU" w:eastAsia="en-US"/>
        </w:rPr>
        <w:t>П</w:t>
      </w:r>
      <w:r>
        <w:rPr>
          <w:lang w:val="ru-RU"/>
        </w:rPr>
        <w:t xml:space="preserve">ри обнаружении недостатков Поставщик обязан </w:t>
      </w:r>
      <w:r>
        <w:rPr/>
        <w:t xml:space="preserve">в течении 3-х рабочих дней </w:t>
      </w:r>
      <w:r>
        <w:rPr>
          <w:lang w:val="ru-RU"/>
        </w:rPr>
        <w:t>безвозмездно их устранить, а также возместить убытки Заказчик</w:t>
      </w:r>
      <w:r>
        <w:rPr/>
        <w:t>у.</w:t>
      </w:r>
    </w:p>
    <w:p>
      <w:pPr>
        <w:pStyle w:val="Heading2"/>
        <w:keepNext w:val="false"/>
        <w:widowControl w:val="false"/>
        <w:tabs>
          <w:tab w:val="clear" w:pos="708"/>
          <w:tab w:val="left" w:pos="709" w:leader="none"/>
        </w:tabs>
        <w:ind w:firstLine="567" w:left="0" w:right="0"/>
        <w:jc w:val="both"/>
        <w:rPr>
          <w:b/>
          <w:sz w:val="22"/>
          <w:szCs w:val="22"/>
        </w:rPr>
      </w:pPr>
      <w:r>
        <w:rPr>
          <w:szCs w:val="24"/>
        </w:rPr>
        <w:t xml:space="preserve"> </w:t>
      </w:r>
      <w:r>
        <w:rPr>
          <w:szCs w:val="24"/>
        </w:rPr>
        <w:t>5.3. Расходы, связанные с исполнением гарантийных обязательств, несет Поставщик.</w:t>
      </w:r>
      <w:r>
        <w:rPr>
          <w:b/>
          <w:szCs w:val="24"/>
        </w:rPr>
        <w:t xml:space="preserve"> </w:t>
      </w:r>
    </w:p>
    <w:p>
      <w:pPr>
        <w:pStyle w:val="Normal"/>
        <w:widowControl w:val="false"/>
        <w:shd w:fill="FFFFFF" w:val="clear"/>
        <w:ind w:firstLine="142" w:left="567" w:right="0"/>
        <w:rPr>
          <w:b/>
          <w:sz w:val="22"/>
          <w:szCs w:val="22"/>
        </w:rPr>
      </w:pPr>
      <w:r>
        <w:rPr>
          <w:b/>
          <w:sz w:val="22"/>
          <w:szCs w:val="22"/>
        </w:rPr>
      </w:r>
    </w:p>
    <w:p>
      <w:pPr>
        <w:pStyle w:val="Normal"/>
        <w:widowControl w:val="false"/>
        <w:numPr>
          <w:ilvl w:val="0"/>
          <w:numId w:val="10"/>
        </w:numPr>
        <w:shd w:fill="FFFFFF" w:val="clear"/>
        <w:ind w:firstLine="142" w:left="360" w:right="0"/>
        <w:jc w:val="center"/>
        <w:rPr>
          <w:b/>
          <w:sz w:val="22"/>
          <w:szCs w:val="22"/>
        </w:rPr>
      </w:pPr>
      <w:r>
        <w:rPr>
          <w:b/>
          <w:sz w:val="22"/>
          <w:szCs w:val="22"/>
        </w:rPr>
        <w:t xml:space="preserve"> </w:t>
      </w:r>
      <w:r>
        <w:rPr>
          <w:b/>
          <w:sz w:val="22"/>
          <w:szCs w:val="22"/>
        </w:rPr>
        <w:t>КОНФИДЕНЦИАЛЬНОСТЬ</w:t>
      </w:r>
    </w:p>
    <w:p>
      <w:pPr>
        <w:pStyle w:val="Normal"/>
        <w:widowControl w:val="false"/>
        <w:shd w:fill="FFFFFF" w:val="clear"/>
        <w:ind w:left="502" w:right="0"/>
        <w:rPr>
          <w:b/>
          <w:sz w:val="22"/>
          <w:szCs w:val="22"/>
        </w:rPr>
      </w:pPr>
      <w:r>
        <w:rPr>
          <w:b/>
          <w:sz w:val="22"/>
          <w:szCs w:val="22"/>
        </w:rPr>
      </w:r>
    </w:p>
    <w:p>
      <w:pPr>
        <w:pStyle w:val="Style32"/>
        <w:widowControl w:val="false"/>
        <w:numPr>
          <w:ilvl w:val="1"/>
          <w:numId w:val="6"/>
        </w:numPr>
        <w:tabs>
          <w:tab w:val="clear" w:pos="708"/>
          <w:tab w:val="left" w:pos="993" w:leader="none"/>
        </w:tabs>
        <w:spacing w:lineRule="auto" w:line="240" w:before="0" w:after="0"/>
        <w:ind w:firstLine="567" w:left="0" w:right="0"/>
        <w:contextualSpacing/>
        <w:jc w:val="both"/>
        <w:rPr/>
      </w:pPr>
      <w:r>
        <w:rPr>
          <w:rFonts w:cs="Times New Roman" w:ascii="Times New Roman" w:hAnsi="Times New Roman"/>
          <w:sz w:val="24"/>
          <w:szCs w:val="24"/>
        </w:rPr>
        <w:t>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Федеральному законуот 29 июля 2004 г. № 98-ФЗ  “О коммерческой тайне”.</w:t>
      </w:r>
    </w:p>
    <w:p>
      <w:pPr>
        <w:pStyle w:val="Normal"/>
        <w:widowControl w:val="false"/>
        <w:numPr>
          <w:ilvl w:val="1"/>
          <w:numId w:val="6"/>
        </w:numPr>
        <w:tabs>
          <w:tab w:val="clear" w:pos="708"/>
          <w:tab w:val="left" w:pos="993" w:leader="none"/>
          <w:tab w:val="left" w:pos="1276" w:leader="none"/>
        </w:tabs>
        <w:ind w:firstLine="567" w:left="0" w:right="0"/>
        <w:jc w:val="both"/>
        <w:rPr/>
      </w:pPr>
      <w:r>
        <w:rPr/>
        <w:t xml:space="preserve">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 </w:t>
      </w:r>
    </w:p>
    <w:p>
      <w:pPr>
        <w:pStyle w:val="Normal"/>
        <w:widowControl w:val="false"/>
        <w:numPr>
          <w:ilvl w:val="1"/>
          <w:numId w:val="6"/>
        </w:numPr>
        <w:tabs>
          <w:tab w:val="clear" w:pos="708"/>
          <w:tab w:val="left" w:pos="993" w:leader="none"/>
          <w:tab w:val="left" w:pos="1276" w:leader="none"/>
        </w:tabs>
        <w:ind w:firstLine="567" w:left="0" w:right="0"/>
        <w:jc w:val="both"/>
        <w:rPr/>
      </w:pPr>
      <w:r>
        <w:rPr/>
        <w:t>Каждая из Сторон по настоящему Контракту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p>
    <w:p>
      <w:pPr>
        <w:pStyle w:val="Normal"/>
        <w:widowControl w:val="false"/>
        <w:numPr>
          <w:ilvl w:val="1"/>
          <w:numId w:val="6"/>
        </w:numPr>
        <w:tabs>
          <w:tab w:val="clear" w:pos="708"/>
          <w:tab w:val="left" w:pos="993" w:leader="none"/>
          <w:tab w:val="left" w:pos="1276" w:leader="none"/>
        </w:tabs>
        <w:ind w:firstLine="567" w:left="0" w:right="0"/>
        <w:jc w:val="both"/>
        <w:rPr/>
      </w:pPr>
      <w:r>
        <w:rPr/>
        <w:t xml:space="preserve">Стороны обязуются, начиная с момента подписания настоящего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РФ. </w:t>
      </w:r>
    </w:p>
    <w:p>
      <w:pPr>
        <w:pStyle w:val="Normal"/>
        <w:widowControl w:val="false"/>
        <w:numPr>
          <w:ilvl w:val="1"/>
          <w:numId w:val="6"/>
        </w:numPr>
        <w:tabs>
          <w:tab w:val="clear" w:pos="708"/>
          <w:tab w:val="left" w:pos="993" w:leader="none"/>
          <w:tab w:val="left" w:pos="1276" w:leader="none"/>
        </w:tabs>
        <w:ind w:firstLine="567" w:left="0" w:right="0"/>
        <w:jc w:val="both"/>
        <w:rPr/>
      </w:pPr>
      <w:r>
        <w:rPr/>
        <w:t>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pPr>
        <w:pStyle w:val="Normal"/>
        <w:widowControl w:val="false"/>
        <w:numPr>
          <w:ilvl w:val="1"/>
          <w:numId w:val="6"/>
        </w:numPr>
        <w:tabs>
          <w:tab w:val="clear" w:pos="708"/>
          <w:tab w:val="left" w:pos="993" w:leader="none"/>
          <w:tab w:val="left" w:pos="1276" w:leader="none"/>
        </w:tabs>
        <w:ind w:firstLine="567" w:left="0" w:right="0"/>
        <w:jc w:val="both"/>
        <w:rPr>
          <w:b/>
          <w:bCs/>
          <w:sz w:val="22"/>
          <w:szCs w:val="22"/>
        </w:rPr>
      </w:pPr>
      <w:r>
        <w:rPr/>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p>
    <w:p>
      <w:pPr>
        <w:pStyle w:val="Normal"/>
        <w:ind w:firstLine="142" w:right="0"/>
        <w:jc w:val="both"/>
        <w:rPr>
          <w:b/>
          <w:bCs/>
          <w:sz w:val="22"/>
          <w:szCs w:val="22"/>
        </w:rPr>
      </w:pPr>
      <w:r>
        <w:rPr>
          <w:b/>
          <w:bCs/>
          <w:sz w:val="22"/>
          <w:szCs w:val="22"/>
        </w:rPr>
      </w:r>
    </w:p>
    <w:p>
      <w:pPr>
        <w:pStyle w:val="Normal"/>
        <w:numPr>
          <w:ilvl w:val="0"/>
          <w:numId w:val="6"/>
        </w:numPr>
        <w:jc w:val="center"/>
        <w:rPr>
          <w:b/>
          <w:bCs/>
          <w:sz w:val="22"/>
          <w:szCs w:val="22"/>
        </w:rPr>
      </w:pPr>
      <w:r>
        <w:rPr>
          <w:b/>
          <w:bCs/>
          <w:sz w:val="22"/>
          <w:szCs w:val="22"/>
        </w:rPr>
        <w:t>ОТВЕТСТВЕННОСТЬ СТОРОН</w:t>
      </w:r>
    </w:p>
    <w:p>
      <w:pPr>
        <w:pStyle w:val="Normal"/>
        <w:ind w:left="360" w:right="0"/>
        <w:rPr>
          <w:b/>
          <w:bCs/>
          <w:sz w:val="22"/>
          <w:szCs w:val="22"/>
        </w:rPr>
      </w:pPr>
      <w:r>
        <w:rPr>
          <w:b/>
          <w:bCs/>
          <w:sz w:val="22"/>
          <w:szCs w:val="22"/>
        </w:rPr>
      </w:r>
    </w:p>
    <w:p>
      <w:pPr>
        <w:pStyle w:val="Style32"/>
        <w:widowControl w:val="false"/>
        <w:spacing w:lineRule="auto" w:line="240" w:before="0" w:after="0"/>
        <w:ind w:firstLine="567" w:left="0" w:right="0"/>
        <w:contextualSpacing/>
        <w:jc w:val="both"/>
        <w:rPr>
          <w:rFonts w:ascii="Times New Roman" w:hAnsi="Times New Roman" w:cs="Times New Roman"/>
          <w:b/>
          <w:sz w:val="24"/>
          <w:szCs w:val="24"/>
        </w:rPr>
      </w:pPr>
      <w:r>
        <w:rPr>
          <w:rFonts w:cs="Times New Roman" w:ascii="Times New Roman" w:hAnsi="Times New Roman"/>
          <w:sz w:val="24"/>
          <w:szCs w:val="24"/>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Style32"/>
        <w:widowControl w:val="false"/>
        <w:spacing w:lineRule="auto" w:line="240" w:before="0" w:after="0"/>
        <w:ind w:firstLine="567" w:left="0" w:right="0"/>
        <w:contextualSpacing/>
        <w:jc w:val="both"/>
        <w:rPr>
          <w:rFonts w:ascii="Times New Roman" w:hAnsi="Times New Roman" w:cs="Times New Roman"/>
          <w:sz w:val="24"/>
          <w:szCs w:val="24"/>
          <w:shd w:fill="FFFFFF" w:val="clear"/>
        </w:rPr>
      </w:pPr>
      <w:r>
        <w:rPr>
          <w:rFonts w:cs="Times New Roman" w:ascii="Times New Roman" w:hAnsi="Times New Roman"/>
          <w:b/>
          <w:sz w:val="24"/>
          <w:szCs w:val="24"/>
        </w:rPr>
        <w:t>7.2. Ответственность Государственного заказчика:</w:t>
      </w:r>
    </w:p>
    <w:p>
      <w:pPr>
        <w:pStyle w:val="Style32"/>
        <w:widowControl w:val="false"/>
        <w:numPr>
          <w:ilvl w:val="2"/>
          <w:numId w:val="7"/>
        </w:numPr>
        <w:spacing w:lineRule="auto" w:line="240" w:before="0" w:after="0"/>
        <w:ind w:firstLine="567" w:left="0" w:right="0"/>
        <w:contextualSpacing/>
        <w:jc w:val="both"/>
        <w:rPr>
          <w:rFonts w:ascii="Times New Roman" w:hAnsi="Times New Roman" w:cs="Times New Roman"/>
          <w:sz w:val="24"/>
          <w:szCs w:val="24"/>
          <w:shd w:fill="FFFFFF" w:val="clear"/>
          <w:lang w:val="ru-RU"/>
        </w:rPr>
      </w:pPr>
      <w:r>
        <w:rPr>
          <w:rFonts w:cs="Times New Roman" w:ascii="Times New Roman" w:hAnsi="Times New Roman"/>
          <w:sz w:val="24"/>
          <w:szCs w:val="24"/>
          <w:shd w:fill="FFFFFF" w:val="clear"/>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pPr>
        <w:pStyle w:val="Style32"/>
        <w:widowControl w:val="false"/>
        <w:spacing w:lineRule="auto" w:line="240" w:before="0" w:after="0"/>
        <w:ind w:firstLine="142" w:left="0" w:right="0"/>
        <w:contextualSpacing/>
        <w:jc w:val="both"/>
        <w:rPr>
          <w:rFonts w:ascii="Times New Roman" w:hAnsi="Times New Roman" w:cs="Times New Roman"/>
          <w:sz w:val="24"/>
          <w:szCs w:val="24"/>
          <w:shd w:fill="FFFFFF" w:val="clear"/>
          <w:lang w:val="ru-RU"/>
        </w:rPr>
      </w:pPr>
      <w:r>
        <w:rPr>
          <w:rFonts w:cs="Times New Roman" w:ascii="Times New Roman" w:hAnsi="Times New Roman"/>
          <w:sz w:val="24"/>
          <w:szCs w:val="24"/>
          <w:shd w:fill="FFFFFF" w:val="clear"/>
          <w:lang w:val="ru-RU"/>
        </w:rPr>
        <w:tab/>
      </w:r>
      <w:r>
        <w:rPr>
          <w:rFonts w:cs="Times New Roman" w:ascii="Times New Roman" w:hAnsi="Times New Roman"/>
          <w:sz w:val="24"/>
          <w:szCs w:val="24"/>
          <w:shd w:fill="FFFFFF" w:val="clear"/>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w:t>
      </w:r>
      <w:r>
        <w:fldChar w:fldCharType="begin"/>
      </w:r>
      <w:r>
        <w:rPr>
          <w:rStyle w:val="Hyperlink"/>
          <w:sz w:val="24"/>
          <w:u w:val="none"/>
          <w:shd w:fill="FFFFFF" w:val="clear"/>
          <w:szCs w:val="24"/>
          <w:rFonts w:cs="Times New Roman" w:ascii="Times New Roman" w:hAnsi="Times New Roman"/>
          <w:color w:val="000000"/>
        </w:rPr>
        <w:instrText xml:space="preserve"> HYPERLINK "http://www.consultant.ru/document/cons_doc_LAW_12453/886577905315979b26c9032d79cb911cc8fa7e69/" \l "dst100163"</w:instrText>
      </w:r>
      <w:r>
        <w:rPr>
          <w:rStyle w:val="Hyperlink"/>
          <w:sz w:val="24"/>
          <w:u w:val="none"/>
          <w:shd w:fill="FFFFFF" w:val="clear"/>
          <w:szCs w:val="24"/>
          <w:rFonts w:cs="Times New Roman" w:ascii="Times New Roman" w:hAnsi="Times New Roman"/>
          <w:color w:val="000000"/>
        </w:rPr>
        <w:fldChar w:fldCharType="separate"/>
      </w:r>
      <w:r>
        <w:rPr>
          <w:rStyle w:val="Hyperlink"/>
          <w:rFonts w:cs="Times New Roman" w:ascii="Times New Roman" w:hAnsi="Times New Roman"/>
          <w:color w:val="000000"/>
          <w:sz w:val="24"/>
          <w:szCs w:val="24"/>
          <w:u w:val="none"/>
          <w:shd w:fill="FFFFFF" w:val="clear"/>
        </w:rPr>
        <w:t>ключевой ставки</w:t>
      </w:r>
      <w:r>
        <w:rPr>
          <w:rStyle w:val="Hyperlink"/>
          <w:sz w:val="24"/>
          <w:u w:val="none"/>
          <w:shd w:fill="FFFFFF" w:val="clear"/>
          <w:szCs w:val="24"/>
          <w:rFonts w:cs="Times New Roman" w:ascii="Times New Roman" w:hAnsi="Times New Roman"/>
          <w:color w:val="000000"/>
        </w:rPr>
        <w:fldChar w:fldCharType="end"/>
      </w:r>
      <w:r>
        <w:rPr>
          <w:rFonts w:cs="Times New Roman" w:ascii="Times New Roman" w:hAnsi="Times New Roman"/>
          <w:sz w:val="24"/>
          <w:szCs w:val="24"/>
          <w:shd w:fill="FFFFFF" w:val="clear"/>
        </w:rPr>
        <w:t> Центрального банка Российской Федерации от не уплаченной в срок суммы.</w:t>
      </w:r>
    </w:p>
    <w:p>
      <w:pPr>
        <w:pStyle w:val="Style32"/>
        <w:tabs>
          <w:tab w:val="clear" w:pos="708"/>
          <w:tab w:val="left" w:pos="851" w:leader="none"/>
        </w:tabs>
        <w:autoSpaceDE w:val="false"/>
        <w:spacing w:lineRule="auto" w:line="240" w:before="0" w:after="0"/>
        <w:ind w:firstLine="142" w:left="0" w:right="-1"/>
        <w:contextualSpacing/>
        <w:jc w:val="both"/>
        <w:rPr>
          <w:rFonts w:ascii="Times New Roman" w:hAnsi="Times New Roman" w:cs="Times New Roman"/>
          <w:sz w:val="24"/>
          <w:szCs w:val="24"/>
        </w:rPr>
      </w:pPr>
      <w:r>
        <w:rPr>
          <w:rFonts w:cs="Times New Roman" w:ascii="Times New Roman" w:hAnsi="Times New Roman"/>
          <w:sz w:val="24"/>
          <w:szCs w:val="24"/>
          <w:shd w:fill="FFFFFF" w:val="clear"/>
          <w:lang w:val="ru-RU"/>
        </w:rPr>
        <w:tab/>
      </w:r>
      <w:r>
        <w:rPr>
          <w:rFonts w:cs="Times New Roman" w:ascii="Times New Roman" w:hAnsi="Times New Roman"/>
          <w:sz w:val="24"/>
          <w:szCs w:val="24"/>
          <w:shd w:fill="FFFFFF" w:val="clear"/>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Hyperlink"/>
          <w:sz w:val="24"/>
          <w:u w:val="none"/>
          <w:shd w:fill="FFFFFF" w:val="clear"/>
          <w:szCs w:val="24"/>
          <w:rFonts w:cs="Times New Roman" w:ascii="Times New Roman" w:hAnsi="Times New Roman"/>
          <w:color w:val="000000"/>
        </w:rPr>
        <w:instrText xml:space="preserve"> HYPERLINK "http://www.consultant.ru/document/cons_doc_LAW_331074/" \l "dst100012"</w:instrText>
      </w:r>
      <w:r>
        <w:rPr>
          <w:rStyle w:val="Hyperlink"/>
          <w:sz w:val="24"/>
          <w:u w:val="none"/>
          <w:shd w:fill="FFFFFF" w:val="clear"/>
          <w:szCs w:val="24"/>
          <w:rFonts w:cs="Times New Roman" w:ascii="Times New Roman" w:hAnsi="Times New Roman"/>
          <w:color w:val="000000"/>
        </w:rPr>
        <w:fldChar w:fldCharType="separate"/>
      </w:r>
      <w:r>
        <w:rPr>
          <w:rStyle w:val="Hyperlink"/>
          <w:rFonts w:cs="Times New Roman" w:ascii="Times New Roman" w:hAnsi="Times New Roman"/>
          <w:color w:val="000000"/>
          <w:sz w:val="24"/>
          <w:szCs w:val="24"/>
          <w:u w:val="none"/>
          <w:shd w:fill="FFFFFF" w:val="clear"/>
        </w:rPr>
        <w:t>порядке</w:t>
      </w:r>
      <w:r>
        <w:rPr>
          <w:rStyle w:val="Hyperlink"/>
          <w:sz w:val="24"/>
          <w:u w:val="none"/>
          <w:shd w:fill="FFFFFF" w:val="clear"/>
          <w:szCs w:val="24"/>
          <w:rFonts w:cs="Times New Roman" w:ascii="Times New Roman" w:hAnsi="Times New Roman"/>
          <w:color w:val="000000"/>
        </w:rPr>
        <w:fldChar w:fldCharType="end"/>
      </w:r>
      <w:r>
        <w:rPr>
          <w:rFonts w:cs="Times New Roman" w:ascii="Times New Roman" w:hAnsi="Times New Roman"/>
          <w:sz w:val="24"/>
          <w:szCs w:val="24"/>
          <w:shd w:fill="FFFFFF" w:val="clear"/>
        </w:rPr>
        <w:t>, установленн</w:t>
      </w:r>
      <w:r>
        <w:rPr>
          <w:rFonts w:cs="Times New Roman" w:ascii="Times New Roman" w:hAnsi="Times New Roman"/>
          <w:i w:val="false"/>
          <w:iCs w:val="false"/>
          <w:sz w:val="24"/>
          <w:szCs w:val="24"/>
          <w:shd w:fill="FFFFFF" w:val="clear"/>
        </w:rPr>
        <w:t xml:space="preserve">ом </w:t>
      </w:r>
      <w:r>
        <w:rPr>
          <w:rFonts w:cs="Times New Roman" w:ascii="Times New Roman" w:hAnsi="Times New Roman"/>
          <w:bCs/>
          <w:i w:val="false"/>
          <w:iCs w:val="false"/>
          <w:sz w:val="24"/>
          <w:szCs w:val="24"/>
        </w:rPr>
        <w:t>Постановлением Правительства РФ от 30.08.2017 N 1042</w:t>
      </w:r>
      <w:r>
        <w:rPr>
          <w:rFonts w:cs="Times New Roman" w:ascii="Times New Roman" w:hAnsi="Times New Roman"/>
          <w:bCs/>
          <w:i w:val="false"/>
          <w:iCs w:val="false"/>
          <w:sz w:val="24"/>
          <w:szCs w:val="24"/>
          <w:shd w:fill="EFEFF7" w:val="clear"/>
        </w:rPr>
        <w:t>.</w:t>
      </w:r>
    </w:p>
    <w:p>
      <w:pPr>
        <w:pStyle w:val="Style32"/>
        <w:widowControl w:val="false"/>
        <w:numPr>
          <w:ilvl w:val="2"/>
          <w:numId w:val="7"/>
        </w:numPr>
        <w:spacing w:lineRule="auto" w:line="240" w:before="0" w:after="0"/>
        <w:ind w:firstLine="567" w:left="0" w:right="0"/>
        <w:contextualSpacing/>
        <w:jc w:val="both"/>
        <w:rPr>
          <w:i w:val="false"/>
          <w:i w:val="false"/>
          <w:iCs w:val="false"/>
        </w:rPr>
      </w:pPr>
      <w:r>
        <w:rPr>
          <w:rFonts w:cs="Times New Roman" w:ascii="Times New Roman" w:hAnsi="Times New Roman"/>
          <w:sz w:val="24"/>
          <w:szCs w:val="24"/>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ConsPlusNormal"/>
        <w:ind w:firstLine="142" w:right="-284"/>
        <w:jc w:val="both"/>
        <w:rPr>
          <w:i w:val="false"/>
          <w:i w:val="false"/>
          <w:iCs w:val="false"/>
        </w:rPr>
      </w:pPr>
      <w:r>
        <w:rPr>
          <w:i w:val="false"/>
          <w:iCs w:val="false"/>
        </w:rPr>
        <w:t>а) 1000 рублей, если цена контракта не превышает 3 млн. рублей (включительно);</w:t>
      </w:r>
    </w:p>
    <w:p>
      <w:pPr>
        <w:pStyle w:val="ConsPlusNormal"/>
        <w:ind w:firstLine="142" w:right="-284"/>
        <w:jc w:val="both"/>
        <w:rPr>
          <w:i w:val="false"/>
          <w:i w:val="false"/>
          <w:iCs w:val="false"/>
        </w:rPr>
      </w:pPr>
      <w:r>
        <w:rPr>
          <w:i w:val="false"/>
          <w:iCs w:val="false"/>
        </w:rPr>
        <w:t>б) 5000 рублей, если цена контракта составляет от 3 млн. рублей до 50 млн. рублей (включительно);</w:t>
      </w:r>
    </w:p>
    <w:p>
      <w:pPr>
        <w:pStyle w:val="ConsPlusNormal"/>
        <w:ind w:firstLine="142" w:right="-284"/>
        <w:jc w:val="both"/>
        <w:rPr>
          <w:i w:val="false"/>
          <w:i w:val="false"/>
          <w:iCs w:val="false"/>
        </w:rPr>
      </w:pPr>
      <w:r>
        <w:rPr>
          <w:i w:val="false"/>
          <w:iCs w:val="false"/>
        </w:rPr>
        <w:t>в) 10000 рублей, если цена контракта составляет от 50 млн. рублей до 100 млн. рублей (включительно);</w:t>
      </w:r>
    </w:p>
    <w:p>
      <w:pPr>
        <w:pStyle w:val="ConsPlusNormal"/>
        <w:ind w:firstLine="142" w:right="-284"/>
        <w:jc w:val="both"/>
        <w:rPr>
          <w:rFonts w:ascii="Times New Roman" w:hAnsi="Times New Roman" w:cs="Times New Roman"/>
          <w:sz w:val="24"/>
          <w:szCs w:val="24"/>
        </w:rPr>
      </w:pPr>
      <w:r>
        <w:rPr>
          <w:i w:val="false"/>
          <w:iCs w:val="false"/>
        </w:rPr>
        <w:t>г) 100000 рублей, если цена контракта превышает 100 млн. рубле</w:t>
      </w:r>
      <w:r>
        <w:rPr>
          <w:i/>
        </w:rPr>
        <w:t>й.</w:t>
      </w:r>
    </w:p>
    <w:p>
      <w:pPr>
        <w:pStyle w:val="Style32"/>
        <w:widowControl w:val="false"/>
        <w:numPr>
          <w:ilvl w:val="2"/>
          <w:numId w:val="7"/>
        </w:numPr>
        <w:spacing w:lineRule="auto" w:line="240" w:before="0" w:after="0"/>
        <w:ind w:firstLine="567" w:left="0" w:right="0"/>
        <w:contextualSpacing/>
        <w:jc w:val="both"/>
        <w:rPr>
          <w:rFonts w:ascii="Times New Roman" w:hAnsi="Times New Roman" w:cs="Times New Roman"/>
          <w:b/>
          <w:sz w:val="24"/>
          <w:szCs w:val="24"/>
        </w:rPr>
      </w:pPr>
      <w:r>
        <w:rPr>
          <w:rFonts w:cs="Times New Roman" w:ascii="Times New Roman" w:hAnsi="Times New Roman"/>
          <w:sz w:val="24"/>
          <w:szCs w:val="2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Style32"/>
        <w:widowControl w:val="false"/>
        <w:numPr>
          <w:ilvl w:val="1"/>
          <w:numId w:val="7"/>
        </w:numPr>
        <w:spacing w:lineRule="auto" w:line="240" w:before="0" w:after="0"/>
        <w:ind w:firstLine="567" w:left="0" w:right="0"/>
        <w:contextualSpacing/>
        <w:jc w:val="both"/>
        <w:rPr>
          <w:rFonts w:ascii="Times New Roman" w:hAnsi="Times New Roman" w:cs="Times New Roman"/>
          <w:sz w:val="24"/>
          <w:szCs w:val="24"/>
          <w:shd w:fill="FFFFFF" w:val="clear"/>
        </w:rPr>
      </w:pPr>
      <w:r>
        <w:rPr>
          <w:rFonts w:cs="Times New Roman" w:ascii="Times New Roman" w:hAnsi="Times New Roman"/>
          <w:b/>
          <w:sz w:val="24"/>
          <w:szCs w:val="24"/>
        </w:rPr>
        <w:t>Ответственность Поставщика:</w:t>
      </w:r>
    </w:p>
    <w:p>
      <w:pPr>
        <w:pStyle w:val="Style32"/>
        <w:widowControl w:val="false"/>
        <w:numPr>
          <w:ilvl w:val="2"/>
          <w:numId w:val="7"/>
        </w:numPr>
        <w:spacing w:lineRule="auto" w:line="240" w:before="0" w:after="0"/>
        <w:ind w:firstLine="567" w:left="0" w:right="0"/>
        <w:contextualSpacing/>
        <w:jc w:val="both"/>
        <w:rPr>
          <w:rFonts w:ascii="Times New Roman" w:hAnsi="Times New Roman" w:cs="Times New Roman"/>
          <w:sz w:val="24"/>
          <w:szCs w:val="24"/>
          <w:shd w:fill="FFFFFF" w:val="clear"/>
          <w:lang w:val="ru-RU"/>
        </w:rPr>
      </w:pPr>
      <w:r>
        <w:rPr>
          <w:rFonts w:cs="Times New Roman" w:ascii="Times New Roman" w:hAnsi="Times New Roman"/>
          <w:sz w:val="24"/>
          <w:szCs w:val="24"/>
          <w:shd w:fill="FFFFFF" w:val="clear"/>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r>
        <w:rPr>
          <w:rFonts w:cs="Times New Roman" w:ascii="Times New Roman" w:hAnsi="Times New Roman"/>
          <w:sz w:val="24"/>
          <w:szCs w:val="24"/>
        </w:rPr>
        <w:t>.</w:t>
      </w:r>
    </w:p>
    <w:p>
      <w:pPr>
        <w:pStyle w:val="Style32"/>
        <w:widowControl w:val="false"/>
        <w:spacing w:lineRule="auto" w:line="240" w:before="0" w:after="0"/>
        <w:ind w:firstLine="142" w:left="0" w:right="0"/>
        <w:contextualSpacing/>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lang w:val="ru-RU"/>
        </w:rPr>
        <w:tab/>
      </w:r>
      <w:r>
        <w:rPr>
          <w:rFonts w:cs="Times New Roman" w:ascii="Times New Roman" w:hAnsi="Times New Roman"/>
          <w:sz w:val="24"/>
          <w:szCs w:val="24"/>
          <w:shd w:fill="FFFFFF" w:val="clear"/>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Style32"/>
        <w:widowControl w:val="false"/>
        <w:spacing w:lineRule="auto" w:line="240" w:before="0" w:after="0"/>
        <w:ind w:firstLine="567" w:left="0" w:right="0"/>
        <w:contextualSpacing/>
        <w:jc w:val="both"/>
        <w:rPr>
          <w:rFonts w:ascii="Times New Roman" w:hAnsi="Times New Roman" w:cs="Times New Roman"/>
          <w:sz w:val="24"/>
          <w:szCs w:val="24"/>
          <w:shd w:fill="FFFFFF" w:val="clear"/>
          <w:lang w:val="ru-RU"/>
        </w:rPr>
      </w:pPr>
      <w:r>
        <w:rPr>
          <w:rFonts w:cs="Times New Roman" w:ascii="Times New Roman" w:hAnsi="Times New Roman"/>
          <w:sz w:val="24"/>
          <w:szCs w:val="24"/>
          <w:shd w:fill="FFFFFF" w:val="clear"/>
        </w:rPr>
        <w:t>7.3.2.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pPr>
        <w:pStyle w:val="Style32"/>
        <w:widowControl w:val="false"/>
        <w:spacing w:lineRule="auto" w:line="240" w:before="0" w:after="0"/>
        <w:ind w:firstLine="142" w:left="0" w:right="0"/>
        <w:contextualSpacing/>
        <w:jc w:val="both"/>
        <w:rPr>
          <w:rFonts w:ascii="Times New Roman" w:hAnsi="Times New Roman" w:cs="Times New Roman"/>
          <w:sz w:val="24"/>
          <w:szCs w:val="24"/>
        </w:rPr>
      </w:pPr>
      <w:r>
        <w:rPr>
          <w:rFonts w:cs="Times New Roman" w:ascii="Times New Roman" w:hAnsi="Times New Roman"/>
          <w:sz w:val="24"/>
          <w:szCs w:val="24"/>
          <w:shd w:fill="FFFFFF" w:val="clear"/>
          <w:lang w:val="ru-RU"/>
        </w:rPr>
        <w:tab/>
      </w:r>
      <w:r>
        <w:rPr>
          <w:rFonts w:cs="Times New Roman" w:ascii="Times New Roman" w:hAnsi="Times New Roman"/>
          <w:sz w:val="24"/>
          <w:szCs w:val="24"/>
          <w:shd w:fill="FFFFFF" w:val="clear"/>
        </w:rPr>
        <w:t>Размер штрафа устанавливается Контрактом в </w:t>
      </w:r>
      <w:r>
        <w:fldChar w:fldCharType="begin"/>
      </w:r>
      <w:r>
        <w:rPr>
          <w:rStyle w:val="Hyperlink"/>
          <w:sz w:val="24"/>
          <w:u w:val="none"/>
          <w:shd w:fill="FFFFFF" w:val="clear"/>
          <w:szCs w:val="24"/>
          <w:rFonts w:cs="Times New Roman" w:ascii="Times New Roman" w:hAnsi="Times New Roman"/>
          <w:color w:val="000000"/>
        </w:rPr>
        <w:instrText xml:space="preserve"> HYPERLINK "http://www.consultant.ru/document/cons_doc_LAW_331074/" \l "dst100012"</w:instrText>
      </w:r>
      <w:r>
        <w:rPr>
          <w:rStyle w:val="Hyperlink"/>
          <w:sz w:val="24"/>
          <w:u w:val="none"/>
          <w:shd w:fill="FFFFFF" w:val="clear"/>
          <w:szCs w:val="24"/>
          <w:rFonts w:cs="Times New Roman" w:ascii="Times New Roman" w:hAnsi="Times New Roman"/>
          <w:color w:val="000000"/>
        </w:rPr>
        <w:fldChar w:fldCharType="separate"/>
      </w:r>
      <w:r>
        <w:rPr>
          <w:rStyle w:val="Hyperlink"/>
          <w:rFonts w:cs="Times New Roman" w:ascii="Times New Roman" w:hAnsi="Times New Roman"/>
          <w:color w:val="000000"/>
          <w:sz w:val="24"/>
          <w:szCs w:val="24"/>
          <w:u w:val="none"/>
          <w:shd w:fill="FFFFFF" w:val="clear"/>
        </w:rPr>
        <w:t>порядке</w:t>
      </w:r>
      <w:r>
        <w:rPr>
          <w:rStyle w:val="Hyperlink"/>
          <w:sz w:val="24"/>
          <w:u w:val="none"/>
          <w:shd w:fill="FFFFFF" w:val="clear"/>
          <w:szCs w:val="24"/>
          <w:rFonts w:cs="Times New Roman" w:ascii="Times New Roman" w:hAnsi="Times New Roman"/>
          <w:color w:val="000000"/>
        </w:rPr>
        <w:fldChar w:fldCharType="end"/>
      </w:r>
      <w:r>
        <w:rPr>
          <w:rFonts w:cs="Times New Roman" w:ascii="Times New Roman" w:hAnsi="Times New Roman"/>
          <w:sz w:val="24"/>
          <w:szCs w:val="24"/>
          <w:shd w:fill="FFFFFF" w:val="clear"/>
        </w:rPr>
        <w:t xml:space="preserve">, установленном </w:t>
      </w:r>
      <w:r>
        <w:rPr>
          <w:rFonts w:cs="Times New Roman" w:ascii="Times New Roman" w:hAnsi="Times New Roman"/>
          <w:bCs/>
          <w:sz w:val="24"/>
          <w:szCs w:val="24"/>
        </w:rPr>
        <w:t>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pPr>
        <w:pStyle w:val="Style32"/>
        <w:widowControl w:val="false"/>
        <w:numPr>
          <w:ilvl w:val="2"/>
          <w:numId w:val="9"/>
        </w:numPr>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 xml:space="preserve">За каждый факт неисполнения или ненадлежащего исполнения Поставщиком обязательств, предусмотренных Контрактом, </w:t>
      </w:r>
      <w:r>
        <w:rPr>
          <w:rFonts w:cs="Times New Roman" w:ascii="Times New Roman" w:hAnsi="Times New Roman"/>
          <w:sz w:val="24"/>
          <w:szCs w:val="24"/>
          <w:lang w:eastAsia="en-US"/>
        </w:rPr>
        <w:t>за исключением просрочки исполнения обязательств (в том числе гарантийного обязательства), предусмотренного Контрактом, Поставщик</w:t>
      </w:r>
      <w:r>
        <w:rPr>
          <w:rFonts w:cs="Times New Roman" w:ascii="Times New Roman" w:hAnsi="Times New Roman"/>
          <w:sz w:val="24"/>
          <w:szCs w:val="24"/>
        </w:rPr>
        <w:t xml:space="preserve"> выплачивает Государственному заказчику штраф в виде суммы, определяемой в соответствии с постановлением Правительства Российской Федерации от 30.08.2017 №1042 в размере 10 процентов цены Контракта. </w:t>
      </w:r>
    </w:p>
    <w:p>
      <w:pPr>
        <w:pStyle w:val="Style32"/>
        <w:widowControl w:val="false"/>
        <w:numPr>
          <w:ilvl w:val="2"/>
          <w:numId w:val="9"/>
        </w:numPr>
        <w:spacing w:lineRule="auto" w:line="240" w:before="0" w:after="0"/>
        <w:ind w:firstLine="567" w:left="0" w:right="0"/>
        <w:contextualSpacing/>
        <w:jc w:val="both"/>
        <w:rPr>
          <w:i w:val="false"/>
          <w:i w:val="false"/>
          <w:iCs w:val="false"/>
        </w:rPr>
      </w:pPr>
      <w:r>
        <w:rPr>
          <w:rFonts w:cs="Times New Roman" w:ascii="Times New Roman" w:hAnsi="Times New Roman"/>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w:t>
      </w:r>
      <w:r>
        <w:rPr>
          <w:rFonts w:cs="Times New Roman" w:ascii="Times New Roman" w:hAnsi="Times New Roman"/>
          <w:i w:val="false"/>
          <w:iCs w:val="false"/>
          <w:sz w:val="24"/>
          <w:szCs w:val="24"/>
        </w:rPr>
        <w:t>ри наличии в контракте таких обязательств) в следующем порядке:</w:t>
      </w:r>
    </w:p>
    <w:p>
      <w:pPr>
        <w:pStyle w:val="ConsPlusNormal"/>
        <w:ind w:firstLine="142" w:right="-284"/>
        <w:jc w:val="both"/>
        <w:rPr>
          <w:i w:val="false"/>
          <w:i w:val="false"/>
          <w:iCs w:val="false"/>
        </w:rPr>
      </w:pPr>
      <w:r>
        <w:rPr>
          <w:i w:val="false"/>
          <w:iCs w:val="false"/>
        </w:rPr>
        <w:t>а) 1000 рублей, если цена контракта не превышает 3 млн. рублей;</w:t>
      </w:r>
    </w:p>
    <w:p>
      <w:pPr>
        <w:pStyle w:val="ConsPlusNormal"/>
        <w:ind w:firstLine="142" w:right="-284"/>
        <w:jc w:val="both"/>
        <w:rPr>
          <w:i w:val="false"/>
          <w:i w:val="false"/>
          <w:iCs w:val="false"/>
        </w:rPr>
      </w:pPr>
      <w:r>
        <w:rPr>
          <w:i w:val="false"/>
          <w:iCs w:val="false"/>
        </w:rPr>
        <w:t>б) 5000 рублей, если цена контракта составляет от 3 млн. рублей до 50 млн. рублей (включительно);</w:t>
      </w:r>
    </w:p>
    <w:p>
      <w:pPr>
        <w:pStyle w:val="ConsPlusNormal"/>
        <w:ind w:firstLine="142" w:right="-284"/>
        <w:jc w:val="both"/>
        <w:rPr>
          <w:i w:val="false"/>
          <w:i w:val="false"/>
          <w:iCs w:val="false"/>
        </w:rPr>
      </w:pPr>
      <w:r>
        <w:rPr>
          <w:i w:val="false"/>
          <w:iCs w:val="false"/>
        </w:rPr>
        <w:t>в) 10000 рублей, если цена контракта составляет от 50 млн. рублей до 100 млн. рублей (включительно);</w:t>
      </w:r>
    </w:p>
    <w:p>
      <w:pPr>
        <w:pStyle w:val="ConsPlusNormal"/>
        <w:ind w:firstLine="142" w:right="-284"/>
        <w:jc w:val="both"/>
        <w:rPr>
          <w:rFonts w:ascii="Times New Roman" w:hAnsi="Times New Roman" w:cs="Times New Roman"/>
          <w:sz w:val="24"/>
          <w:szCs w:val="24"/>
        </w:rPr>
      </w:pPr>
      <w:r>
        <w:rPr>
          <w:i w:val="false"/>
          <w:iCs w:val="false"/>
        </w:rPr>
        <w:t>г) 100000 рублей, если цена контракта превышает 100 млн. рублей.</w:t>
      </w:r>
    </w:p>
    <w:p>
      <w:pPr>
        <w:pStyle w:val="Style32"/>
        <w:widowControl w:val="false"/>
        <w:numPr>
          <w:ilvl w:val="2"/>
          <w:numId w:val="9"/>
        </w:numPr>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Style32"/>
        <w:widowControl w:val="false"/>
        <w:numPr>
          <w:ilvl w:val="2"/>
          <w:numId w:val="9"/>
        </w:numPr>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Неустойка (пеня, штраф) уплачиваются Поставщиком в пятидневный срок после получения соответствующего требования от Государственного заказчика.</w:t>
      </w:r>
    </w:p>
    <w:p>
      <w:pPr>
        <w:pStyle w:val="Style32"/>
        <w:widowControl w:val="false"/>
        <w:numPr>
          <w:ilvl w:val="2"/>
          <w:numId w:val="9"/>
        </w:numPr>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 xml:space="preserve">В случае </w:t>
      </w:r>
      <w:r>
        <w:rPr>
          <w:rFonts w:cs="Times New Roman" w:ascii="Times New Roman" w:hAnsi="Times New Roman"/>
          <w:sz w:val="24"/>
          <w:szCs w:val="24"/>
          <w:lang w:val="ru-RU"/>
        </w:rPr>
        <w:t xml:space="preserve">отсутствия </w:t>
      </w:r>
      <w:r>
        <w:rPr>
          <w:rFonts w:cs="Times New Roman" w:ascii="Times New Roman" w:hAnsi="Times New Roman"/>
          <w:sz w:val="24"/>
          <w:szCs w:val="24"/>
        </w:rPr>
        <w:t>оплаты неустойки (пени, штрафов) Поставщиком в пятидневный срок со дня получения требования, Государственный заказчик вправе уменьшить сумму оплаты за работы на сумму неоплаченной по требованию Государственного заказчика неустойки (пени, штрафов).</w:t>
      </w:r>
    </w:p>
    <w:p>
      <w:pPr>
        <w:pStyle w:val="Style32"/>
        <w:widowControl w:val="false"/>
        <w:numPr>
          <w:ilvl w:val="2"/>
          <w:numId w:val="9"/>
        </w:numPr>
        <w:spacing w:lineRule="auto" w:line="240" w:before="0" w:after="0"/>
        <w:ind w:firstLine="567" w:left="0" w:right="0"/>
        <w:contextualSpacing/>
        <w:jc w:val="both"/>
        <w:rPr>
          <w:sz w:val="24"/>
          <w:szCs w:val="24"/>
        </w:rPr>
      </w:pPr>
      <w:r>
        <w:rPr>
          <w:rFonts w:cs="Times New Roman" w:ascii="Times New Roman" w:hAnsi="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numPr>
          <w:ilvl w:val="2"/>
          <w:numId w:val="9"/>
        </w:numPr>
        <w:ind w:firstLine="567" w:left="0" w:right="0"/>
        <w:rPr>
          <w:sz w:val="24"/>
          <w:szCs w:val="24"/>
          <w:u w:val="single"/>
        </w:rPr>
      </w:pPr>
      <w:r>
        <w:rPr>
          <w:sz w:val="24"/>
          <w:szCs w:val="24"/>
        </w:rPr>
        <w:t>В случае начисления Государственным заказчиком Поставщику неустоек (штрафов, пеней) по настоящему Контракту денежные средства перечисляются по следующим реквизитам:</w:t>
      </w:r>
    </w:p>
    <w:p>
      <w:pPr>
        <w:pStyle w:val="Normal"/>
        <w:ind w:firstLine="142" w:right="0"/>
        <w:jc w:val="both"/>
        <w:rPr>
          <w:sz w:val="24"/>
          <w:szCs w:val="24"/>
        </w:rPr>
      </w:pPr>
      <w:r>
        <w:rPr>
          <w:sz w:val="24"/>
          <w:szCs w:val="24"/>
          <w:u w:val="single"/>
        </w:rPr>
        <w:t>Получатель:</w:t>
      </w:r>
      <w:r>
        <w:rPr>
          <w:sz w:val="24"/>
          <w:szCs w:val="24"/>
        </w:rPr>
        <w:t xml:space="preserve"> УФК по Амурской области (Главное управление МЧС России по Амурской области, л/с 04231783430), ОКТМО 10701000, ИНН 2801100184, КПП 280101001, казначейский счет 03100643000000012300, БИК 011012100, единый казначейский счет 40102810245370000015</w:t>
      </w:r>
    </w:p>
    <w:p>
      <w:pPr>
        <w:pStyle w:val="Normal"/>
        <w:widowControl w:val="false"/>
        <w:spacing w:before="0" w:after="0"/>
        <w:contextualSpacing/>
        <w:jc w:val="both"/>
        <w:rPr>
          <w:iCs/>
          <w:sz w:val="24"/>
          <w:szCs w:val="24"/>
        </w:rPr>
      </w:pPr>
      <w:r>
        <w:rPr>
          <w:sz w:val="24"/>
          <w:szCs w:val="24"/>
        </w:rPr>
        <w:t xml:space="preserve">ОТДЕЛЕНИЕ БЛАГОВЕЩЕНСК БАНКА РОССИИ//УФК по Амурской области г. Благовещенск. </w:t>
      </w:r>
    </w:p>
    <w:p>
      <w:pPr>
        <w:pStyle w:val="Normal"/>
        <w:widowControl w:val="false"/>
        <w:spacing w:before="0" w:after="0"/>
        <w:contextualSpacing/>
        <w:jc w:val="both"/>
        <w:rPr>
          <w:rFonts w:ascii="Times New Roman" w:hAnsi="Times New Roman" w:cs="Times New Roman"/>
          <w:b/>
        </w:rPr>
      </w:pPr>
      <w:r>
        <w:rPr>
          <w:iCs/>
          <w:sz w:val="24"/>
          <w:szCs w:val="24"/>
        </w:rPr>
        <w:t>КБК 177 11607010019000140</w:t>
      </w:r>
      <w:r>
        <w:rPr>
          <w:sz w:val="24"/>
          <w:szCs w:val="24"/>
        </w:rPr>
        <w:t>.</w:t>
      </w:r>
    </w:p>
    <w:p>
      <w:pPr>
        <w:pStyle w:val="Style32"/>
        <w:widowControl w:val="false"/>
        <w:numPr>
          <w:ilvl w:val="0"/>
          <w:numId w:val="9"/>
        </w:numPr>
        <w:spacing w:lineRule="auto" w:line="240" w:before="0" w:after="0"/>
        <w:ind w:hanging="284" w:left="851" w:right="0"/>
        <w:contextualSpacing/>
        <w:jc w:val="center"/>
        <w:rPr>
          <w:rFonts w:ascii="Times New Roman" w:hAnsi="Times New Roman" w:cs="Times New Roman"/>
          <w:b w:val="false"/>
          <w:sz w:val="22"/>
          <w:szCs w:val="22"/>
        </w:rPr>
      </w:pPr>
      <w:r>
        <w:rPr>
          <w:rFonts w:cs="Times New Roman" w:ascii="Times New Roman" w:hAnsi="Times New Roman"/>
          <w:b/>
        </w:rPr>
        <w:t>ФОРС-МАЖОР</w:t>
      </w:r>
    </w:p>
    <w:p>
      <w:pPr>
        <w:pStyle w:val="TextBodyIndent"/>
        <w:ind w:left="540" w:right="0"/>
        <w:rPr>
          <w:rFonts w:ascii="Times New Roman" w:hAnsi="Times New Roman" w:cs="Times New Roman"/>
          <w:b w:val="false"/>
          <w:sz w:val="22"/>
          <w:szCs w:val="22"/>
        </w:rPr>
      </w:pPr>
      <w:r>
        <w:rPr>
          <w:rFonts w:cs="Times New Roman" w:ascii="Times New Roman" w:hAnsi="Times New Roman"/>
          <w:b w:val="false"/>
          <w:sz w:val="22"/>
          <w:szCs w:val="22"/>
        </w:rPr>
      </w:r>
    </w:p>
    <w:p>
      <w:pPr>
        <w:pStyle w:val="Normal"/>
        <w:widowControl w:val="false"/>
        <w:tabs>
          <w:tab w:val="clear" w:pos="708"/>
          <w:tab w:val="left" w:pos="709" w:leader="none"/>
        </w:tabs>
        <w:ind w:firstLine="567" w:right="0"/>
        <w:jc w:val="both"/>
        <w:rPr/>
      </w:pPr>
      <w:r>
        <w:rPr>
          <w:bCs/>
        </w:rPr>
        <w:t>8.1.</w:t>
      </w:r>
      <w:r>
        <w:rPr>
          <w:b/>
          <w:bCs/>
        </w:rPr>
        <w:t xml:space="preserve"> </w:t>
      </w:r>
      <w:r>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стихийные бедствия, военные действия, изменение политической ситуации и иные обстоятельства, непосредственно повлиявшие на исполнение настоящего Контракта.</w:t>
      </w:r>
    </w:p>
    <w:p>
      <w:pPr>
        <w:pStyle w:val="Normal"/>
        <w:widowControl w:val="false"/>
        <w:numPr>
          <w:ilvl w:val="1"/>
          <w:numId w:val="8"/>
        </w:numPr>
        <w:tabs>
          <w:tab w:val="clear" w:pos="708"/>
          <w:tab w:val="left" w:pos="709" w:leader="none"/>
        </w:tabs>
        <w:ind w:firstLine="567" w:left="0" w:right="0"/>
        <w:jc w:val="both"/>
        <w:rPr/>
      </w:pPr>
      <w:r>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незамедлительно проведут взаимные консультации для принятия необходимых мер.</w:t>
      </w:r>
    </w:p>
    <w:p>
      <w:pPr>
        <w:pStyle w:val="Normal"/>
        <w:widowControl w:val="false"/>
        <w:numPr>
          <w:ilvl w:val="1"/>
          <w:numId w:val="8"/>
        </w:numPr>
        <w:tabs>
          <w:tab w:val="clear" w:pos="708"/>
          <w:tab w:val="left" w:pos="709" w:leader="none"/>
        </w:tabs>
        <w:ind w:firstLine="567" w:left="0" w:right="0"/>
        <w:jc w:val="both"/>
        <w:rPr/>
      </w:pPr>
      <w:r>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widowControl w:val="false"/>
        <w:numPr>
          <w:ilvl w:val="1"/>
          <w:numId w:val="8"/>
        </w:numPr>
        <w:tabs>
          <w:tab w:val="clear" w:pos="708"/>
          <w:tab w:val="left" w:pos="709" w:leader="none"/>
          <w:tab w:val="left" w:pos="1134" w:leader="none"/>
        </w:tabs>
        <w:ind w:firstLine="567" w:left="0" w:right="0"/>
        <w:jc w:val="both"/>
        <w:rPr>
          <w:b/>
          <w:bCs/>
          <w:sz w:val="22"/>
          <w:szCs w:val="22"/>
        </w:rPr>
      </w:pPr>
      <w:r>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numPr>
          <w:ilvl w:val="0"/>
          <w:numId w:val="8"/>
        </w:numPr>
        <w:ind w:firstLine="142" w:left="360" w:right="0"/>
        <w:jc w:val="center"/>
        <w:rPr>
          <w:b/>
          <w:bCs/>
          <w:sz w:val="22"/>
          <w:szCs w:val="22"/>
        </w:rPr>
      </w:pPr>
      <w:r>
        <w:rPr>
          <w:b/>
          <w:bCs/>
          <w:sz w:val="22"/>
          <w:szCs w:val="22"/>
        </w:rPr>
        <w:t xml:space="preserve"> </w:t>
      </w:r>
      <w:r>
        <w:rPr>
          <w:b/>
          <w:bCs/>
          <w:sz w:val="22"/>
          <w:szCs w:val="22"/>
        </w:rPr>
        <w:t>СРОК ДЕЙСТВИЯ ГОСУДАРСТВЕННОГО КОНТРАКТА</w:t>
      </w:r>
    </w:p>
    <w:p>
      <w:pPr>
        <w:pStyle w:val="Normal"/>
        <w:widowControl w:val="false"/>
        <w:jc w:val="center"/>
        <w:rPr>
          <w:b/>
          <w:bCs/>
          <w:sz w:val="22"/>
          <w:szCs w:val="22"/>
        </w:rPr>
      </w:pPr>
      <w:r>
        <w:rPr>
          <w:b/>
          <w:bCs/>
          <w:sz w:val="22"/>
          <w:szCs w:val="22"/>
        </w:rPr>
      </w:r>
    </w:p>
    <w:p>
      <w:pPr>
        <w:pStyle w:val="Normal"/>
        <w:widowControl w:val="false"/>
        <w:tabs>
          <w:tab w:val="clear" w:pos="708"/>
          <w:tab w:val="left" w:pos="1134" w:leader="none"/>
          <w:tab w:val="left" w:pos="126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autoSpaceDE w:val="false"/>
        <w:ind w:firstLine="567" w:right="0"/>
        <w:jc w:val="both"/>
        <w:rPr>
          <w:b/>
          <w:bCs/>
          <w:sz w:val="22"/>
          <w:szCs w:val="22"/>
        </w:rPr>
      </w:pPr>
      <w:r>
        <w:rPr/>
        <w:t>9.</w:t>
      </w:r>
      <w:r>
        <w:rPr>
          <w:color w:val="000000"/>
        </w:rPr>
        <w:t>1. Настоящий Контракт вступает в силу с момента его подписания и действует до 30 августа 2026. Срок начала исполнения Контракта – со  дня заключения Контракта. Срок окончания исполнения Контракта – 30 августа 2026 года.</w:t>
      </w:r>
    </w:p>
    <w:p>
      <w:pPr>
        <w:pStyle w:val="15"/>
        <w:ind w:firstLine="142" w:right="0"/>
        <w:jc w:val="center"/>
        <w:rPr>
          <w:b/>
          <w:bCs/>
          <w:sz w:val="22"/>
          <w:szCs w:val="22"/>
        </w:rPr>
      </w:pPr>
      <w:r>
        <w:rPr>
          <w:b/>
          <w:bCs/>
          <w:sz w:val="22"/>
          <w:szCs w:val="22"/>
        </w:rPr>
      </w:r>
    </w:p>
    <w:p>
      <w:pPr>
        <w:pStyle w:val="15"/>
        <w:numPr>
          <w:ilvl w:val="0"/>
          <w:numId w:val="8"/>
        </w:numPr>
        <w:jc w:val="center"/>
        <w:rPr>
          <w:b/>
          <w:bCs/>
          <w:sz w:val="22"/>
          <w:szCs w:val="22"/>
        </w:rPr>
      </w:pPr>
      <w:r>
        <w:rPr>
          <w:b/>
          <w:bCs/>
          <w:sz w:val="22"/>
          <w:szCs w:val="22"/>
        </w:rPr>
        <w:t>ПОРЯДОК РАЗРЕШЕНИЯ СПОРОВ</w:t>
      </w:r>
    </w:p>
    <w:p>
      <w:pPr>
        <w:pStyle w:val="15"/>
        <w:jc w:val="center"/>
        <w:rPr>
          <w:b/>
          <w:bCs/>
          <w:sz w:val="22"/>
          <w:szCs w:val="22"/>
        </w:rPr>
      </w:pPr>
      <w:r>
        <w:rPr>
          <w:b/>
          <w:bCs/>
          <w:sz w:val="22"/>
          <w:szCs w:val="22"/>
        </w:rPr>
      </w:r>
    </w:p>
    <w:p>
      <w:pPr>
        <w:pStyle w:val="211"/>
        <w:tabs>
          <w:tab w:val="clear" w:pos="708"/>
          <w:tab w:val="left" w:pos="142" w:leader="none"/>
          <w:tab w:val="left" w:pos="284" w:leader="none"/>
          <w:tab w:val="left" w:pos="567" w:leader="none"/>
        </w:tabs>
        <w:spacing w:lineRule="auto" w:line="240" w:before="0" w:after="0"/>
        <w:ind w:firstLine="567" w:left="0" w:right="0"/>
        <w:jc w:val="both"/>
        <w:rPr/>
      </w:pPr>
      <w:r>
        <w:rPr/>
        <w:t>10.1. Все споры или разногласия, возникающие между Сторонами по настоящему Контракту или в связи с ним, разрешаются путем направления письменной претензии. Срок рассмотрения претензии-10 календарных дней со дня получения.</w:t>
      </w:r>
    </w:p>
    <w:p>
      <w:pPr>
        <w:pStyle w:val="211"/>
        <w:tabs>
          <w:tab w:val="clear" w:pos="708"/>
          <w:tab w:val="left" w:pos="142" w:leader="none"/>
          <w:tab w:val="left" w:pos="284" w:leader="none"/>
        </w:tabs>
        <w:spacing w:lineRule="auto" w:line="240" w:before="0" w:after="0"/>
        <w:ind w:firstLine="567" w:left="0" w:right="0"/>
        <w:jc w:val="both"/>
        <w:rPr/>
      </w:pPr>
      <w:r>
        <w:rPr/>
        <w:t>10.2. В случае невозможности урегулирования разногласий путем переговоров, они разрешаются в Арбитражном суде Амурской области в установленном законодательством порядке.</w:t>
      </w:r>
    </w:p>
    <w:p>
      <w:pPr>
        <w:pStyle w:val="211"/>
        <w:tabs>
          <w:tab w:val="clear" w:pos="708"/>
          <w:tab w:val="left" w:pos="142" w:leader="none"/>
          <w:tab w:val="left" w:pos="284" w:leader="none"/>
        </w:tabs>
        <w:spacing w:lineRule="auto" w:line="240" w:before="0" w:after="0"/>
        <w:ind w:left="0" w:right="0"/>
        <w:jc w:val="both"/>
        <w:rPr/>
      </w:pPr>
      <w:r>
        <w:rPr/>
      </w:r>
    </w:p>
    <w:p>
      <w:pPr>
        <w:pStyle w:val="TextBodyIndent"/>
        <w:numPr>
          <w:ilvl w:val="0"/>
          <w:numId w:val="8"/>
        </w:numPr>
        <w:tabs>
          <w:tab w:val="clear" w:pos="3261"/>
        </w:tabs>
        <w:jc w:val="center"/>
        <w:rPr>
          <w:rFonts w:ascii="Times New Roman" w:hAnsi="Times New Roman" w:cs="Times New Roman"/>
          <w:sz w:val="22"/>
          <w:szCs w:val="22"/>
        </w:rPr>
      </w:pPr>
      <w:r>
        <w:rPr>
          <w:rFonts w:cs="Times New Roman" w:ascii="Times New Roman" w:hAnsi="Times New Roman"/>
          <w:sz w:val="22"/>
          <w:szCs w:val="22"/>
        </w:rPr>
        <w:t>ПРОЧИЕ УСЛОВИЯ</w:t>
      </w:r>
    </w:p>
    <w:p>
      <w:pPr>
        <w:pStyle w:val="TextBodyIndent"/>
        <w:ind w:left="0" w:right="0"/>
        <w:rPr>
          <w:rFonts w:ascii="Times New Roman" w:hAnsi="Times New Roman" w:cs="Times New Roman"/>
          <w:sz w:val="22"/>
          <w:szCs w:val="22"/>
        </w:rPr>
      </w:pPr>
      <w:r>
        <w:rPr>
          <w:rFonts w:cs="Times New Roman" w:ascii="Times New Roman" w:hAnsi="Times New Roman"/>
          <w:sz w:val="22"/>
          <w:szCs w:val="22"/>
        </w:rPr>
      </w:r>
    </w:p>
    <w:p>
      <w:pPr>
        <w:pStyle w:val="TextBodyIndent"/>
        <w:ind w:firstLine="567" w:left="0" w:right="0"/>
        <w:jc w:val="both"/>
        <w:rPr>
          <w:rFonts w:ascii="Times New Roman" w:hAnsi="Times New Roman" w:cs="Times New Roman"/>
          <w:b w:val="false"/>
          <w:bCs/>
        </w:rPr>
      </w:pPr>
      <w:r>
        <w:rPr>
          <w:rFonts w:cs="Times New Roman" w:ascii="Times New Roman" w:hAnsi="Times New Roman"/>
          <w:b w:val="false"/>
          <w:bCs/>
        </w:rPr>
        <w:t xml:space="preserve">11.1. В случае изменения юридических и банковских реквизитов, организационно-правового статуса каждая Сторона </w:t>
      </w:r>
      <w:r>
        <w:rPr>
          <w:rFonts w:cs="Times New Roman" w:ascii="Times New Roman" w:hAnsi="Times New Roman"/>
          <w:b w:val="false"/>
        </w:rPr>
        <w:t>Контракта</w:t>
      </w:r>
      <w:r>
        <w:rPr>
          <w:rFonts w:cs="Times New Roman" w:ascii="Times New Roman" w:hAnsi="Times New Roman"/>
          <w:b w:val="false"/>
          <w:bCs/>
        </w:rPr>
        <w:t xml:space="preserve"> обязана известить в письменном виде в однодневный срок другую сторону и предоставить всю необходимую информацию, которая может повлиять на отношения между Сторонами.</w:t>
      </w:r>
    </w:p>
    <w:p>
      <w:pPr>
        <w:pStyle w:val="TextBodyIndent"/>
        <w:ind w:firstLine="567" w:left="0" w:right="0"/>
        <w:jc w:val="both"/>
        <w:rPr>
          <w:highlight w:val="white"/>
        </w:rPr>
      </w:pPr>
      <w:r>
        <w:rPr>
          <w:rFonts w:cs="Times New Roman" w:ascii="Times New Roman" w:hAnsi="Times New Roman"/>
          <w:b w:val="false"/>
          <w:bCs/>
        </w:rPr>
        <w:t>11</w:t>
      </w:r>
      <w:r>
        <w:rPr>
          <w:rFonts w:cs="Times New Roman" w:ascii="Times New Roman" w:hAnsi="Times New Roman"/>
          <w:b w:val="false"/>
          <w:bCs/>
          <w:highlight w:val="white"/>
        </w:rPr>
        <w:t xml:space="preserve">.2. </w:t>
      </w:r>
      <w:r>
        <w:rPr>
          <w:rFonts w:cs="Times New Roman" w:ascii="Times New Roman" w:hAnsi="Times New Roman"/>
          <w:b w:val="false"/>
          <w:bCs/>
        </w:rPr>
        <w:t xml:space="preserve">Настоящий </w:t>
      </w:r>
      <w:r>
        <w:rPr>
          <w:rFonts w:cs="Times New Roman" w:ascii="Times New Roman" w:hAnsi="Times New Roman"/>
          <w:b w:val="false"/>
        </w:rPr>
        <w:t>Контракт</w:t>
      </w:r>
      <w:r>
        <w:rPr>
          <w:rFonts w:cs="Times New Roman" w:ascii="Times New Roman" w:hAnsi="Times New Roman"/>
          <w:b w:val="false"/>
          <w:bCs/>
        </w:rPr>
        <w:t xml:space="preserve"> составлен в 2 (двух) экземплярах, по одному для каждой из Сторон, имеющих одинаковую юридическую силу</w:t>
      </w:r>
      <w:r>
        <w:rPr>
          <w:rFonts w:cs="Times New Roman" w:ascii="Times New Roman" w:hAnsi="Times New Roman"/>
          <w:b w:val="false"/>
          <w:bCs/>
          <w:highlight w:val="white"/>
        </w:rPr>
        <w:t>.</w:t>
      </w:r>
    </w:p>
    <w:p>
      <w:pPr>
        <w:pStyle w:val="Normal"/>
        <w:ind w:firstLine="567" w:right="0"/>
        <w:jc w:val="both"/>
        <w:rPr/>
      </w:pPr>
      <w:r>
        <w:rPr>
          <w:highlight w:val="white"/>
        </w:rPr>
        <w:t xml:space="preserve">11.3. Во всем, что не предусмотрено настоящим </w:t>
      </w:r>
      <w:r>
        <w:rPr/>
        <w:t>Контракт</w:t>
      </w:r>
      <w:r>
        <w:rPr>
          <w:highlight w:val="white"/>
        </w:rPr>
        <w:t>ом, Стороны руководствуются действующим законодательством Российской Федерации.</w:t>
      </w:r>
    </w:p>
    <w:p>
      <w:pPr>
        <w:pStyle w:val="Normal"/>
        <w:ind w:firstLine="567" w:right="0"/>
        <w:jc w:val="both"/>
        <w:rPr/>
      </w:pPr>
      <w:r>
        <w:rPr/>
        <w:t>11.4. Все изменения и дополнения к настоящему Контракту действительны лишь в случае, если они совершены в письменной форме и подписаны уполномоченными на, то представителями Сторон.</w:t>
      </w:r>
    </w:p>
    <w:p>
      <w:pPr>
        <w:pStyle w:val="Normal"/>
        <w:ind w:firstLine="567" w:right="0"/>
        <w:jc w:val="both"/>
        <w:rPr>
          <w:rFonts w:ascii="Times New Roman" w:hAnsi="Times New Roman" w:cs="Times New Roman"/>
          <w:sz w:val="24"/>
          <w:szCs w:val="24"/>
        </w:rPr>
      </w:pPr>
      <w:r>
        <w:rPr/>
        <w:t xml:space="preserve">11.5. Во всех случаях указания каких-либо сроков по настоящему Контракту под днями понимаются официальные рабочие дни, под месяцами - полные календарные месяцы. </w:t>
      </w:r>
    </w:p>
    <w:p>
      <w:pPr>
        <w:pStyle w:val="Style32"/>
        <w:spacing w:lineRule="auto" w:line="240" w:before="0" w:after="0"/>
        <w:ind w:firstLine="567" w:left="0" w:right="0"/>
        <w:contextualSpacing/>
        <w:jc w:val="both"/>
        <w:rPr>
          <w:rFonts w:ascii="Times New Roman" w:hAnsi="Times New Roman" w:cs="Times New Roman"/>
          <w:sz w:val="24"/>
          <w:szCs w:val="24"/>
        </w:rPr>
      </w:pPr>
      <w:r>
        <w:rPr>
          <w:rFonts w:cs="Times New Roman" w:ascii="Times New Roman" w:hAnsi="Times New Roman"/>
          <w:sz w:val="24"/>
          <w:szCs w:val="24"/>
        </w:rPr>
        <w:t>11.6. 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оформляются в письменном виде путем подписания Сторонами Дополнительного соглашения к Контракту.</w:t>
      </w:r>
    </w:p>
    <w:p>
      <w:pPr>
        <w:pStyle w:val="Normal"/>
        <w:ind w:firstLine="567" w:right="0"/>
        <w:jc w:val="both"/>
        <w:rPr/>
      </w:pPr>
      <w:r>
        <w:rPr/>
        <w:t>11.7. Настоящий Контракт может быть изменен по соглашению Сторон, составленному в письменной форме.</w:t>
      </w:r>
    </w:p>
    <w:p>
      <w:pPr>
        <w:pStyle w:val="Normal"/>
        <w:ind w:firstLine="567" w:right="0"/>
        <w:jc w:val="both"/>
        <w:rPr/>
      </w:pPr>
      <w:r>
        <w:rPr/>
        <w:t>11.8. Настоящий Контракт может быть расторгнут:</w:t>
      </w:r>
    </w:p>
    <w:p>
      <w:pPr>
        <w:pStyle w:val="Normal"/>
        <w:ind w:firstLine="142" w:right="0"/>
        <w:jc w:val="both"/>
        <w:rPr/>
      </w:pPr>
      <w:r>
        <w:rPr/>
        <w:t>- по соглашению Сторон;</w:t>
      </w:r>
    </w:p>
    <w:p>
      <w:pPr>
        <w:pStyle w:val="Normal"/>
        <w:ind w:firstLine="142" w:right="0"/>
        <w:jc w:val="both"/>
        <w:rPr/>
      </w:pPr>
      <w:r>
        <w:rPr/>
        <w:t>- в одностороннем порядке в соответствии с гражданским законодательством;</w:t>
      </w:r>
    </w:p>
    <w:p>
      <w:pPr>
        <w:pStyle w:val="Normal"/>
        <w:ind w:firstLine="142" w:right="0"/>
        <w:jc w:val="both"/>
        <w:rPr/>
      </w:pPr>
      <w:r>
        <w:rPr/>
        <w:t>- по решению суда в соответствии с законодательством Российской Федерации.</w:t>
      </w:r>
    </w:p>
    <w:p>
      <w:pPr>
        <w:pStyle w:val="Normal"/>
        <w:tabs>
          <w:tab w:val="clear" w:pos="708"/>
          <w:tab w:val="left" w:pos="1985" w:leader="none"/>
        </w:tabs>
        <w:ind w:firstLine="567" w:right="0"/>
        <w:jc w:val="both"/>
        <w:rPr/>
      </w:pPr>
      <w:r>
        <w:rPr/>
        <w:t>11.9. Приложение: 1. Спецификация (Приложение № 1);</w:t>
      </w:r>
    </w:p>
    <w:p>
      <w:pPr>
        <w:pStyle w:val="Normal"/>
        <w:ind w:firstLine="1985" w:right="0"/>
        <w:jc w:val="both"/>
        <w:rPr/>
      </w:pPr>
      <w:r>
        <w:rPr/>
        <w:t xml:space="preserve">         </w:t>
      </w:r>
      <w:r>
        <w:rPr/>
        <w:t>2. Техническое задание (Приложение № 2);</w:t>
      </w:r>
    </w:p>
    <w:p>
      <w:pPr>
        <w:pStyle w:val="Normal"/>
        <w:ind w:firstLine="1985" w:right="0"/>
        <w:rPr/>
      </w:pPr>
      <w:r>
        <w:rPr/>
        <w:t xml:space="preserve">         </w:t>
      </w:r>
      <w:r>
        <w:rPr/>
        <w:t>3. Акт приёма - передачи товаров (работ, услуг) (Приложение № 3).</w:t>
      </w:r>
    </w:p>
    <w:p>
      <w:pPr>
        <w:pStyle w:val="Normal"/>
        <w:ind w:firstLine="1985" w:right="0"/>
        <w:rPr/>
      </w:pPr>
      <w:r>
        <w:rPr/>
      </w:r>
    </w:p>
    <w:p>
      <w:pPr>
        <w:pStyle w:val="Normal"/>
        <w:ind w:firstLine="1985" w:right="0"/>
        <w:rPr>
          <w:b/>
          <w:bCs/>
        </w:rPr>
      </w:pPr>
      <w:r>
        <w:rPr>
          <w:b/>
          <w:bCs/>
        </w:rPr>
      </w:r>
    </w:p>
    <w:p>
      <w:pPr>
        <w:pStyle w:val="Normal"/>
        <w:ind w:firstLine="720" w:right="0"/>
        <w:jc w:val="center"/>
        <w:rPr>
          <w:b/>
          <w:bCs/>
          <w:sz w:val="22"/>
          <w:szCs w:val="22"/>
        </w:rPr>
      </w:pPr>
      <w:r>
        <w:rPr>
          <w:b/>
          <w:bCs/>
          <w:sz w:val="22"/>
          <w:szCs w:val="22"/>
        </w:rPr>
      </w:r>
    </w:p>
    <w:p>
      <w:pPr>
        <w:pStyle w:val="Normal"/>
        <w:numPr>
          <w:ilvl w:val="0"/>
          <w:numId w:val="8"/>
        </w:numPr>
        <w:jc w:val="center"/>
        <w:rPr>
          <w:b/>
          <w:bCs/>
          <w:sz w:val="22"/>
          <w:szCs w:val="22"/>
        </w:rPr>
      </w:pPr>
      <w:r>
        <w:rPr>
          <w:b/>
          <w:bCs/>
          <w:sz w:val="22"/>
          <w:szCs w:val="22"/>
        </w:rPr>
        <w:t>АДРЕСА, РЕКВИЗИТЫ И ПОДПИСИ СТОРОН</w:t>
      </w:r>
    </w:p>
    <w:p>
      <w:pPr>
        <w:pStyle w:val="Normal"/>
        <w:ind w:left="360" w:right="0"/>
        <w:rPr>
          <w:b/>
          <w:bCs/>
          <w:sz w:val="22"/>
          <w:szCs w:val="22"/>
        </w:rPr>
      </w:pPr>
      <w:r>
        <w:rPr>
          <w:b/>
          <w:bCs/>
          <w:sz w:val="22"/>
          <w:szCs w:val="22"/>
        </w:rPr>
      </w:r>
    </w:p>
    <w:tbl>
      <w:tblPr>
        <w:tblW w:w="9885" w:type="dxa"/>
        <w:jc w:val="left"/>
        <w:tblInd w:w="0" w:type="dxa"/>
        <w:tblLayout w:type="fixed"/>
        <w:tblCellMar>
          <w:top w:w="0" w:type="dxa"/>
          <w:left w:w="108" w:type="dxa"/>
          <w:bottom w:w="0" w:type="dxa"/>
          <w:right w:w="108" w:type="dxa"/>
        </w:tblCellMar>
      </w:tblPr>
      <w:tblGrid>
        <w:gridCol w:w="4983"/>
        <w:gridCol w:w="4902"/>
      </w:tblGrid>
      <w:tr>
        <w:trPr>
          <w:trHeight w:val="857" w:hRule="atLeast"/>
        </w:trPr>
        <w:tc>
          <w:tcPr>
            <w:tcW w:w="4983" w:type="dxa"/>
            <w:tcBorders/>
          </w:tcPr>
          <w:p>
            <w:pPr>
              <w:pStyle w:val="Normal"/>
              <w:widowControl w:val="false"/>
              <w:tabs>
                <w:tab w:val="clear" w:pos="708"/>
                <w:tab w:val="left" w:pos="252" w:leader="none"/>
              </w:tabs>
              <w:jc w:val="both"/>
              <w:rPr>
                <w:b/>
              </w:rPr>
            </w:pPr>
            <w:r>
              <w:rPr>
                <w:b/>
              </w:rPr>
              <w:t>Государственный заказчик:</w:t>
            </w:r>
          </w:p>
          <w:p>
            <w:pPr>
              <w:pStyle w:val="Normal"/>
              <w:widowControl w:val="false"/>
              <w:tabs>
                <w:tab w:val="clear" w:pos="708"/>
                <w:tab w:val="left" w:pos="252" w:leader="none"/>
              </w:tabs>
              <w:jc w:val="both"/>
              <w:rPr>
                <w:b/>
              </w:rPr>
            </w:pPr>
            <w:r>
              <w:rPr>
                <w:b/>
              </w:rPr>
            </w:r>
          </w:p>
          <w:p>
            <w:pPr>
              <w:pStyle w:val="Normal"/>
              <w:widowControl w:val="false"/>
              <w:tabs>
                <w:tab w:val="clear" w:pos="708"/>
                <w:tab w:val="left" w:pos="252" w:leader="none"/>
              </w:tabs>
              <w:jc w:val="both"/>
              <w:rPr>
                <w:b/>
              </w:rPr>
            </w:pPr>
            <w:r>
              <w:rPr>
                <w:b/>
              </w:rPr>
              <w:t xml:space="preserve">Главное управление МЧС России по </w:t>
            </w:r>
          </w:p>
          <w:p>
            <w:pPr>
              <w:pStyle w:val="Normal"/>
              <w:widowControl w:val="false"/>
              <w:jc w:val="both"/>
              <w:rPr>
                <w:b/>
              </w:rPr>
            </w:pPr>
            <w:r>
              <w:rPr>
                <w:b/>
              </w:rPr>
              <w:t>Амурской области</w:t>
            </w:r>
          </w:p>
          <w:p>
            <w:pPr>
              <w:pStyle w:val="Normal"/>
              <w:widowControl w:val="false"/>
              <w:jc w:val="both"/>
              <w:rPr/>
            </w:pPr>
            <w:r>
              <w:rPr/>
              <w:t xml:space="preserve">675000, Амурская область, </w:t>
            </w:r>
          </w:p>
          <w:p>
            <w:pPr>
              <w:pStyle w:val="Normal"/>
              <w:widowControl w:val="false"/>
              <w:jc w:val="both"/>
              <w:rPr/>
            </w:pPr>
            <w:r>
              <w:rPr/>
              <w:t>г. Благовещенск, ул. Пионерская, 47</w:t>
            </w:r>
          </w:p>
          <w:p>
            <w:pPr>
              <w:pStyle w:val="Normal"/>
              <w:widowControl w:val="false"/>
              <w:jc w:val="both"/>
              <w:rPr/>
            </w:pPr>
            <w:r>
              <w:rPr/>
              <w:t xml:space="preserve">ИНН 2801100184 / КПП 280101001 </w:t>
            </w:r>
          </w:p>
          <w:p>
            <w:pPr>
              <w:pStyle w:val="Normal"/>
              <w:widowControl w:val="false"/>
              <w:jc w:val="both"/>
              <w:rPr/>
            </w:pPr>
            <w:r>
              <w:rPr/>
              <w:t>Казначейский счет 03211643000000012300</w:t>
            </w:r>
          </w:p>
          <w:p>
            <w:pPr>
              <w:pStyle w:val="Normal"/>
              <w:widowControl w:val="false"/>
              <w:rPr/>
            </w:pPr>
            <w:r>
              <w:rPr/>
              <w:t>Единый казначейский счет 40102810245370000015</w:t>
            </w:r>
          </w:p>
          <w:p>
            <w:pPr>
              <w:pStyle w:val="Normal"/>
              <w:widowControl w:val="false"/>
              <w:rPr/>
            </w:pPr>
            <w:r>
              <w:rPr/>
              <w:t>УФК по Амурской области (Главное управление МЧС России по Амурской области, л/сч 03231783430)</w:t>
            </w:r>
          </w:p>
          <w:p>
            <w:pPr>
              <w:pStyle w:val="Normal"/>
              <w:widowControl w:val="false"/>
              <w:jc w:val="both"/>
              <w:rPr/>
            </w:pPr>
            <w:r>
              <w:rPr/>
              <w:t>ОТДЕЛЕНИЕ БЛАГОВЕЩЕНСК БАНКА</w:t>
            </w:r>
          </w:p>
          <w:p>
            <w:pPr>
              <w:pStyle w:val="Normal"/>
              <w:widowControl w:val="false"/>
              <w:jc w:val="both"/>
              <w:rPr/>
            </w:pPr>
            <w:r>
              <w:rPr/>
              <w:t xml:space="preserve">РОССИИ//УФК по Амурской области </w:t>
            </w:r>
          </w:p>
          <w:p>
            <w:pPr>
              <w:pStyle w:val="Normal"/>
              <w:widowControl w:val="false"/>
              <w:jc w:val="both"/>
              <w:rPr/>
            </w:pPr>
            <w:r>
              <w:rPr/>
              <w:t>г. Благовещенск</w:t>
            </w:r>
          </w:p>
          <w:p>
            <w:pPr>
              <w:pStyle w:val="Normal"/>
              <w:widowControl w:val="false"/>
              <w:jc w:val="both"/>
              <w:rPr/>
            </w:pPr>
            <w:r>
              <w:rPr/>
              <w:t>БИК: 011012100</w:t>
            </w:r>
          </w:p>
          <w:p>
            <w:pPr>
              <w:pStyle w:val="Normal"/>
              <w:widowControl w:val="false"/>
              <w:jc w:val="both"/>
              <w:rPr/>
            </w:pPr>
            <w:r>
              <w:rPr/>
              <w:t>ОКТМО 10701000</w:t>
            </w:r>
          </w:p>
          <w:p>
            <w:pPr>
              <w:pStyle w:val="Normal"/>
              <w:widowControl w:val="false"/>
              <w:jc w:val="both"/>
              <w:rPr/>
            </w:pPr>
            <w:r>
              <w:rPr/>
              <w:t>ОГРН 1042800035541</w:t>
            </w:r>
          </w:p>
          <w:p>
            <w:pPr>
              <w:pStyle w:val="Normal"/>
              <w:widowControl w:val="false"/>
              <w:jc w:val="both"/>
              <w:rPr/>
            </w:pPr>
            <w:r>
              <w:rPr/>
              <w:t>ОКПО 08928693 / ОКАТО 10401000000</w:t>
            </w:r>
          </w:p>
          <w:p>
            <w:pPr>
              <w:pStyle w:val="Normal"/>
              <w:widowControl w:val="false"/>
              <w:jc w:val="both"/>
              <w:rPr/>
            </w:pPr>
            <w:r>
              <w:rPr/>
              <w:t xml:space="preserve">Эл. почта: </w:t>
            </w:r>
            <w:r>
              <w:rPr>
                <w:lang w:val="en-US"/>
              </w:rPr>
              <w:t>oto</w:t>
            </w:r>
            <w:r>
              <w:rPr/>
              <w:t>@28.</w:t>
            </w:r>
            <w:r>
              <w:rPr>
                <w:lang w:val="en-US"/>
              </w:rPr>
              <w:t>mchs</w:t>
            </w:r>
            <w:r>
              <w:rPr/>
              <w:t>.</w:t>
            </w:r>
            <w:r>
              <w:rPr>
                <w:lang w:val="en-US"/>
              </w:rPr>
              <w:t>gov</w:t>
            </w:r>
            <w:r>
              <w:rPr/>
              <w:t>.</w:t>
            </w:r>
            <w:r>
              <w:rPr>
                <w:lang w:val="en-US"/>
              </w:rPr>
              <w:t>ru</w:t>
            </w:r>
          </w:p>
          <w:p>
            <w:pPr>
              <w:pStyle w:val="Normal"/>
              <w:widowControl w:val="false"/>
              <w:jc w:val="both"/>
              <w:rPr>
                <w:color w:val="000000"/>
              </w:rPr>
            </w:pPr>
            <w:r>
              <w:rPr/>
              <w:t>Телефон: 8(4162)226-151</w:t>
            </w:r>
          </w:p>
          <w:p>
            <w:pPr>
              <w:pStyle w:val="Normal"/>
              <w:widowControl w:val="false"/>
              <w:ind w:right="415"/>
              <w:jc w:val="both"/>
              <w:rPr>
                <w:color w:val="000000"/>
              </w:rPr>
            </w:pPr>
            <w:r>
              <w:rPr>
                <w:color w:val="000000"/>
              </w:rPr>
            </w:r>
          </w:p>
          <w:p>
            <w:pPr>
              <w:pStyle w:val="Normal"/>
              <w:widowControl w:val="false"/>
              <w:rPr>
                <w:iCs/>
                <w:sz w:val="20"/>
                <w:szCs w:val="20"/>
              </w:rPr>
            </w:pPr>
            <w:r>
              <w:rPr/>
              <w:t>___________/ ________________</w:t>
            </w:r>
            <w:r>
              <w:rPr>
                <w:u w:val="single"/>
              </w:rPr>
              <w:t xml:space="preserve"> /                                    </w:t>
            </w:r>
          </w:p>
          <w:p>
            <w:pPr>
              <w:pStyle w:val="Normal"/>
              <w:keepNext w:val="true"/>
              <w:keepLines/>
              <w:widowControl w:val="false"/>
              <w:suppressLineNumbers/>
              <w:tabs>
                <w:tab w:val="clear" w:pos="708"/>
                <w:tab w:val="left" w:pos="252" w:leader="none"/>
              </w:tabs>
              <w:jc w:val="both"/>
              <w:rPr>
                <w:sz w:val="20"/>
                <w:szCs w:val="20"/>
              </w:rPr>
            </w:pPr>
            <w:r>
              <w:rPr>
                <w:iCs/>
                <w:sz w:val="20"/>
                <w:szCs w:val="20"/>
              </w:rPr>
              <w:t xml:space="preserve">         </w:t>
            </w:r>
            <w:r>
              <w:rPr>
                <w:iCs/>
                <w:sz w:val="20"/>
                <w:szCs w:val="20"/>
              </w:rPr>
              <w:t xml:space="preserve">подпись            Фамилия И.О. </w:t>
            </w:r>
          </w:p>
          <w:p>
            <w:pPr>
              <w:pStyle w:val="Normal"/>
              <w:keepNext w:val="true"/>
              <w:keepLines/>
              <w:widowControl w:val="false"/>
              <w:suppressLineNumbers/>
              <w:tabs>
                <w:tab w:val="clear" w:pos="708"/>
                <w:tab w:val="left" w:pos="252" w:leader="none"/>
              </w:tabs>
              <w:ind w:left="720" w:right="0"/>
              <w:jc w:val="center"/>
              <w:rPr>
                <w:sz w:val="20"/>
                <w:szCs w:val="20"/>
              </w:rPr>
            </w:pPr>
            <w:r>
              <w:rPr>
                <w:sz w:val="20"/>
                <w:szCs w:val="20"/>
              </w:rPr>
              <w:t>М.П.</w:t>
            </w:r>
          </w:p>
          <w:p>
            <w:pPr>
              <w:pStyle w:val="Normal"/>
              <w:keepNext w:val="true"/>
              <w:keepLines/>
              <w:widowControl w:val="false"/>
              <w:suppressLineNumbers/>
              <w:tabs>
                <w:tab w:val="clear" w:pos="708"/>
                <w:tab w:val="left" w:pos="252" w:leader="none"/>
              </w:tabs>
              <w:jc w:val="both"/>
              <w:rPr>
                <w:sz w:val="20"/>
                <w:szCs w:val="20"/>
              </w:rPr>
            </w:pPr>
            <w:r>
              <w:rPr>
                <w:sz w:val="20"/>
                <w:szCs w:val="20"/>
              </w:rPr>
            </w:r>
          </w:p>
          <w:p>
            <w:pPr>
              <w:pStyle w:val="311"/>
              <w:spacing w:before="0" w:after="120"/>
              <w:ind w:hanging="141" w:right="0"/>
              <w:rPr>
                <w:sz w:val="22"/>
                <w:szCs w:val="22"/>
                <w:lang w:val="ru-RU" w:eastAsia="ru-RU"/>
              </w:rPr>
            </w:pPr>
            <w:r>
              <w:rPr>
                <w:sz w:val="22"/>
                <w:szCs w:val="22"/>
                <w:lang w:val="ru-RU" w:eastAsia="ru-RU"/>
              </w:rPr>
              <w:t>«____»  ________________ 2026 г.</w:t>
            </w:r>
          </w:p>
        </w:tc>
        <w:tc>
          <w:tcPr>
            <w:tcW w:w="4902" w:type="dxa"/>
            <w:tcBorders/>
          </w:tcPr>
          <w:p>
            <w:pPr>
              <w:pStyle w:val="311"/>
              <w:ind w:left="0" w:right="0"/>
              <w:rPr>
                <w:b/>
                <w:sz w:val="22"/>
                <w:szCs w:val="22"/>
                <w:lang w:val="ru-RU" w:eastAsia="ru-RU"/>
              </w:rPr>
            </w:pPr>
            <w:r>
              <w:rPr>
                <w:b/>
                <w:sz w:val="22"/>
                <w:szCs w:val="22"/>
                <w:lang w:val="ru-RU" w:eastAsia="ru-RU"/>
              </w:rPr>
              <w:t>Поставщик:</w:t>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rPr>
                <w:b/>
                <w:sz w:val="22"/>
                <w:szCs w:val="22"/>
                <w:lang w:val="ru-RU" w:eastAsia="ru-RU"/>
              </w:rPr>
            </w:pPr>
            <w:r>
              <w:rPr>
                <w:b/>
                <w:sz w:val="22"/>
                <w:szCs w:val="22"/>
                <w:lang w:val="ru-RU" w:eastAsia="ru-RU"/>
              </w:rPr>
            </w:r>
          </w:p>
          <w:p>
            <w:pPr>
              <w:pStyle w:val="311"/>
              <w:ind w:left="0" w:right="0"/>
              <w:rPr>
                <w:b/>
                <w:sz w:val="22"/>
                <w:szCs w:val="22"/>
                <w:lang w:val="ru-RU" w:eastAsia="ru-RU"/>
              </w:rPr>
            </w:pPr>
            <w:r>
              <w:rPr>
                <w:b/>
                <w:sz w:val="22"/>
                <w:szCs w:val="22"/>
                <w:lang w:val="ru-RU" w:eastAsia="ru-RU"/>
              </w:rPr>
            </w:r>
          </w:p>
          <w:p>
            <w:pPr>
              <w:pStyle w:val="311"/>
              <w:ind w:left="0" w:right="0"/>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rPr>
                <w:b/>
                <w:sz w:val="22"/>
                <w:szCs w:val="22"/>
                <w:lang w:val="ru-RU" w:eastAsia="ru-RU"/>
              </w:rPr>
            </w:pPr>
            <w:r>
              <w:rPr>
                <w:b/>
                <w:sz w:val="22"/>
                <w:szCs w:val="22"/>
                <w:lang w:val="ru-RU" w:eastAsia="ru-RU"/>
              </w:rPr>
            </w:r>
          </w:p>
          <w:p>
            <w:pPr>
              <w:pStyle w:val="Normal"/>
              <w:widowControl w:val="false"/>
              <w:spacing w:before="57" w:after="57"/>
              <w:rPr>
                <w:b/>
                <w:sz w:val="22"/>
                <w:szCs w:val="22"/>
                <w:lang w:val="ru-RU" w:eastAsia="ru-RU"/>
              </w:rPr>
            </w:pPr>
            <w:r>
              <w:rPr>
                <w:b/>
                <w:sz w:val="22"/>
                <w:szCs w:val="22"/>
                <w:lang w:val="ru-RU" w:eastAsia="ru-RU"/>
              </w:rPr>
            </w:r>
          </w:p>
          <w:p>
            <w:pPr>
              <w:pStyle w:val="Normal"/>
              <w:widowControl w:val="false"/>
              <w:rPr>
                <w:iCs/>
                <w:sz w:val="20"/>
                <w:szCs w:val="20"/>
                <w:lang w:val="ru-RU" w:eastAsia="ru-RU"/>
              </w:rPr>
            </w:pPr>
            <w:r>
              <w:rPr>
                <w:sz w:val="22"/>
                <w:szCs w:val="22"/>
              </w:rPr>
              <w:t>____________/</w:t>
            </w:r>
            <w:r>
              <w:rPr>
                <w:sz w:val="22"/>
                <w:szCs w:val="22"/>
                <w:u w:val="single"/>
              </w:rPr>
              <w:t xml:space="preserve">                                         </w:t>
            </w:r>
            <w:r>
              <w:rPr>
                <w:sz w:val="22"/>
                <w:szCs w:val="22"/>
              </w:rPr>
              <w:t>/</w:t>
            </w:r>
          </w:p>
          <w:p>
            <w:pPr>
              <w:pStyle w:val="311"/>
              <w:spacing w:before="0" w:after="6"/>
              <w:ind w:firstLine="345" w:left="62" w:right="0"/>
              <w:rPr>
                <w:sz w:val="18"/>
                <w:szCs w:val="18"/>
                <w:lang w:val="ru-RU" w:eastAsia="ru-RU"/>
              </w:rPr>
            </w:pPr>
            <w:r>
              <w:rPr>
                <w:iCs/>
                <w:sz w:val="20"/>
                <w:szCs w:val="20"/>
                <w:lang w:val="ru-RU" w:eastAsia="ru-RU"/>
              </w:rPr>
              <w:t>подпись               Фамилия И.О.</w:t>
            </w:r>
          </w:p>
          <w:p>
            <w:pPr>
              <w:pStyle w:val="311"/>
              <w:rPr>
                <w:sz w:val="22"/>
                <w:szCs w:val="22"/>
                <w:lang w:val="ru-RU" w:eastAsia="ru-RU"/>
              </w:rPr>
            </w:pPr>
            <w:r>
              <w:rPr>
                <w:sz w:val="18"/>
                <w:szCs w:val="18"/>
                <w:lang w:val="ru-RU" w:eastAsia="ru-RU"/>
              </w:rPr>
              <w:t xml:space="preserve">                                             </w:t>
            </w:r>
            <w:r>
              <w:rPr>
                <w:sz w:val="20"/>
                <w:szCs w:val="20"/>
                <w:lang w:val="ru-RU" w:eastAsia="ru-RU"/>
              </w:rPr>
              <w:t xml:space="preserve">       </w:t>
            </w:r>
            <w:r>
              <w:rPr>
                <w:sz w:val="20"/>
                <w:szCs w:val="20"/>
                <w:lang w:val="ru-RU" w:eastAsia="ru-RU"/>
              </w:rPr>
              <w:t>М.П.</w:t>
            </w:r>
          </w:p>
          <w:p>
            <w:pPr>
              <w:pStyle w:val="311"/>
              <w:spacing w:before="0" w:after="120"/>
              <w:ind w:firstLine="62" w:right="0"/>
              <w:rPr>
                <w:sz w:val="22"/>
                <w:szCs w:val="22"/>
                <w:lang w:val="ru-RU" w:eastAsia="ru-RU"/>
              </w:rPr>
            </w:pPr>
            <w:r>
              <w:rPr>
                <w:sz w:val="22"/>
                <w:szCs w:val="22"/>
                <w:lang w:val="ru-RU" w:eastAsia="ru-RU"/>
              </w:rPr>
              <w:t>«_____»________________ 2026 г.</w:t>
            </w:r>
          </w:p>
        </w:tc>
      </w:tr>
    </w:tbl>
    <w:p>
      <w:pPr>
        <w:sectPr>
          <w:type w:val="nextPage"/>
          <w:pgSz w:w="11906" w:h="16838"/>
          <w:pgMar w:left="1134" w:right="797" w:gutter="0" w:header="0" w:top="567" w:footer="0" w:bottom="1134"/>
          <w:pgNumType w:fmt="decimal"/>
          <w:formProt w:val="false"/>
          <w:textDirection w:val="lrTb"/>
          <w:docGrid w:type="default" w:linePitch="360" w:charSpace="0"/>
        </w:sectPr>
      </w:pPr>
    </w:p>
    <w:p>
      <w:pPr>
        <w:pStyle w:val="Normal"/>
        <w:ind w:right="141"/>
        <w:jc w:val="right"/>
        <w:rPr>
          <w:bCs/>
          <w:color w:val="000000"/>
          <w:sz w:val="22"/>
          <w:szCs w:val="22"/>
        </w:rPr>
      </w:pPr>
      <w:r>
        <w:rPr>
          <w:bCs/>
          <w:color w:val="000000"/>
          <w:sz w:val="22"/>
          <w:szCs w:val="22"/>
        </w:rPr>
      </w:r>
    </w:p>
    <w:p>
      <w:pPr>
        <w:pStyle w:val="Normal"/>
        <w:ind w:firstLine="11" w:right="0"/>
        <w:jc w:val="right"/>
        <w:rPr>
          <w:bCs/>
          <w:sz w:val="22"/>
          <w:szCs w:val="22"/>
        </w:rPr>
      </w:pPr>
      <w:r>
        <w:rPr>
          <w:bCs/>
          <w:sz w:val="22"/>
          <w:szCs w:val="22"/>
        </w:rPr>
        <w:t>Приложение № 1</w:t>
      </w:r>
    </w:p>
    <w:p>
      <w:pPr>
        <w:pStyle w:val="Normal"/>
        <w:ind w:firstLine="11" w:right="0"/>
        <w:jc w:val="right"/>
        <w:rPr>
          <w:bCs/>
          <w:sz w:val="22"/>
          <w:szCs w:val="22"/>
        </w:rPr>
      </w:pPr>
      <w:r>
        <w:rPr>
          <w:bCs/>
          <w:sz w:val="22"/>
          <w:szCs w:val="22"/>
        </w:rPr>
        <w:t>к Государственному контракту</w:t>
      </w:r>
    </w:p>
    <w:p>
      <w:pPr>
        <w:pStyle w:val="Normal"/>
        <w:ind w:firstLine="11" w:right="0"/>
        <w:jc w:val="right"/>
        <w:rPr>
          <w:bCs/>
          <w:sz w:val="22"/>
          <w:szCs w:val="22"/>
        </w:rPr>
      </w:pPr>
      <w:r>
        <w:rPr>
          <w:bCs/>
          <w:sz w:val="22"/>
          <w:szCs w:val="22"/>
        </w:rPr>
        <w:t>№</w:t>
      </w:r>
      <w:r>
        <w:rPr>
          <w:bCs/>
          <w:sz w:val="22"/>
          <w:szCs w:val="22"/>
        </w:rPr>
        <w:t>_________________________</w:t>
      </w:r>
    </w:p>
    <w:p>
      <w:pPr>
        <w:pStyle w:val="Normal"/>
        <w:ind w:firstLine="11" w:right="0"/>
        <w:jc w:val="right"/>
        <w:rPr>
          <w:bCs/>
          <w:sz w:val="22"/>
          <w:szCs w:val="22"/>
        </w:rPr>
      </w:pPr>
      <w:r>
        <w:rPr>
          <w:bCs/>
          <w:sz w:val="22"/>
          <w:szCs w:val="22"/>
        </w:rPr>
        <w:t>от «___» _____________2026 г.</w:t>
      </w:r>
    </w:p>
    <w:p>
      <w:pPr>
        <w:pStyle w:val="Normal"/>
        <w:spacing w:before="120" w:after="0"/>
        <w:ind w:firstLine="11" w:right="0"/>
        <w:jc w:val="right"/>
        <w:rPr>
          <w:bCs/>
          <w:sz w:val="22"/>
          <w:szCs w:val="22"/>
        </w:rPr>
      </w:pPr>
      <w:r>
        <w:rPr>
          <w:bCs/>
          <w:sz w:val="22"/>
          <w:szCs w:val="22"/>
        </w:rPr>
      </w:r>
    </w:p>
    <w:p>
      <w:pPr>
        <w:pStyle w:val="Normal"/>
        <w:spacing w:before="120" w:after="0"/>
        <w:ind w:firstLine="11" w:right="0"/>
        <w:jc w:val="center"/>
        <w:rPr>
          <w:b w:val="false"/>
          <w:bCs w:val="false"/>
          <w:sz w:val="22"/>
          <w:szCs w:val="22"/>
        </w:rPr>
      </w:pPr>
      <w:r>
        <w:rPr>
          <w:b/>
          <w:sz w:val="22"/>
          <w:szCs w:val="22"/>
        </w:rPr>
        <w:t>Спецификация</w:t>
      </w:r>
    </w:p>
    <w:p>
      <w:pPr>
        <w:pStyle w:val="Normal"/>
        <w:widowControl w:val="false"/>
        <w:ind w:firstLine="567" w:right="0"/>
        <w:jc w:val="center"/>
        <w:rPr>
          <w:rFonts w:ascii="Times New Roman" w:hAnsi="Times New Roman" w:cs="Times New Roman"/>
          <w:b/>
          <w:bCs/>
          <w:sz w:val="22"/>
          <w:szCs w:val="22"/>
        </w:rPr>
      </w:pPr>
      <w:r>
        <w:rPr>
          <w:b w:val="false"/>
          <w:bCs w:val="false"/>
          <w:sz w:val="22"/>
          <w:szCs w:val="22"/>
        </w:rPr>
        <w:t>на поставку</w:t>
      </w:r>
      <w:r>
        <w:rPr>
          <w:b w:val="false"/>
          <w:bCs w:val="false"/>
        </w:rPr>
        <w:t xml:space="preserve"> </w:t>
      </w:r>
      <w:r>
        <w:rPr>
          <w:b w:val="false"/>
          <w:bCs w:val="false"/>
          <w:sz w:val="22"/>
          <w:szCs w:val="22"/>
        </w:rPr>
        <w:t xml:space="preserve"> </w:t>
      </w:r>
      <w:r>
        <w:rPr>
          <w:b w:val="false"/>
          <w:bCs w:val="false"/>
          <w:sz w:val="20"/>
          <w:szCs w:val="20"/>
        </w:rPr>
        <w:t>предметов</w:t>
      </w:r>
      <w:r>
        <w:rPr>
          <w:b w:val="false"/>
          <w:bCs w:val="false"/>
          <w:sz w:val="22"/>
          <w:szCs w:val="22"/>
        </w:rPr>
        <w:t xml:space="preserve"> медицинского назначения (мундштуков одноразовых для алкометра  Drivesafe II  и шпателей медицинских деревянных стерильных одноразовых</w:t>
      </w:r>
    </w:p>
    <w:p>
      <w:pPr>
        <w:pStyle w:val="Style36"/>
        <w:jc w:val="center"/>
        <w:rPr>
          <w:rFonts w:ascii="Times New Roman" w:hAnsi="Times New Roman" w:cs="Times New Roman"/>
          <w:b/>
          <w:bCs/>
          <w:sz w:val="22"/>
          <w:szCs w:val="22"/>
        </w:rPr>
      </w:pPr>
      <w:r>
        <w:rPr>
          <w:rFonts w:cs="Times New Roman" w:ascii="Times New Roman" w:hAnsi="Times New Roman"/>
          <w:b/>
          <w:bCs/>
          <w:sz w:val="22"/>
          <w:szCs w:val="22"/>
        </w:rPr>
      </w:r>
    </w:p>
    <w:tbl>
      <w:tblPr>
        <w:tblW w:w="10069" w:type="dxa"/>
        <w:jc w:val="left"/>
        <w:tblInd w:w="812" w:type="dxa"/>
        <w:tblLayout w:type="fixed"/>
        <w:tblCellMar>
          <w:top w:w="0" w:type="dxa"/>
          <w:left w:w="108" w:type="dxa"/>
          <w:bottom w:w="0" w:type="dxa"/>
          <w:right w:w="108" w:type="dxa"/>
        </w:tblCellMar>
      </w:tblPr>
      <w:tblGrid>
        <w:gridCol w:w="708"/>
        <w:gridCol w:w="3408"/>
        <w:gridCol w:w="845"/>
        <w:gridCol w:w="998"/>
        <w:gridCol w:w="850"/>
        <w:gridCol w:w="987"/>
        <w:gridCol w:w="1134"/>
        <w:gridCol w:w="1139"/>
      </w:tblGrid>
      <w:tr>
        <w:trPr>
          <w:trHeight w:val="924"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pPr>
            <w:r>
              <w:rPr>
                <w:sz w:val="22"/>
                <w:szCs w:val="22"/>
              </w:rPr>
              <w:t xml:space="preserve">№ </w:t>
            </w:r>
            <w:r>
              <w:rPr>
                <w:sz w:val="22"/>
                <w:szCs w:val="22"/>
              </w:rPr>
              <w:t>п/п</w:t>
            </w:r>
          </w:p>
        </w:tc>
        <w:tc>
          <w:tcPr>
            <w:tcW w:w="3408" w:type="dxa"/>
            <w:tcBorders>
              <w:top w:val="single" w:sz="4" w:space="0" w:color="000000"/>
              <w:left w:val="single" w:sz="4" w:space="0" w:color="000000"/>
              <w:bottom w:val="single" w:sz="4" w:space="0" w:color="000000"/>
              <w:right w:val="single" w:sz="4" w:space="0" w:color="000000"/>
            </w:tcBorders>
          </w:tcPr>
          <w:p>
            <w:pPr>
              <w:pStyle w:val="Normal"/>
              <w:ind w:firstLine="117" w:left="-117" w:right="0"/>
              <w:jc w:val="center"/>
              <w:rPr>
                <w:sz w:val="22"/>
                <w:szCs w:val="22"/>
              </w:rPr>
            </w:pPr>
            <w:r>
              <w:rPr>
                <w:sz w:val="22"/>
                <w:szCs w:val="22"/>
              </w:rPr>
              <w:t xml:space="preserve">Наименование товара </w:t>
            </w:r>
          </w:p>
          <w:p>
            <w:pPr>
              <w:pStyle w:val="Normal"/>
              <w:ind w:firstLine="117" w:left="-117" w:right="0"/>
              <w:jc w:val="center"/>
              <w:rPr>
                <w:sz w:val="22"/>
                <w:szCs w:val="22"/>
              </w:rPr>
            </w:pPr>
            <w:r>
              <w:rPr>
                <w:sz w:val="22"/>
                <w:szCs w:val="22"/>
              </w:rPr>
              <w:t>(технические характеристики)</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Страна происхождения</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Ед. изм.</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Кол-во</w:t>
            </w:r>
          </w:p>
          <w:p>
            <w:pPr>
              <w:pStyle w:val="Normal"/>
              <w:jc w:val="center"/>
              <w:rPr>
                <w:sz w:val="22"/>
                <w:szCs w:val="22"/>
              </w:rPr>
            </w:pPr>
            <w:r>
              <w:rPr>
                <w:sz w:val="22"/>
                <w:szCs w:val="22"/>
              </w:rPr>
              <w:t>(шт)</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Цена, руб. за единицу</w:t>
            </w:r>
          </w:p>
        </w:tc>
        <w:tc>
          <w:tcPr>
            <w:tcW w:w="1139"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Сумма, руб.</w:t>
            </w:r>
          </w:p>
        </w:tc>
      </w:tr>
      <w:tr>
        <w:trPr>
          <w:trHeight w:val="376"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1</w:t>
            </w:r>
          </w:p>
        </w:tc>
        <w:tc>
          <w:tcPr>
            <w:tcW w:w="3408" w:type="dxa"/>
            <w:tcBorders>
              <w:top w:val="single" w:sz="4" w:space="0" w:color="000000"/>
              <w:left w:val="single" w:sz="4" w:space="0" w:color="000000"/>
              <w:bottom w:val="single" w:sz="4" w:space="0" w:color="000000"/>
              <w:right w:val="single" w:sz="4" w:space="0" w:color="000000"/>
            </w:tcBorders>
          </w:tcPr>
          <w:p>
            <w:pPr>
              <w:pStyle w:val="Normal"/>
              <w:ind w:firstLine="117" w:left="-117" w:right="0"/>
              <w:jc w:val="center"/>
              <w:rPr>
                <w:sz w:val="18"/>
                <w:szCs w:val="18"/>
              </w:rPr>
            </w:pPr>
            <w:r>
              <w:rPr>
                <w:sz w:val="18"/>
                <w:szCs w:val="18"/>
              </w:rPr>
              <w:t>2</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3</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4</w:t>
            </w:r>
          </w:p>
        </w:tc>
        <w:tc>
          <w:tcPr>
            <w:tcW w:w="987"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5</w:t>
            </w:r>
          </w:p>
        </w:tc>
        <w:tc>
          <w:tcPr>
            <w:tcW w:w="1134"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6</w:t>
            </w:r>
          </w:p>
        </w:tc>
        <w:tc>
          <w:tcPr>
            <w:tcW w:w="1139" w:type="dxa"/>
            <w:tcBorders>
              <w:top w:val="single" w:sz="4" w:space="0" w:color="000000"/>
              <w:left w:val="single" w:sz="4" w:space="0" w:color="000000"/>
              <w:bottom w:val="single" w:sz="4" w:space="0" w:color="000000"/>
              <w:right w:val="single" w:sz="4" w:space="0" w:color="000000"/>
            </w:tcBorders>
          </w:tcPr>
          <w:p>
            <w:pPr>
              <w:pStyle w:val="Normal"/>
              <w:jc w:val="center"/>
              <w:rPr>
                <w:sz w:val="18"/>
                <w:szCs w:val="18"/>
              </w:rPr>
            </w:pPr>
            <w:r>
              <w:rPr>
                <w:sz w:val="18"/>
                <w:szCs w:val="18"/>
              </w:rPr>
              <w:t>7</w:t>
            </w:r>
          </w:p>
        </w:tc>
      </w:tr>
      <w:tr>
        <w:trPr>
          <w:trHeight w:val="187"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rPr/>
            </w:pPr>
            <w:r>
              <w:rPr/>
              <w:t xml:space="preserve">   </w:t>
            </w:r>
            <w:r>
              <w:rPr/>
              <w:t>1.</w:t>
            </w:r>
          </w:p>
        </w:tc>
        <w:tc>
          <w:tcPr>
            <w:tcW w:w="3408" w:type="dxa"/>
            <w:tcBorders>
              <w:top w:val="single" w:sz="4" w:space="0" w:color="000000"/>
              <w:left w:val="single" w:sz="4" w:space="0" w:color="000000"/>
              <w:bottom w:val="single" w:sz="4" w:space="0" w:color="000000"/>
              <w:right w:val="single" w:sz="4" w:space="0" w:color="000000"/>
            </w:tcBorders>
            <w:vAlign w:val="center"/>
          </w:tcPr>
          <w:p>
            <w:pPr>
              <w:pStyle w:val="Normal"/>
              <w:rPr>
                <w:b w:val="false"/>
                <w:bCs w:val="false"/>
                <w:color w:val="000000"/>
                <w:sz w:val="22"/>
                <w:szCs w:val="22"/>
              </w:rPr>
            </w:pPr>
            <w:r>
              <w:rPr>
                <w:b w:val="false"/>
                <w:bCs w:val="false"/>
                <w:color w:val="000000"/>
                <w:sz w:val="22"/>
                <w:szCs w:val="22"/>
              </w:rPr>
              <w:t>Мундштук одноразовый для алкометра  Drivesafe II</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18"/>
                <w:szCs w:val="18"/>
              </w:rPr>
            </w:pPr>
            <w:r>
              <w:rPr>
                <w:color w:val="000000"/>
                <w:sz w:val="18"/>
                <w:szCs w:val="18"/>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color w:val="000000"/>
                <w:sz w:val="18"/>
                <w:szCs w:val="18"/>
              </w:rPr>
            </w:pPr>
            <w:r>
              <w:rPr>
                <w:color w:val="000000"/>
                <w:sz w:val="18"/>
                <w:szCs w:val="18"/>
              </w:rPr>
              <w:t>шт</w:t>
            </w:r>
          </w:p>
        </w:tc>
        <w:tc>
          <w:tcPr>
            <w:tcW w:w="98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color w:val="000000"/>
                <w:sz w:val="18"/>
                <w:szCs w:val="18"/>
              </w:rPr>
            </w:pPr>
            <w:r>
              <w:rPr>
                <w:color w:val="000000"/>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c>
          <w:tcPr>
            <w:tcW w:w="1139"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r>
      <w:tr>
        <w:trPr>
          <w:trHeight w:val="187" w:hRule="atLeast"/>
        </w:trPr>
        <w:tc>
          <w:tcPr>
            <w:tcW w:w="708" w:type="dxa"/>
            <w:tcBorders>
              <w:left w:val="single" w:sz="4" w:space="0" w:color="000000"/>
              <w:bottom w:val="single" w:sz="4" w:space="0" w:color="000000"/>
              <w:right w:val="single" w:sz="4" w:space="0" w:color="000000"/>
            </w:tcBorders>
          </w:tcPr>
          <w:p>
            <w:pPr>
              <w:pStyle w:val="Normal"/>
              <w:jc w:val="center"/>
              <w:rPr>
                <w:b w:val="false"/>
                <w:bCs w:val="false"/>
              </w:rPr>
            </w:pPr>
            <w:r>
              <w:rPr>
                <w:b w:val="false"/>
                <w:bCs w:val="false"/>
              </w:rPr>
              <w:t>2</w:t>
            </w:r>
          </w:p>
        </w:tc>
        <w:tc>
          <w:tcPr>
            <w:tcW w:w="3408" w:type="dxa"/>
            <w:tcBorders>
              <w:left w:val="single" w:sz="4" w:space="0" w:color="000000"/>
              <w:bottom w:val="single" w:sz="4" w:space="0" w:color="000000"/>
              <w:right w:val="single" w:sz="4" w:space="0" w:color="000000"/>
            </w:tcBorders>
            <w:vAlign w:val="center"/>
          </w:tcPr>
          <w:p>
            <w:pPr>
              <w:pStyle w:val="Normal"/>
              <w:rPr>
                <w:b w:val="false"/>
                <w:bCs w:val="false"/>
                <w:color w:val="000000"/>
                <w:sz w:val="22"/>
                <w:szCs w:val="22"/>
              </w:rPr>
            </w:pPr>
            <w:r>
              <w:rPr>
                <w:b w:val="false"/>
                <w:bCs w:val="false"/>
                <w:color w:val="000000"/>
                <w:sz w:val="22"/>
                <w:szCs w:val="22"/>
              </w:rPr>
              <w:t>Шпатель медицинский деревянный стерильный одноразовый</w:t>
            </w:r>
          </w:p>
        </w:tc>
        <w:tc>
          <w:tcPr>
            <w:tcW w:w="1843" w:type="dxa"/>
            <w:gridSpan w:val="2"/>
            <w:tcBorders>
              <w:left w:val="single" w:sz="4" w:space="0" w:color="000000"/>
              <w:bottom w:val="single" w:sz="4" w:space="0" w:color="000000"/>
              <w:right w:val="single" w:sz="4" w:space="0" w:color="000000"/>
            </w:tcBorders>
          </w:tcPr>
          <w:p>
            <w:pPr>
              <w:pStyle w:val="Normal"/>
              <w:snapToGrid w:val="false"/>
              <w:jc w:val="center"/>
              <w:rPr>
                <w:color w:val="000000"/>
                <w:sz w:val="18"/>
                <w:szCs w:val="18"/>
              </w:rPr>
            </w:pPr>
            <w:r>
              <w:rPr>
                <w:color w:val="000000"/>
                <w:sz w:val="18"/>
                <w:szCs w:val="18"/>
              </w:rPr>
            </w:r>
          </w:p>
        </w:tc>
        <w:tc>
          <w:tcPr>
            <w:tcW w:w="850" w:type="dxa"/>
            <w:tcBorders>
              <w:left w:val="single" w:sz="4" w:space="0" w:color="000000"/>
              <w:bottom w:val="single" w:sz="4" w:space="0" w:color="000000"/>
              <w:right w:val="single" w:sz="4" w:space="0" w:color="000000"/>
            </w:tcBorders>
            <w:vAlign w:val="center"/>
          </w:tcPr>
          <w:p>
            <w:pPr>
              <w:pStyle w:val="Normal"/>
              <w:jc w:val="center"/>
              <w:rPr>
                <w:color w:val="000000"/>
                <w:sz w:val="18"/>
                <w:szCs w:val="18"/>
              </w:rPr>
            </w:pPr>
            <w:r>
              <w:rPr>
                <w:color w:val="000000"/>
                <w:sz w:val="18"/>
                <w:szCs w:val="18"/>
              </w:rPr>
              <w:t>шт</w:t>
            </w:r>
          </w:p>
        </w:tc>
        <w:tc>
          <w:tcPr>
            <w:tcW w:w="987" w:type="dxa"/>
            <w:tcBorders>
              <w:left w:val="single" w:sz="4" w:space="0" w:color="000000"/>
              <w:bottom w:val="single" w:sz="4" w:space="0" w:color="000000"/>
              <w:right w:val="single" w:sz="4" w:space="0" w:color="000000"/>
            </w:tcBorders>
            <w:vAlign w:val="center"/>
          </w:tcPr>
          <w:p>
            <w:pPr>
              <w:pStyle w:val="Normal"/>
              <w:snapToGrid w:val="false"/>
              <w:jc w:val="center"/>
              <w:rPr>
                <w:color w:val="000000"/>
                <w:sz w:val="18"/>
                <w:szCs w:val="18"/>
              </w:rPr>
            </w:pPr>
            <w:r>
              <w:rPr>
                <w:color w:val="000000"/>
                <w:sz w:val="18"/>
                <w:szCs w:val="18"/>
              </w:rPr>
            </w:r>
          </w:p>
        </w:tc>
        <w:tc>
          <w:tcPr>
            <w:tcW w:w="1134" w:type="dxa"/>
            <w:tcBorders>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c>
          <w:tcPr>
            <w:tcW w:w="1139" w:type="dxa"/>
            <w:tcBorders>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r>
      <w:tr>
        <w:trPr>
          <w:trHeight w:val="284" w:hRule="atLeast"/>
        </w:trPr>
        <w:tc>
          <w:tcPr>
            <w:tcW w:w="70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color w:val="000000"/>
                <w:sz w:val="18"/>
                <w:szCs w:val="18"/>
              </w:rPr>
            </w:pPr>
            <w:r>
              <w:rPr>
                <w:color w:val="000000"/>
                <w:sz w:val="18"/>
                <w:szCs w:val="18"/>
              </w:rPr>
            </w:r>
          </w:p>
        </w:tc>
        <w:tc>
          <w:tcPr>
            <w:tcW w:w="3408" w:type="dxa"/>
            <w:tcBorders>
              <w:top w:val="single" w:sz="4" w:space="0" w:color="000000"/>
              <w:left w:val="single" w:sz="4" w:space="0" w:color="000000"/>
              <w:bottom w:val="single" w:sz="4" w:space="0" w:color="000000"/>
              <w:right w:val="single" w:sz="4" w:space="0" w:color="000000"/>
            </w:tcBorders>
            <w:vAlign w:val="center"/>
          </w:tcPr>
          <w:p>
            <w:pPr>
              <w:pStyle w:val="Normal"/>
              <w:jc w:val="both"/>
              <w:rPr>
                <w:color w:val="000000"/>
              </w:rPr>
            </w:pPr>
            <w:r>
              <w:rPr>
                <w:color w:val="000000"/>
              </w:rPr>
              <w:t>итого:</w:t>
            </w:r>
          </w:p>
        </w:tc>
        <w:tc>
          <w:tcPr>
            <w:tcW w:w="1843" w:type="dxa"/>
            <w:gridSpan w:val="2"/>
            <w:tcBorders>
              <w:top w:val="single" w:sz="4" w:space="0" w:color="000000"/>
              <w:left w:val="single" w:sz="4" w:space="0" w:color="000000"/>
              <w:bottom w:val="single" w:sz="4" w:space="0" w:color="000000"/>
              <w:right w:val="single" w:sz="4" w:space="0" w:color="000000"/>
            </w:tcBorders>
          </w:tcPr>
          <w:p>
            <w:pPr>
              <w:pStyle w:val="Normal"/>
              <w:snapToGrid w:val="false"/>
              <w:rPr>
                <w:color w:val="000000"/>
              </w:rPr>
            </w:pPr>
            <w:r>
              <w:rPr>
                <w:color w:val="000000"/>
              </w:rPr>
            </w:r>
          </w:p>
        </w:tc>
        <w:tc>
          <w:tcPr>
            <w:tcW w:w="850"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both"/>
              <w:rPr>
                <w:color w:val="000000"/>
              </w:rPr>
            </w:pPr>
            <w:r>
              <w:rPr>
                <w:color w:val="000000"/>
              </w:rPr>
            </w:r>
          </w:p>
        </w:tc>
        <w:tc>
          <w:tcPr>
            <w:tcW w:w="98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color w:val="000000"/>
                <w:sz w:val="18"/>
                <w:szCs w:val="18"/>
              </w:rPr>
            </w:pPr>
            <w:r>
              <w:rPr>
                <w:color w:val="000000"/>
                <w:sz w:val="18"/>
                <w:szCs w:val="18"/>
              </w:rPr>
            </w:r>
          </w:p>
        </w:tc>
        <w:tc>
          <w:tcPr>
            <w:tcW w:w="1134"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c>
          <w:tcPr>
            <w:tcW w:w="1139" w:type="dxa"/>
            <w:tcBorders>
              <w:top w:val="single" w:sz="4" w:space="0" w:color="000000"/>
              <w:left w:val="single" w:sz="4" w:space="0" w:color="000000"/>
              <w:bottom w:val="single" w:sz="4" w:space="0" w:color="000000"/>
              <w:right w:val="single" w:sz="4" w:space="0" w:color="000000"/>
            </w:tcBorders>
          </w:tcPr>
          <w:p>
            <w:pPr>
              <w:pStyle w:val="Normal"/>
              <w:snapToGrid w:val="false"/>
              <w:rPr>
                <w:color w:val="000000"/>
                <w:sz w:val="18"/>
                <w:szCs w:val="18"/>
              </w:rPr>
            </w:pPr>
            <w:r>
              <w:rPr>
                <w:color w:val="000000"/>
                <w:sz w:val="18"/>
                <w:szCs w:val="18"/>
              </w:rPr>
            </w:r>
          </w:p>
        </w:tc>
      </w:tr>
      <w:tr>
        <w:trPr>
          <w:trHeight w:val="857" w:hRule="atLeast"/>
        </w:trPr>
        <w:tc>
          <w:tcPr>
            <w:tcW w:w="4961" w:type="dxa"/>
            <w:gridSpan w:val="3"/>
            <w:tcBorders/>
          </w:tcPr>
          <w:p>
            <w:pPr>
              <w:pStyle w:val="311"/>
              <w:snapToGrid w:val="false"/>
              <w:ind w:left="0" w:right="0"/>
              <w:rPr>
                <w:b/>
                <w:color w:val="000000"/>
                <w:sz w:val="22"/>
                <w:szCs w:val="22"/>
                <w:lang w:val="ru-RU" w:eastAsia="ru-RU"/>
              </w:rPr>
            </w:pPr>
            <w:r>
              <w:rPr>
                <w:b/>
                <w:color w:val="000000"/>
                <w:sz w:val="22"/>
                <w:szCs w:val="22"/>
                <w:lang w:val="ru-RU" w:eastAsia="ru-RU"/>
              </w:rPr>
            </w:r>
          </w:p>
          <w:p>
            <w:pPr>
              <w:pStyle w:val="311"/>
              <w:rPr>
                <w:b/>
                <w:color w:val="000000"/>
                <w:sz w:val="22"/>
                <w:szCs w:val="22"/>
                <w:lang w:val="ru-RU" w:eastAsia="ru-RU"/>
              </w:rPr>
            </w:pPr>
            <w:r>
              <w:rPr>
                <w:b/>
                <w:color w:val="000000"/>
                <w:sz w:val="22"/>
                <w:szCs w:val="22"/>
                <w:lang w:val="ru-RU" w:eastAsia="ru-RU"/>
              </w:rPr>
            </w:r>
          </w:p>
          <w:p>
            <w:pPr>
              <w:pStyle w:val="311"/>
              <w:ind w:left="0" w:right="0"/>
              <w:rPr>
                <w:b/>
                <w:sz w:val="22"/>
                <w:szCs w:val="22"/>
                <w:lang w:val="ru-RU" w:eastAsia="ru-RU"/>
              </w:rPr>
            </w:pPr>
            <w:r>
              <w:rPr>
                <w:b/>
                <w:sz w:val="22"/>
                <w:szCs w:val="22"/>
                <w:lang w:val="ru-RU" w:eastAsia="ru-RU"/>
              </w:rPr>
              <w:t xml:space="preserve">      </w:t>
            </w:r>
            <w:r>
              <w:rPr>
                <w:b/>
                <w:sz w:val="22"/>
                <w:szCs w:val="22"/>
                <w:lang w:val="ru-RU" w:eastAsia="ru-RU"/>
              </w:rPr>
              <w:t>Государственный заказчик:</w:t>
            </w:r>
          </w:p>
          <w:p>
            <w:pPr>
              <w:pStyle w:val="Normal"/>
              <w:widowControl w:val="false"/>
              <w:autoSpaceDE w:val="false"/>
              <w:jc w:val="center"/>
              <w:rPr>
                <w:b/>
                <w:sz w:val="22"/>
                <w:szCs w:val="22"/>
                <w:lang w:val="ru-RU" w:eastAsia="ru-RU"/>
              </w:rPr>
            </w:pPr>
            <w:r>
              <w:rPr>
                <w:b/>
                <w:sz w:val="22"/>
                <w:szCs w:val="22"/>
                <w:lang w:val="ru-RU" w:eastAsia="ru-RU"/>
              </w:rPr>
            </w:r>
          </w:p>
          <w:p>
            <w:pPr>
              <w:pStyle w:val="Normal"/>
              <w:widowControl w:val="false"/>
              <w:autoSpaceDE w:val="false"/>
              <w:jc w:val="center"/>
              <w:rPr>
                <w:b/>
                <w:sz w:val="22"/>
                <w:szCs w:val="22"/>
                <w:lang w:val="ru-RU" w:eastAsia="ru-RU"/>
              </w:rPr>
            </w:pPr>
            <w:r>
              <w:rPr>
                <w:b/>
                <w:sz w:val="22"/>
                <w:szCs w:val="22"/>
                <w:lang w:val="ru-RU" w:eastAsia="ru-RU"/>
              </w:rPr>
            </w:r>
          </w:p>
          <w:p>
            <w:pPr>
              <w:pStyle w:val="Normal"/>
              <w:widowControl w:val="false"/>
              <w:autoSpaceDE w:val="false"/>
              <w:jc w:val="center"/>
              <w:rPr>
                <w:b/>
                <w:sz w:val="22"/>
                <w:szCs w:val="22"/>
                <w:lang w:val="ru-RU" w:eastAsia="ru-RU"/>
              </w:rPr>
            </w:pPr>
            <w:r>
              <w:rPr>
                <w:b/>
                <w:sz w:val="22"/>
                <w:szCs w:val="22"/>
                <w:lang w:val="ru-RU" w:eastAsia="ru-RU"/>
              </w:rPr>
            </w:r>
          </w:p>
          <w:p>
            <w:pPr>
              <w:pStyle w:val="Normal"/>
              <w:widowControl w:val="false"/>
              <w:rPr>
                <w:iCs/>
                <w:sz w:val="18"/>
                <w:szCs w:val="18"/>
                <w:lang w:val="ru-RU" w:eastAsia="ru-RU"/>
              </w:rPr>
            </w:pPr>
            <w:r>
              <w:rPr>
                <w:sz w:val="22"/>
                <w:szCs w:val="22"/>
              </w:rPr>
              <w:t xml:space="preserve">    </w:t>
            </w:r>
            <w:r>
              <w:rPr>
                <w:sz w:val="22"/>
                <w:szCs w:val="22"/>
              </w:rPr>
              <w:t>____________/</w:t>
            </w:r>
            <w:r>
              <w:rPr>
                <w:sz w:val="22"/>
                <w:szCs w:val="22"/>
                <w:u w:val="single"/>
              </w:rPr>
              <w:t xml:space="preserve">    __________________    </w:t>
            </w:r>
            <w:r>
              <w:rPr>
                <w:sz w:val="22"/>
                <w:szCs w:val="22"/>
              </w:rPr>
              <w:t>/</w:t>
            </w:r>
          </w:p>
          <w:p>
            <w:pPr>
              <w:pStyle w:val="311"/>
              <w:ind w:firstLine="284" w:right="0"/>
              <w:rPr>
                <w:lang w:val="ru-RU" w:eastAsia="ru-RU"/>
              </w:rPr>
            </w:pPr>
            <w:r>
              <w:rPr>
                <w:iCs/>
                <w:sz w:val="18"/>
                <w:szCs w:val="18"/>
                <w:lang w:val="ru-RU" w:eastAsia="ru-RU"/>
              </w:rPr>
              <w:t xml:space="preserve"> </w:t>
            </w:r>
            <w:r>
              <w:rPr>
                <w:iCs/>
                <w:sz w:val="18"/>
                <w:szCs w:val="18"/>
                <w:lang w:val="ru-RU" w:eastAsia="ru-RU"/>
              </w:rPr>
              <w:t xml:space="preserve">подпись            Фамилия И.О. </w:t>
            </w:r>
          </w:p>
          <w:p>
            <w:pPr>
              <w:pStyle w:val="311"/>
              <w:rPr>
                <w:sz w:val="22"/>
                <w:szCs w:val="22"/>
                <w:lang w:val="ru-RU" w:eastAsia="ru-RU"/>
              </w:rPr>
            </w:pPr>
            <w:r>
              <w:rPr>
                <w:lang w:val="ru-RU" w:eastAsia="ru-RU"/>
              </w:rPr>
              <w:t xml:space="preserve">                       </w:t>
            </w:r>
            <w:r>
              <w:rPr>
                <w:lang w:val="ru-RU" w:eastAsia="ru-RU"/>
              </w:rPr>
              <w:t>М.П.</w:t>
            </w:r>
          </w:p>
          <w:p>
            <w:pPr>
              <w:pStyle w:val="311"/>
              <w:spacing w:before="0" w:after="120"/>
              <w:ind w:hanging="112" w:right="0"/>
              <w:rPr/>
            </w:pPr>
            <w:r>
              <w:rPr>
                <w:sz w:val="22"/>
                <w:szCs w:val="22"/>
                <w:lang w:val="ru-RU" w:eastAsia="ru-RU"/>
              </w:rPr>
              <w:t xml:space="preserve"> </w:t>
            </w:r>
            <w:r>
              <w:rPr>
                <w:sz w:val="22"/>
                <w:szCs w:val="22"/>
                <w:lang w:val="ru-RU" w:eastAsia="ru-RU"/>
              </w:rPr>
              <w:t>«____»  _____________________ 2026  г.</w:t>
            </w:r>
          </w:p>
        </w:tc>
        <w:tc>
          <w:tcPr>
            <w:tcW w:w="5108" w:type="dxa"/>
            <w:gridSpan w:val="5"/>
            <w:tcBorders/>
          </w:tcPr>
          <w:p>
            <w:pPr>
              <w:pStyle w:val="311"/>
              <w:snapToGrid w:val="false"/>
              <w:jc w:val="center"/>
              <w:rPr>
                <w:b/>
                <w:iCs/>
                <w:sz w:val="22"/>
                <w:szCs w:val="22"/>
                <w:lang w:val="ru-RU" w:eastAsia="ru-RU"/>
              </w:rPr>
            </w:pPr>
            <w:r>
              <w:rPr>
                <w:b/>
                <w:iCs/>
                <w:sz w:val="22"/>
                <w:szCs w:val="22"/>
                <w:lang w:val="ru-RU" w:eastAsia="ru-RU"/>
              </w:rPr>
            </w:r>
          </w:p>
          <w:p>
            <w:pPr>
              <w:pStyle w:val="311"/>
              <w:jc w:val="center"/>
              <w:rPr>
                <w:b/>
                <w:iCs/>
                <w:sz w:val="22"/>
                <w:szCs w:val="22"/>
                <w:lang w:val="ru-RU" w:eastAsia="ru-RU"/>
              </w:rPr>
            </w:pPr>
            <w:r>
              <w:rPr>
                <w:b/>
                <w:iCs/>
                <w:sz w:val="22"/>
                <w:szCs w:val="22"/>
                <w:lang w:val="ru-RU" w:eastAsia="ru-RU"/>
              </w:rPr>
            </w:r>
          </w:p>
          <w:p>
            <w:pPr>
              <w:pStyle w:val="311"/>
              <w:rPr>
                <w:b/>
                <w:sz w:val="22"/>
                <w:szCs w:val="22"/>
                <w:lang w:eastAsia="ar-SA"/>
              </w:rPr>
            </w:pPr>
            <w:r>
              <w:rPr>
                <w:b/>
                <w:sz w:val="22"/>
                <w:szCs w:val="22"/>
                <w:lang w:val="ru-RU" w:eastAsia="ru-RU"/>
              </w:rPr>
              <w:t xml:space="preserve">        </w:t>
            </w:r>
            <w:r>
              <w:rPr>
                <w:b/>
                <w:sz w:val="22"/>
                <w:szCs w:val="22"/>
                <w:lang w:val="ru-RU" w:eastAsia="ru-RU"/>
              </w:rPr>
              <w:t>Поставщик:</w:t>
            </w:r>
          </w:p>
          <w:p>
            <w:pPr>
              <w:pStyle w:val="Normal"/>
              <w:widowControl w:val="false"/>
              <w:rPr>
                <w:b/>
                <w:sz w:val="22"/>
                <w:szCs w:val="22"/>
                <w:lang w:eastAsia="ar-SA"/>
              </w:rPr>
            </w:pPr>
            <w:r>
              <w:rPr>
                <w:b/>
                <w:sz w:val="22"/>
                <w:szCs w:val="22"/>
                <w:lang w:eastAsia="ar-SA"/>
              </w:rPr>
              <w:t xml:space="preserve">    </w:t>
            </w:r>
          </w:p>
          <w:p>
            <w:pPr>
              <w:pStyle w:val="Normal"/>
              <w:widowControl w:val="false"/>
              <w:rPr>
                <w:b/>
                <w:sz w:val="22"/>
                <w:szCs w:val="22"/>
                <w:lang w:eastAsia="ar-SA"/>
              </w:rPr>
            </w:pPr>
            <w:r>
              <w:rPr>
                <w:b/>
                <w:sz w:val="22"/>
                <w:szCs w:val="22"/>
                <w:lang w:eastAsia="ar-SA"/>
              </w:rPr>
            </w:r>
          </w:p>
          <w:p>
            <w:pPr>
              <w:pStyle w:val="Normal"/>
              <w:widowControl w:val="false"/>
              <w:rPr>
                <w:b/>
                <w:sz w:val="22"/>
                <w:szCs w:val="22"/>
                <w:lang w:eastAsia="ar-SA"/>
              </w:rPr>
            </w:pPr>
            <w:r>
              <w:rPr>
                <w:b/>
                <w:sz w:val="22"/>
                <w:szCs w:val="22"/>
                <w:lang w:eastAsia="ar-SA"/>
              </w:rPr>
            </w:r>
          </w:p>
          <w:p>
            <w:pPr>
              <w:pStyle w:val="Normal"/>
              <w:widowControl w:val="false"/>
              <w:rPr>
                <w:iCs/>
                <w:sz w:val="18"/>
                <w:szCs w:val="18"/>
                <w:lang w:val="ru-RU" w:eastAsia="ru-RU"/>
              </w:rPr>
            </w:pPr>
            <w:r>
              <w:rPr>
                <w:sz w:val="22"/>
                <w:szCs w:val="22"/>
              </w:rPr>
              <w:t>____________/</w:t>
            </w:r>
            <w:r>
              <w:rPr>
                <w:sz w:val="22"/>
                <w:szCs w:val="22"/>
                <w:u w:val="single"/>
              </w:rPr>
              <w:t xml:space="preserve">    _________________   /                                     </w:t>
            </w:r>
          </w:p>
          <w:p>
            <w:pPr>
              <w:pStyle w:val="311"/>
              <w:ind w:firstLine="345" w:left="62" w:right="0"/>
              <w:rPr>
                <w:lang w:val="ru-RU" w:eastAsia="ru-RU"/>
              </w:rPr>
            </w:pPr>
            <w:r>
              <w:rPr>
                <w:iCs/>
                <w:sz w:val="18"/>
                <w:szCs w:val="18"/>
                <w:lang w:val="ru-RU" w:eastAsia="ru-RU"/>
              </w:rPr>
              <w:t xml:space="preserve">подпись                    Фамилия И.О. </w:t>
            </w:r>
          </w:p>
          <w:p>
            <w:pPr>
              <w:pStyle w:val="311"/>
              <w:jc w:val="center"/>
              <w:rPr>
                <w:sz w:val="22"/>
                <w:szCs w:val="22"/>
                <w:lang w:val="ru-RU" w:eastAsia="ru-RU"/>
              </w:rPr>
            </w:pPr>
            <w:r>
              <w:rPr>
                <w:lang w:val="ru-RU" w:eastAsia="ru-RU"/>
              </w:rPr>
              <w:t>М.П.</w:t>
            </w:r>
          </w:p>
          <w:p>
            <w:pPr>
              <w:pStyle w:val="311"/>
              <w:spacing w:before="0" w:after="120"/>
              <w:ind w:firstLine="62" w:right="0"/>
              <w:rPr>
                <w:sz w:val="22"/>
                <w:szCs w:val="22"/>
                <w:lang w:val="ru-RU" w:eastAsia="ru-RU"/>
              </w:rPr>
            </w:pPr>
            <w:r>
              <w:rPr>
                <w:sz w:val="22"/>
                <w:szCs w:val="22"/>
                <w:lang w:val="ru-RU" w:eastAsia="ru-RU"/>
              </w:rPr>
              <w:t>«_____»_________________ 2026  г.</w:t>
            </w:r>
          </w:p>
        </w:tc>
      </w:tr>
    </w:tbl>
    <w:p>
      <w:pPr>
        <w:pStyle w:val="Normal"/>
        <w:jc w:val="right"/>
        <w:rPr>
          <w:bCs/>
          <w:color w:val="000000"/>
          <w:sz w:val="22"/>
          <w:szCs w:val="22"/>
        </w:rPr>
      </w:pPr>
      <w:r>
        <w:rPr>
          <w:bCs/>
          <w:color w:val="000000"/>
          <w:sz w:val="22"/>
          <w:szCs w:val="22"/>
        </w:rPr>
      </w:r>
    </w:p>
    <w:p>
      <w:pPr>
        <w:sectPr>
          <w:type w:val="nextPage"/>
          <w:pgSz w:w="11906" w:h="16838"/>
          <w:pgMar w:left="709" w:right="851" w:gutter="0" w:header="0" w:top="568" w:footer="0" w:bottom="851"/>
          <w:pgNumType w:fmt="decimal"/>
          <w:formProt w:val="false"/>
          <w:textDirection w:val="lrTb"/>
          <w:docGrid w:type="default" w:linePitch="360" w:charSpace="0"/>
        </w:sectPr>
        <w:pStyle w:val="Normal"/>
        <w:jc w:val="right"/>
        <w:rPr>
          <w:rFonts w:eastAsia="Calibri"/>
          <w:bCs/>
          <w:color w:val="000000"/>
          <w:sz w:val="22"/>
          <w:szCs w:val="22"/>
        </w:rPr>
      </w:pPr>
      <w:r>
        <w:rPr>
          <w:b/>
          <w:sz w:val="28"/>
          <w:szCs w:val="28"/>
        </w:rPr>
        <w:t xml:space="preserve">                                                                                                                                                            </w:t>
      </w:r>
    </w:p>
    <w:p>
      <w:pPr>
        <w:pStyle w:val="Normal"/>
        <w:rPr>
          <w:rFonts w:eastAsia="Calibri"/>
          <w:bCs/>
          <w:color w:val="000000"/>
          <w:sz w:val="22"/>
          <w:szCs w:val="22"/>
        </w:rPr>
      </w:pPr>
      <w:r>
        <w:rPr>
          <w:rFonts w:eastAsia="Calibri"/>
          <w:bCs/>
          <w:color w:val="000000"/>
          <w:sz w:val="22"/>
          <w:szCs w:val="22"/>
        </w:rPr>
      </w:r>
    </w:p>
    <w:p>
      <w:pPr>
        <w:pStyle w:val="Normal"/>
        <w:ind w:firstLine="11" w:right="0"/>
        <w:jc w:val="right"/>
        <w:rPr>
          <w:bCs/>
          <w:sz w:val="18"/>
          <w:szCs w:val="18"/>
        </w:rPr>
      </w:pPr>
      <w:r>
        <w:rPr>
          <w:bCs/>
          <w:sz w:val="22"/>
          <w:szCs w:val="22"/>
        </w:rPr>
        <w:t>П</w:t>
      </w:r>
      <w:r>
        <w:rPr>
          <w:bCs/>
          <w:sz w:val="18"/>
          <w:szCs w:val="18"/>
        </w:rPr>
        <w:t>риложение № 3</w:t>
      </w:r>
    </w:p>
    <w:p>
      <w:pPr>
        <w:pStyle w:val="Normal"/>
        <w:ind w:firstLine="11" w:right="0"/>
        <w:jc w:val="right"/>
        <w:rPr>
          <w:bCs/>
          <w:sz w:val="18"/>
          <w:szCs w:val="18"/>
        </w:rPr>
      </w:pPr>
      <w:r>
        <w:rPr>
          <w:bCs/>
          <w:sz w:val="18"/>
          <w:szCs w:val="18"/>
        </w:rPr>
        <w:t>к Государственному контракту</w:t>
      </w:r>
    </w:p>
    <w:p>
      <w:pPr>
        <w:pStyle w:val="Normal"/>
        <w:ind w:firstLine="11" w:right="0"/>
        <w:jc w:val="center"/>
        <w:rPr>
          <w:bCs/>
          <w:sz w:val="18"/>
          <w:szCs w:val="18"/>
        </w:rPr>
      </w:pPr>
      <w:r>
        <w:rPr>
          <w:bCs/>
          <w:sz w:val="18"/>
          <w:szCs w:val="18"/>
        </w:rPr>
        <w:t xml:space="preserve">                                                                                                                                                                  №</w:t>
      </w:r>
      <w:r>
        <w:rPr>
          <w:bCs/>
          <w:sz w:val="18"/>
          <w:szCs w:val="18"/>
        </w:rPr>
        <w:t>______________________________</w:t>
      </w:r>
    </w:p>
    <w:p>
      <w:pPr>
        <w:pStyle w:val="Normal"/>
        <w:ind w:firstLine="11" w:right="0"/>
        <w:jc w:val="right"/>
        <w:rPr>
          <w:bCs/>
          <w:sz w:val="18"/>
          <w:szCs w:val="18"/>
        </w:rPr>
      </w:pPr>
      <w:r>
        <w:rPr>
          <w:bCs/>
          <w:sz w:val="18"/>
          <w:szCs w:val="18"/>
        </w:rPr>
        <w:t>от «____» _____________2025 г.</w:t>
      </w:r>
    </w:p>
    <w:p>
      <w:pPr>
        <w:pStyle w:val="Normal"/>
        <w:autoSpaceDE w:val="false"/>
        <w:jc w:val="both"/>
        <w:rPr>
          <w:rFonts w:eastAsia="Batang;바탕"/>
          <w:sz w:val="18"/>
          <w:szCs w:val="18"/>
        </w:rPr>
      </w:pPr>
      <w:r>
        <w:rPr/>
        <w:t xml:space="preserve">                                                                                                                                                                                  </w:t>
      </w:r>
    </w:p>
    <w:tbl>
      <w:tblPr>
        <w:tblW w:w="10172" w:type="dxa"/>
        <w:jc w:val="left"/>
        <w:tblInd w:w="0" w:type="dxa"/>
        <w:tblLayout w:type="fixed"/>
        <w:tblCellMar>
          <w:top w:w="0" w:type="dxa"/>
          <w:left w:w="108" w:type="dxa"/>
          <w:bottom w:w="0" w:type="dxa"/>
          <w:right w:w="108" w:type="dxa"/>
        </w:tblCellMar>
      </w:tblPr>
      <w:tblGrid>
        <w:gridCol w:w="5495"/>
        <w:gridCol w:w="4677"/>
      </w:tblGrid>
      <w:tr>
        <w:trPr>
          <w:trHeight w:val="51" w:hRule="atLeast"/>
        </w:trPr>
        <w:tc>
          <w:tcPr>
            <w:tcW w:w="5495" w:type="dxa"/>
            <w:tcBorders/>
          </w:tcPr>
          <w:p>
            <w:pPr>
              <w:pStyle w:val="Normal"/>
              <w:snapToGrid w:val="false"/>
              <w:jc w:val="both"/>
              <w:rPr>
                <w:rFonts w:eastAsia="Batang;바탕"/>
                <w:sz w:val="18"/>
                <w:szCs w:val="18"/>
              </w:rPr>
            </w:pPr>
            <w:r>
              <w:rPr>
                <w:rFonts w:eastAsia="Batang;바탕"/>
                <w:sz w:val="18"/>
                <w:szCs w:val="18"/>
              </w:rPr>
            </w:r>
          </w:p>
        </w:tc>
        <w:tc>
          <w:tcPr>
            <w:tcW w:w="4677" w:type="dxa"/>
            <w:tcBorders/>
          </w:tcPr>
          <w:p>
            <w:pPr>
              <w:pStyle w:val="14"/>
              <w:snapToGrid w:val="false"/>
              <w:rPr>
                <w:rFonts w:ascii="Times New Roman" w:hAnsi="Times New Roman" w:eastAsia="Batang;바탕" w:cs="Times New Roman"/>
                <w:bCs/>
                <w:sz w:val="18"/>
                <w:szCs w:val="18"/>
                <w:lang w:val="ru-RU" w:eastAsia="ru-RU"/>
              </w:rPr>
            </w:pPr>
            <w:r>
              <w:rPr>
                <w:rFonts w:eastAsia="Batang;바탕" w:cs="Times New Roman" w:ascii="Times New Roman" w:hAnsi="Times New Roman"/>
                <w:bCs/>
                <w:sz w:val="18"/>
                <w:szCs w:val="18"/>
                <w:lang w:val="ru-RU" w:eastAsia="ru-RU"/>
              </w:rPr>
            </w:r>
          </w:p>
        </w:tc>
      </w:tr>
    </w:tbl>
    <w:p>
      <w:pPr>
        <w:pStyle w:val="ConsPlusNonformat"/>
        <w:ind w:left="-142" w:right="0"/>
        <w:jc w:val="center"/>
        <w:rPr>
          <w:rFonts w:eastAsia="Batang;바탕" w:cs="Times New Roman"/>
          <w:b/>
          <w:sz w:val="18"/>
          <w:szCs w:val="18"/>
        </w:rPr>
      </w:pPr>
      <w:r>
        <w:rPr>
          <w:rFonts w:eastAsia="Batang;바탕" w:cs="Times New Roman" w:ascii="Times New Roman" w:hAnsi="Times New Roman"/>
          <w:b/>
          <w:sz w:val="18"/>
          <w:szCs w:val="18"/>
        </w:rPr>
        <w:t>АКТА ПРИЕМА-ПЕРЕДАЧИ ТОВАРОВ (РАБОТ, УСЛУГ)</w:t>
      </w:r>
    </w:p>
    <w:p>
      <w:pPr>
        <w:pStyle w:val="Normal"/>
        <w:jc w:val="center"/>
        <w:rPr>
          <w:rFonts w:eastAsia="Batang;바탕" w:cs="Times New Roman"/>
          <w:b/>
          <w:sz w:val="18"/>
          <w:szCs w:val="18"/>
        </w:rPr>
      </w:pPr>
      <w:r>
        <w:rPr>
          <w:rFonts w:eastAsia="Batang;바탕" w:cs="Times New Roman"/>
          <w:b/>
          <w:sz w:val="18"/>
          <w:szCs w:val="18"/>
        </w:rPr>
      </w:r>
    </w:p>
    <w:p>
      <w:pPr>
        <w:pStyle w:val="Normal"/>
        <w:jc w:val="center"/>
        <w:rPr>
          <w:rFonts w:eastAsia="Batang;바탕"/>
          <w:b/>
          <w:sz w:val="20"/>
          <w:szCs w:val="20"/>
        </w:rPr>
      </w:pPr>
      <w:r>
        <w:rPr>
          <w:rFonts w:eastAsia="Batang;바탕"/>
          <w:b/>
          <w:sz w:val="20"/>
          <w:szCs w:val="20"/>
        </w:rPr>
        <w:t>по государственному контракту №</w:t>
      </w:r>
      <w:r>
        <w:rPr>
          <w:rFonts w:eastAsia="Batang;바탕"/>
          <w:sz w:val="20"/>
          <w:szCs w:val="20"/>
        </w:rPr>
        <w:t xml:space="preserve"> ___________________________</w:t>
      </w:r>
      <w:r>
        <w:rPr>
          <w:rFonts w:eastAsia="Batang;바탕"/>
          <w:b/>
          <w:sz w:val="20"/>
          <w:szCs w:val="20"/>
        </w:rPr>
        <w:t xml:space="preserve"> от «______»________ 2026 года </w:t>
      </w:r>
    </w:p>
    <w:p>
      <w:pPr>
        <w:pStyle w:val="Normal"/>
        <w:jc w:val="center"/>
        <w:rPr>
          <w:rFonts w:eastAsia="Batang;바탕"/>
          <w:b/>
          <w:sz w:val="20"/>
          <w:szCs w:val="20"/>
        </w:rPr>
      </w:pPr>
      <w:r>
        <w:rPr>
          <w:rFonts w:eastAsia="Batang;바탕"/>
          <w:b/>
          <w:sz w:val="20"/>
          <w:szCs w:val="20"/>
        </w:rPr>
      </w:r>
    </w:p>
    <w:p>
      <w:pPr>
        <w:pStyle w:val="Normal"/>
        <w:widowControl w:val="false"/>
        <w:spacing w:lineRule="auto" w:line="276" w:before="0" w:after="60"/>
        <w:ind w:firstLine="709" w:right="0"/>
        <w:jc w:val="both"/>
        <w:rPr>
          <w:sz w:val="22"/>
          <w:szCs w:val="22"/>
        </w:rPr>
      </w:pPr>
      <w:r>
        <w:rPr>
          <w:sz w:val="22"/>
          <w:szCs w:val="22"/>
        </w:rPr>
        <w:t xml:space="preserve">Приёмочная комиссия для проверки предоставленных поставщиком результатов, предусмотренных государственным контрактом, в части их соответствия условиям государственного контракта от имени Заказчика___________________________________________________________________________________________________, в лице ____________________________________________________________________, </w:t>
      </w:r>
    </w:p>
    <w:p>
      <w:pPr>
        <w:pStyle w:val="Normal"/>
        <w:widowControl w:val="false"/>
        <w:spacing w:lineRule="auto" w:line="276" w:before="0" w:after="60"/>
        <w:jc w:val="both"/>
        <w:rPr>
          <w:sz w:val="22"/>
          <w:szCs w:val="22"/>
        </w:rPr>
      </w:pPr>
      <w:r>
        <w:rPr>
          <w:sz w:val="22"/>
          <w:szCs w:val="22"/>
        </w:rPr>
        <w:t>с одной стороны, и_______________________________________________________________, в лице ____________________________________________, от имени Поставщика, с другой стороны, составили настоящий акт о следующем:</w:t>
      </w:r>
    </w:p>
    <w:p>
      <w:pPr>
        <w:pStyle w:val="Normal"/>
        <w:numPr>
          <w:ilvl w:val="0"/>
          <w:numId w:val="2"/>
        </w:numPr>
        <w:ind w:firstLine="360" w:left="0" w:right="0"/>
        <w:rPr>
          <w:rFonts w:eastAsia="Batang;바탕"/>
          <w:sz w:val="20"/>
          <w:szCs w:val="20"/>
        </w:rPr>
      </w:pPr>
      <w:r>
        <w:rPr/>
        <w:t>Поставщик поставил, а Заказчик принял следующий товар согласно Спецификации (Приложение №1 к государственному контракту):</w:t>
      </w:r>
    </w:p>
    <w:tbl>
      <w:tblPr>
        <w:tblW w:w="10167" w:type="dxa"/>
        <w:jc w:val="left"/>
        <w:tblInd w:w="108" w:type="dxa"/>
        <w:tblLayout w:type="fixed"/>
        <w:tblCellMar>
          <w:top w:w="0" w:type="dxa"/>
          <w:left w:w="108" w:type="dxa"/>
          <w:bottom w:w="0" w:type="dxa"/>
          <w:right w:w="108" w:type="dxa"/>
        </w:tblCellMar>
      </w:tblPr>
      <w:tblGrid>
        <w:gridCol w:w="598"/>
        <w:gridCol w:w="2804"/>
        <w:gridCol w:w="2127"/>
        <w:gridCol w:w="708"/>
        <w:gridCol w:w="1276"/>
        <w:gridCol w:w="1276"/>
        <w:gridCol w:w="1378"/>
      </w:tblGrid>
      <w:tr>
        <w:trPr>
          <w:trHeight w:val="538" w:hRule="atLeast"/>
        </w:trPr>
        <w:tc>
          <w:tcPr>
            <w:tcW w:w="598" w:type="dxa"/>
            <w:tcBorders>
              <w:top w:val="single" w:sz="4" w:space="0" w:color="000000"/>
              <w:left w:val="single" w:sz="4" w:space="0" w:color="000000"/>
              <w:bottom w:val="single" w:sz="4" w:space="0" w:color="000000"/>
            </w:tcBorders>
            <w:vAlign w:val="center"/>
          </w:tcPr>
          <w:p>
            <w:pPr>
              <w:pStyle w:val="Normal"/>
              <w:snapToGrid w:val="false"/>
              <w:jc w:val="center"/>
              <w:rPr/>
            </w:pPr>
            <w:r>
              <w:rPr>
                <w:rFonts w:eastAsia="Batang;바탕"/>
                <w:sz w:val="20"/>
                <w:szCs w:val="20"/>
              </w:rPr>
              <w:t>№</w:t>
            </w:r>
            <w:r>
              <w:rPr>
                <w:sz w:val="20"/>
                <w:szCs w:val="20"/>
              </w:rPr>
              <w:t xml:space="preserve"> </w:t>
            </w:r>
            <w:r>
              <w:rPr>
                <w:rFonts w:eastAsia="Batang;바탕"/>
                <w:sz w:val="20"/>
                <w:szCs w:val="20"/>
              </w:rPr>
              <w:t>п/п</w:t>
            </w:r>
          </w:p>
        </w:tc>
        <w:tc>
          <w:tcPr>
            <w:tcW w:w="2804" w:type="dxa"/>
            <w:tcBorders>
              <w:top w:val="single" w:sz="4" w:space="0" w:color="000000"/>
              <w:left w:val="single" w:sz="4" w:space="0" w:color="000000"/>
              <w:bottom w:val="single" w:sz="4" w:space="0" w:color="000000"/>
            </w:tcBorders>
            <w:vAlign w:val="center"/>
          </w:tcPr>
          <w:p>
            <w:pPr>
              <w:pStyle w:val="Normal"/>
              <w:snapToGrid w:val="false"/>
              <w:jc w:val="center"/>
              <w:rPr>
                <w:rFonts w:eastAsia="Batang;바탕"/>
                <w:sz w:val="20"/>
                <w:szCs w:val="20"/>
              </w:rPr>
            </w:pPr>
            <w:r>
              <w:rPr>
                <w:rFonts w:eastAsia="Batang;바탕"/>
                <w:sz w:val="20"/>
                <w:szCs w:val="20"/>
              </w:rPr>
              <w:t>Наименование товара (характеристики товара)</w:t>
            </w:r>
          </w:p>
        </w:tc>
        <w:tc>
          <w:tcPr>
            <w:tcW w:w="21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0"/>
                <w:szCs w:val="20"/>
              </w:rPr>
            </w:pPr>
            <w:r>
              <w:rPr>
                <w:sz w:val="20"/>
                <w:szCs w:val="20"/>
              </w:rPr>
              <w:t>Страна происхождения</w:t>
            </w:r>
          </w:p>
        </w:tc>
        <w:tc>
          <w:tcPr>
            <w:tcW w:w="708" w:type="dxa"/>
            <w:tcBorders>
              <w:top w:val="single" w:sz="4" w:space="0" w:color="000000"/>
              <w:left w:val="single" w:sz="4" w:space="0" w:color="000000"/>
              <w:bottom w:val="single" w:sz="4" w:space="0" w:color="000000"/>
            </w:tcBorders>
            <w:vAlign w:val="center"/>
          </w:tcPr>
          <w:p>
            <w:pPr>
              <w:pStyle w:val="Normal"/>
              <w:snapToGrid w:val="false"/>
              <w:jc w:val="center"/>
              <w:rPr>
                <w:rFonts w:eastAsia="Batang;바탕"/>
                <w:sz w:val="20"/>
                <w:szCs w:val="20"/>
              </w:rPr>
            </w:pPr>
            <w:r>
              <w:rPr>
                <w:rFonts w:eastAsia="Batang;바탕"/>
                <w:sz w:val="20"/>
                <w:szCs w:val="20"/>
              </w:rPr>
              <w:t>Ед. изм.</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rFonts w:eastAsia="Batang;바탕"/>
                <w:sz w:val="20"/>
                <w:szCs w:val="20"/>
              </w:rPr>
            </w:pPr>
            <w:r>
              <w:rPr>
                <w:rFonts w:eastAsia="Batang;바탕"/>
                <w:sz w:val="20"/>
                <w:szCs w:val="20"/>
              </w:rPr>
              <w:t>Кол-во</w:t>
            </w:r>
          </w:p>
        </w:tc>
        <w:tc>
          <w:tcPr>
            <w:tcW w:w="1276" w:type="dxa"/>
            <w:tcBorders>
              <w:top w:val="single" w:sz="4" w:space="0" w:color="000000"/>
              <w:left w:val="single" w:sz="4" w:space="0" w:color="000000"/>
              <w:bottom w:val="single" w:sz="4" w:space="0" w:color="000000"/>
            </w:tcBorders>
            <w:vAlign w:val="center"/>
          </w:tcPr>
          <w:p>
            <w:pPr>
              <w:pStyle w:val="Normal"/>
              <w:snapToGrid w:val="false"/>
              <w:jc w:val="center"/>
              <w:rPr>
                <w:rFonts w:eastAsia="Batang;바탕"/>
                <w:sz w:val="20"/>
                <w:szCs w:val="20"/>
              </w:rPr>
            </w:pPr>
            <w:r>
              <w:rPr>
                <w:rFonts w:eastAsia="Batang;바탕"/>
                <w:sz w:val="20"/>
                <w:szCs w:val="20"/>
              </w:rPr>
              <w:t>Цена (руб.)</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jc w:val="center"/>
              <w:rPr>
                <w:rFonts w:eastAsia="Batang;바탕"/>
                <w:sz w:val="20"/>
                <w:szCs w:val="20"/>
              </w:rPr>
            </w:pPr>
            <w:r>
              <w:rPr>
                <w:rFonts w:eastAsia="Batang;바탕"/>
                <w:sz w:val="20"/>
                <w:szCs w:val="20"/>
              </w:rPr>
              <w:t>Сумма (руб.)</w:t>
            </w:r>
          </w:p>
        </w:tc>
      </w:tr>
      <w:tr>
        <w:trPr/>
        <w:tc>
          <w:tcPr>
            <w:tcW w:w="598"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2804"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p>
            <w:pPr>
              <w:pStyle w:val="Normal"/>
              <w:snapToGrid w:val="false"/>
              <w:jc w:val="center"/>
              <w:rPr>
                <w:rFonts w:eastAsia="Batang;바탕"/>
                <w:sz w:val="20"/>
                <w:szCs w:val="20"/>
              </w:rPr>
            </w:pPr>
            <w:r>
              <w:rPr>
                <w:rFonts w:eastAsia="Batang;바탕"/>
                <w:sz w:val="20"/>
                <w:szCs w:val="20"/>
              </w:rPr>
            </w:r>
          </w:p>
        </w:tc>
        <w:tc>
          <w:tcPr>
            <w:tcW w:w="21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708"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276"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276"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Batang;바탕"/>
                <w:sz w:val="20"/>
                <w:szCs w:val="20"/>
              </w:rPr>
            </w:pPr>
            <w:r>
              <w:rPr>
                <w:rFonts w:eastAsia="Batang;바탕"/>
                <w:sz w:val="20"/>
                <w:szCs w:val="20"/>
              </w:rPr>
            </w:r>
          </w:p>
        </w:tc>
      </w:tr>
      <w:tr>
        <w:trPr/>
        <w:tc>
          <w:tcPr>
            <w:tcW w:w="598"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2804"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p>
            <w:pPr>
              <w:pStyle w:val="Normal"/>
              <w:snapToGrid w:val="false"/>
              <w:jc w:val="center"/>
              <w:rPr>
                <w:rFonts w:eastAsia="Batang;바탕"/>
                <w:sz w:val="20"/>
                <w:szCs w:val="20"/>
              </w:rPr>
            </w:pPr>
            <w:r>
              <w:rPr>
                <w:rFonts w:eastAsia="Batang;바탕"/>
                <w:sz w:val="20"/>
                <w:szCs w:val="20"/>
              </w:rPr>
            </w:r>
          </w:p>
        </w:tc>
        <w:tc>
          <w:tcPr>
            <w:tcW w:w="2127"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708"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276"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276" w:type="dxa"/>
            <w:tcBorders>
              <w:top w:val="single" w:sz="4" w:space="0" w:color="000000"/>
              <w:left w:val="single" w:sz="4" w:space="0" w:color="000000"/>
              <w:bottom w:val="single" w:sz="4" w:space="0" w:color="000000"/>
            </w:tcBorders>
          </w:tcPr>
          <w:p>
            <w:pPr>
              <w:pStyle w:val="Normal"/>
              <w:snapToGrid w:val="false"/>
              <w:jc w:val="center"/>
              <w:rPr>
                <w:rFonts w:eastAsia="Batang;바탕"/>
                <w:sz w:val="20"/>
                <w:szCs w:val="20"/>
              </w:rPr>
            </w:pPr>
            <w:r>
              <w:rPr>
                <w:rFonts w:eastAsia="Batang;바탕"/>
                <w:sz w:val="20"/>
                <w:szCs w:val="20"/>
              </w:rPr>
            </w:r>
          </w:p>
        </w:tc>
        <w:tc>
          <w:tcPr>
            <w:tcW w:w="1378"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rFonts w:eastAsia="Batang;바탕"/>
                <w:sz w:val="20"/>
                <w:szCs w:val="20"/>
              </w:rPr>
            </w:pPr>
            <w:r>
              <w:rPr>
                <w:rFonts w:eastAsia="Batang;바탕"/>
                <w:sz w:val="20"/>
                <w:szCs w:val="20"/>
              </w:rPr>
            </w:r>
          </w:p>
        </w:tc>
      </w:tr>
    </w:tbl>
    <w:p>
      <w:pPr>
        <w:pStyle w:val="-1"/>
        <w:numPr>
          <w:ilvl w:val="0"/>
          <w:numId w:val="0"/>
        </w:numPr>
        <w:tabs>
          <w:tab w:val="left" w:pos="708" w:leader="none"/>
          <w:tab w:val="left" w:pos="851" w:leader="none"/>
        </w:tabs>
        <w:ind w:hanging="0" w:left="0" w:right="0"/>
        <w:rPr>
          <w:sz w:val="22"/>
          <w:szCs w:val="22"/>
        </w:rPr>
      </w:pPr>
      <w:r>
        <w:rPr>
          <w:rFonts w:eastAsia="Batang;바탕"/>
          <w:sz w:val="22"/>
          <w:szCs w:val="22"/>
        </w:rPr>
        <w:t>на общую сумму ______________ (_______________________________________________) рублей.</w:t>
      </w:r>
    </w:p>
    <w:p>
      <w:pPr>
        <w:pStyle w:val="-1"/>
        <w:numPr>
          <w:ilvl w:val="0"/>
          <w:numId w:val="2"/>
        </w:numPr>
        <w:tabs>
          <w:tab w:val="left" w:pos="708" w:leader="none"/>
          <w:tab w:val="left" w:pos="851" w:leader="none"/>
        </w:tabs>
        <w:rPr>
          <w:sz w:val="22"/>
          <w:szCs w:val="22"/>
        </w:rPr>
      </w:pPr>
      <w:r>
        <w:rPr>
          <w:sz w:val="22"/>
          <w:szCs w:val="22"/>
        </w:rPr>
        <w:t>Представителем Поставщика переданы документы: _________________________________________</w:t>
      </w:r>
    </w:p>
    <w:p>
      <w:pPr>
        <w:pStyle w:val="Normal"/>
        <w:autoSpaceDE w:val="false"/>
        <w:jc w:val="both"/>
        <w:rPr>
          <w:sz w:val="22"/>
          <w:szCs w:val="22"/>
        </w:rPr>
      </w:pPr>
      <w:r>
        <w:rPr>
          <w:sz w:val="22"/>
          <w:szCs w:val="22"/>
        </w:rPr>
        <w:t>____________________________________________________________________________________________</w:t>
      </w:r>
      <w:r>
        <w:rPr>
          <w:sz w:val="22"/>
          <w:szCs w:val="22"/>
          <w:u w:val="single"/>
        </w:rPr>
        <w:t xml:space="preserve">____________________________________________________________________________________________    </w:t>
      </w:r>
    </w:p>
    <w:p>
      <w:pPr>
        <w:pStyle w:val="Normal"/>
        <w:numPr>
          <w:ilvl w:val="0"/>
          <w:numId w:val="2"/>
        </w:numPr>
        <w:autoSpaceDE w:val="false"/>
        <w:ind w:firstLine="360" w:left="0" w:right="0"/>
        <w:jc w:val="both"/>
        <w:rPr>
          <w:b/>
          <w:bCs/>
          <w:sz w:val="22"/>
          <w:szCs w:val="22"/>
        </w:rPr>
      </w:pPr>
      <w:r>
        <w:rPr>
          <w:sz w:val="22"/>
          <w:szCs w:val="22"/>
        </w:rPr>
        <w:t>Экспертиза соответствия результатов исполнения Контракта проведена Комиссией на основании пункта 3 Контракта, Положения о приёмочной комиссии Заказчика и в соответствии с ч. 3 ст. 94 Закона № 44-ФЗ путем визуального осмотра и сверки поставленных товаров (работ, услуг) с представленными документами____________________________________________________________________________________________________________________________________________________________________________  .</w:t>
      </w:r>
    </w:p>
    <w:p>
      <w:pPr>
        <w:pStyle w:val="Normal"/>
        <w:autoSpaceDE w:val="false"/>
        <w:jc w:val="both"/>
        <w:rPr>
          <w:sz w:val="22"/>
          <w:szCs w:val="22"/>
        </w:rPr>
      </w:pPr>
      <w:r>
        <w:rPr>
          <w:b/>
          <w:bCs/>
          <w:sz w:val="22"/>
          <w:szCs w:val="22"/>
        </w:rPr>
        <w:t>Решение комиссии:</w:t>
      </w:r>
    </w:p>
    <w:p>
      <w:pPr>
        <w:pStyle w:val="Normal"/>
        <w:autoSpaceDE w:val="false"/>
        <w:ind w:firstLine="426" w:right="0"/>
        <w:jc w:val="both"/>
        <w:rPr>
          <w:sz w:val="22"/>
          <w:szCs w:val="22"/>
        </w:rPr>
      </w:pPr>
      <w:r>
        <w:rPr>
          <w:sz w:val="22"/>
          <w:szCs w:val="22"/>
        </w:rPr>
        <w:t>4.</w:t>
      </w:r>
      <w:r>
        <w:rPr>
          <w:color w:val="000000"/>
          <w:sz w:val="22"/>
          <w:szCs w:val="22"/>
        </w:rPr>
        <w:t xml:space="preserve"> Комиссия приняла решения о принятии (не принятии) поставленного товара. </w:t>
      </w:r>
    </w:p>
    <w:p>
      <w:pPr>
        <w:pStyle w:val="Normal"/>
        <w:autoSpaceDE w:val="false"/>
        <w:ind w:firstLine="426" w:right="0"/>
        <w:jc w:val="both"/>
        <w:rPr>
          <w:sz w:val="22"/>
          <w:szCs w:val="22"/>
        </w:rPr>
      </w:pPr>
      <w:r>
        <w:rPr>
          <w:sz w:val="22"/>
          <w:szCs w:val="22"/>
        </w:rPr>
        <w:t xml:space="preserve">5. На момент приемки у Заказчика </w:t>
      </w:r>
      <w:r>
        <w:rPr>
          <w:b/>
          <w:iCs/>
          <w:sz w:val="22"/>
          <w:szCs w:val="22"/>
        </w:rPr>
        <w:t xml:space="preserve">нет (есть) </w:t>
      </w:r>
      <w:r>
        <w:rPr>
          <w:sz w:val="22"/>
          <w:szCs w:val="22"/>
        </w:rPr>
        <w:t>претензии к Поставщику. Недостатки в поставленном товаре</w:t>
      </w:r>
      <w:r>
        <w:rPr>
          <w:i/>
          <w:iCs/>
          <w:sz w:val="22"/>
          <w:szCs w:val="22"/>
        </w:rPr>
        <w:t xml:space="preserve"> </w:t>
      </w:r>
      <w:r>
        <w:rPr>
          <w:b/>
          <w:iCs/>
          <w:sz w:val="22"/>
          <w:szCs w:val="22"/>
        </w:rPr>
        <w:t>не выявлены (выявлены)</w:t>
      </w:r>
      <w:r>
        <w:rPr>
          <w:sz w:val="22"/>
          <w:szCs w:val="22"/>
        </w:rPr>
        <w:t>.</w:t>
      </w:r>
    </w:p>
    <w:p>
      <w:pPr>
        <w:pStyle w:val="Normal"/>
        <w:autoSpaceDE w:val="false"/>
        <w:ind w:firstLine="426" w:right="0"/>
        <w:jc w:val="both"/>
        <w:rPr>
          <w:sz w:val="22"/>
          <w:szCs w:val="22"/>
        </w:rPr>
      </w:pPr>
      <w:r>
        <w:rPr>
          <w:sz w:val="22"/>
          <w:szCs w:val="22"/>
        </w:rPr>
        <w:t>6.Стоимость______________________________________________________________________________</w:t>
      </w:r>
    </w:p>
    <w:p>
      <w:pPr>
        <w:pStyle w:val="Normal"/>
        <w:autoSpaceDE w:val="false"/>
        <w:ind w:firstLine="426" w:right="0"/>
        <w:jc w:val="both"/>
        <w:rPr>
          <w:sz w:val="22"/>
          <w:szCs w:val="22"/>
        </w:rPr>
      </w:pPr>
      <w:r>
        <w:rPr>
          <w:sz w:val="22"/>
          <w:szCs w:val="22"/>
        </w:rPr>
        <w:t>7. Акт составлен в двух экземплярах, имеющих равную юридическую силу, по одному для Заказчика и Поставщика.</w:t>
      </w:r>
    </w:p>
    <w:p>
      <w:pPr>
        <w:pStyle w:val="Normal"/>
        <w:autoSpaceDE w:val="false"/>
        <w:ind w:firstLine="426" w:right="0"/>
        <w:jc w:val="both"/>
        <w:rPr>
          <w:sz w:val="22"/>
          <w:szCs w:val="22"/>
        </w:rPr>
      </w:pPr>
      <w:r>
        <w:rPr>
          <w:sz w:val="22"/>
          <w:szCs w:val="22"/>
        </w:rPr>
        <w:t>8. Приложение: Документы, указанные в п. 2 настоящего Акта приёма передачи товаров (работ, услуг).</w:t>
      </w:r>
    </w:p>
    <w:p>
      <w:pPr>
        <w:pStyle w:val="Normal"/>
        <w:autoSpaceDE w:val="false"/>
        <w:jc w:val="both"/>
        <w:rPr>
          <w:sz w:val="22"/>
          <w:szCs w:val="22"/>
        </w:rPr>
      </w:pPr>
      <w:r>
        <w:rPr>
          <w:sz w:val="22"/>
          <w:szCs w:val="22"/>
        </w:rPr>
      </w:r>
    </w:p>
    <w:p>
      <w:pPr>
        <w:pStyle w:val="Normal"/>
        <w:autoSpaceDE w:val="false"/>
        <w:jc w:val="both"/>
        <w:rPr>
          <w:sz w:val="22"/>
          <w:szCs w:val="22"/>
        </w:rPr>
      </w:pPr>
      <w:r>
        <w:rPr>
          <w:sz w:val="22"/>
          <w:szCs w:val="22"/>
        </w:rPr>
      </w:r>
    </w:p>
    <w:tbl>
      <w:tblPr>
        <w:tblW w:w="13434" w:type="dxa"/>
        <w:jc w:val="left"/>
        <w:tblInd w:w="534" w:type="dxa"/>
        <w:tblLayout w:type="fixed"/>
        <w:tblCellMar>
          <w:top w:w="0" w:type="dxa"/>
          <w:left w:w="108" w:type="dxa"/>
          <w:bottom w:w="0" w:type="dxa"/>
          <w:right w:w="108" w:type="dxa"/>
        </w:tblCellMar>
      </w:tblPr>
      <w:tblGrid>
        <w:gridCol w:w="4819"/>
        <w:gridCol w:w="4394"/>
        <w:gridCol w:w="251"/>
        <w:gridCol w:w="3970"/>
      </w:tblGrid>
      <w:tr>
        <w:trPr>
          <w:trHeight w:val="2809" w:hRule="atLeast"/>
        </w:trPr>
        <w:tc>
          <w:tcPr>
            <w:tcW w:w="4819" w:type="dxa"/>
            <w:tcBorders/>
          </w:tcPr>
          <w:p>
            <w:pPr>
              <w:pStyle w:val="Normal"/>
              <w:widowControl w:val="false"/>
              <w:tabs>
                <w:tab w:val="clear" w:pos="708"/>
                <w:tab w:val="left" w:pos="284" w:leader="none"/>
              </w:tabs>
              <w:spacing w:lineRule="auto" w:line="300"/>
              <w:jc w:val="both"/>
              <w:rPr>
                <w:rFonts w:eastAsia="Calibri"/>
                <w:sz w:val="22"/>
                <w:szCs w:val="22"/>
                <w:lang w:eastAsia="en-US"/>
              </w:rPr>
            </w:pPr>
            <w:r>
              <w:rPr>
                <w:sz w:val="22"/>
                <w:szCs w:val="22"/>
              </w:rPr>
              <w:t xml:space="preserve"> </w:t>
            </w:r>
            <w:r>
              <w:rPr>
                <w:b/>
                <w:bCs/>
                <w:sz w:val="22"/>
                <w:szCs w:val="22"/>
              </w:rPr>
              <w:t>Приёмочная комиссия Заказчика:</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 xml:space="preserve">Председатель комиссии:                                            </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_____________ (_____________________)</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Члены комиссии</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____________  (______________________)</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____________  (______________________)</w:t>
            </w:r>
          </w:p>
          <w:p>
            <w:pPr>
              <w:pStyle w:val="Normal"/>
              <w:widowControl w:val="false"/>
              <w:tabs>
                <w:tab w:val="clear" w:pos="708"/>
                <w:tab w:val="left" w:pos="284" w:leader="none"/>
              </w:tabs>
              <w:jc w:val="both"/>
              <w:rPr>
                <w:rFonts w:eastAsia="Calibri"/>
                <w:sz w:val="22"/>
                <w:szCs w:val="22"/>
                <w:lang w:eastAsia="en-US"/>
              </w:rPr>
            </w:pPr>
            <w:r>
              <w:rPr>
                <w:rFonts w:eastAsia="Calibri"/>
                <w:sz w:val="22"/>
                <w:szCs w:val="22"/>
                <w:lang w:eastAsia="en-US"/>
              </w:rPr>
              <w:t>____________  (______________________)</w:t>
            </w:r>
          </w:p>
          <w:p>
            <w:pPr>
              <w:pStyle w:val="Normal"/>
              <w:widowControl w:val="false"/>
              <w:tabs>
                <w:tab w:val="clear" w:pos="708"/>
                <w:tab w:val="left" w:pos="284" w:leader="none"/>
              </w:tabs>
              <w:jc w:val="both"/>
              <w:rPr>
                <w:sz w:val="22"/>
                <w:szCs w:val="22"/>
              </w:rPr>
            </w:pPr>
            <w:r>
              <w:rPr>
                <w:rFonts w:eastAsia="Calibri"/>
                <w:sz w:val="22"/>
                <w:szCs w:val="22"/>
                <w:lang w:eastAsia="en-US"/>
              </w:rPr>
              <w:t>____________  (______________________)</w:t>
            </w:r>
          </w:p>
          <w:p>
            <w:pPr>
              <w:pStyle w:val="Normal"/>
              <w:widowControl w:val="false"/>
              <w:autoSpaceDE w:val="false"/>
              <w:jc w:val="both"/>
              <w:rPr>
                <w:sz w:val="22"/>
                <w:szCs w:val="22"/>
              </w:rPr>
            </w:pPr>
            <w:r>
              <w:rPr>
                <w:sz w:val="22"/>
                <w:szCs w:val="22"/>
              </w:rPr>
            </w:r>
          </w:p>
          <w:p>
            <w:pPr>
              <w:pStyle w:val="Normal"/>
              <w:widowControl w:val="false"/>
              <w:autoSpaceDE w:val="false"/>
              <w:jc w:val="both"/>
              <w:rPr>
                <w:sz w:val="16"/>
                <w:szCs w:val="16"/>
              </w:rPr>
            </w:pPr>
            <w:r>
              <w:rPr>
                <w:sz w:val="22"/>
                <w:szCs w:val="22"/>
              </w:rPr>
              <w:t>« ___ » _______________ 2026 г.</w:t>
            </w:r>
          </w:p>
          <w:p>
            <w:pPr>
              <w:pStyle w:val="Normal"/>
              <w:widowControl w:val="false"/>
              <w:tabs>
                <w:tab w:val="clear" w:pos="708"/>
                <w:tab w:val="left" w:pos="270" w:leader="none"/>
              </w:tabs>
              <w:autoSpaceDE w:val="false"/>
              <w:ind w:firstLine="34" w:right="0"/>
              <w:rPr>
                <w:sz w:val="16"/>
                <w:szCs w:val="16"/>
              </w:rPr>
            </w:pPr>
            <w:r>
              <w:rPr>
                <w:sz w:val="16"/>
                <w:szCs w:val="16"/>
              </w:rPr>
              <w:t>М.П</w:t>
            </w:r>
          </w:p>
        </w:tc>
        <w:tc>
          <w:tcPr>
            <w:tcW w:w="4394" w:type="dxa"/>
            <w:tcBorders/>
          </w:tcPr>
          <w:p>
            <w:pPr>
              <w:pStyle w:val="ConsDTNormal"/>
              <w:autoSpaceDE w:val="true"/>
              <w:rPr>
                <w:b/>
                <w:sz w:val="22"/>
                <w:szCs w:val="22"/>
              </w:rPr>
            </w:pPr>
            <w:r>
              <w:rPr>
                <w:b/>
                <w:sz w:val="22"/>
                <w:szCs w:val="22"/>
              </w:rPr>
              <w:t>Представитель Поставщика:</w:t>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rPr>
                <w:b/>
                <w:sz w:val="22"/>
                <w:szCs w:val="22"/>
              </w:rPr>
            </w:pPr>
            <w:r>
              <w:rPr>
                <w:b/>
                <w:sz w:val="22"/>
                <w:szCs w:val="22"/>
              </w:rPr>
            </w:r>
          </w:p>
          <w:p>
            <w:pPr>
              <w:pStyle w:val="Normal"/>
              <w:widowControl w:val="false"/>
              <w:autoSpaceDE w:val="false"/>
              <w:spacing w:lineRule="auto" w:line="276"/>
              <w:jc w:val="both"/>
              <w:rPr>
                <w:b/>
                <w:sz w:val="22"/>
                <w:szCs w:val="22"/>
              </w:rPr>
            </w:pPr>
            <w:r>
              <w:rPr>
                <w:b/>
                <w:sz w:val="22"/>
                <w:szCs w:val="22"/>
              </w:rPr>
            </w:r>
          </w:p>
          <w:p>
            <w:pPr>
              <w:pStyle w:val="Normal"/>
              <w:widowControl w:val="false"/>
              <w:autoSpaceDE w:val="false"/>
              <w:spacing w:lineRule="auto" w:line="276"/>
              <w:jc w:val="both"/>
              <w:rPr>
                <w:sz w:val="16"/>
                <w:szCs w:val="16"/>
              </w:rPr>
            </w:pPr>
            <w:r>
              <w:rPr>
                <w:sz w:val="22"/>
                <w:szCs w:val="22"/>
              </w:rPr>
              <w:t>« ___ » ____________ 2026 г.</w:t>
            </w:r>
          </w:p>
          <w:p>
            <w:pPr>
              <w:pStyle w:val="Normal"/>
              <w:widowControl w:val="false"/>
              <w:autoSpaceDE w:val="false"/>
              <w:spacing w:lineRule="auto" w:line="276"/>
              <w:jc w:val="both"/>
              <w:rPr>
                <w:sz w:val="22"/>
                <w:szCs w:val="22"/>
              </w:rPr>
            </w:pPr>
            <w:r>
              <w:rPr>
                <w:sz w:val="16"/>
                <w:szCs w:val="16"/>
              </w:rPr>
              <w:t>М.П.</w:t>
            </w:r>
          </w:p>
          <w:p>
            <w:pPr>
              <w:pStyle w:val="Normal"/>
              <w:rPr>
                <w:sz w:val="22"/>
                <w:szCs w:val="22"/>
              </w:rPr>
            </w:pPr>
            <w:r>
              <w:rPr>
                <w:sz w:val="22"/>
                <w:szCs w:val="22"/>
              </w:rPr>
            </w:r>
          </w:p>
        </w:tc>
        <w:tc>
          <w:tcPr>
            <w:tcW w:w="251" w:type="dxa"/>
            <w:tcBorders/>
          </w:tcPr>
          <w:p>
            <w:pPr>
              <w:pStyle w:val="ConsDTNormal"/>
              <w:autoSpaceDE w:val="true"/>
              <w:snapToGrid w:val="false"/>
              <w:rPr>
                <w:sz w:val="22"/>
                <w:szCs w:val="22"/>
              </w:rPr>
            </w:pPr>
            <w:r>
              <w:rPr>
                <w:sz w:val="22"/>
                <w:szCs w:val="22"/>
              </w:rPr>
            </w:r>
          </w:p>
        </w:tc>
        <w:tc>
          <w:tcPr>
            <w:tcW w:w="3970" w:type="dxa"/>
            <w:tcBorders/>
          </w:tcPr>
          <w:p>
            <w:pPr>
              <w:pStyle w:val="ConsDTNormal"/>
              <w:autoSpaceDE w:val="true"/>
              <w:snapToGrid w:val="false"/>
              <w:rPr>
                <w:b/>
                <w:bCs/>
                <w:sz w:val="22"/>
                <w:szCs w:val="22"/>
              </w:rPr>
            </w:pPr>
            <w:r>
              <w:rPr>
                <w:b/>
                <w:bCs/>
                <w:sz w:val="22"/>
                <w:szCs w:val="22"/>
              </w:rPr>
            </w:r>
          </w:p>
        </w:tc>
      </w:tr>
    </w:tbl>
    <w:p>
      <w:pPr>
        <w:pStyle w:val="Normal"/>
        <w:tabs>
          <w:tab w:val="clear" w:pos="708"/>
          <w:tab w:val="left" w:pos="8256" w:leader="none"/>
        </w:tabs>
        <w:autoSpaceDE w:val="false"/>
        <w:rPr/>
      </w:pPr>
      <w:r>
        <w:rPr/>
      </w:r>
    </w:p>
    <w:p>
      <w:pPr>
        <w:pStyle w:val="Normal"/>
        <w:tabs>
          <w:tab w:val="clear" w:pos="708"/>
          <w:tab w:val="left" w:pos="8256" w:leader="none"/>
        </w:tabs>
        <w:autoSpaceDE w:val="false"/>
        <w:rPr/>
      </w:pPr>
      <w:r>
        <w:rPr/>
      </w:r>
    </w:p>
    <w:p>
      <w:pPr>
        <w:pStyle w:val="Normal"/>
        <w:tabs>
          <w:tab w:val="clear" w:pos="708"/>
          <w:tab w:val="left" w:pos="8256" w:leader="none"/>
        </w:tabs>
        <w:autoSpaceDE w:val="false"/>
        <w:rPr/>
      </w:pPr>
      <w:r>
        <w:rPr/>
      </w:r>
    </w:p>
    <w:sectPr>
      <w:headerReference w:type="default" r:id="rId4"/>
      <w:footerReference w:type="default" r:id="rId5"/>
      <w:type w:val="nextPage"/>
      <w:pgSz w:w="11906" w:h="16838"/>
      <w:pgMar w:left="1134" w:right="567" w:gutter="0" w:header="284" w:top="851" w:footer="284"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cc"/>
    <w:family w:val="roman"/>
    <w:pitch w:val="variable"/>
  </w:font>
  <w:font w:name="Cambria">
    <w:charset w:val="cc"/>
    <w:family w:val="roman"/>
    <w:pitch w:val="variable"/>
  </w:font>
  <w:font w:name="Arial">
    <w:charset w:val="cc"/>
    <w:family w:val="swiss"/>
    <w:pitch w:val="variable"/>
  </w:font>
  <w:font w:name="Courier New">
    <w:charset w:val="cc"/>
    <w:family w:val="modern"/>
    <w:pitch w:val="default"/>
  </w:font>
  <w:font w:name="Calibri">
    <w:charset w:val="cc"/>
    <w:family w:val="swiss"/>
    <w:pitch w:val="variable"/>
  </w:font>
  <w:font w:name="Tahoma">
    <w:charset w:val="cc"/>
    <w:family w:val="swiss"/>
    <w:pitch w:val="variable"/>
  </w:font>
  <w:font w:name="Verdan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decimal"/>
      <w:lvlText w:val="%1."/>
      <w:lvlJc w:val="left"/>
      <w:pPr>
        <w:tabs>
          <w:tab w:val="num" w:pos="0"/>
        </w:tabs>
        <w:ind w:left="405" w:hanging="360"/>
      </w:pPr>
      <w:rPr/>
    </w:lvl>
  </w:abstractNum>
  <w:abstractNum w:abstractNumId="4">
    <w:lvl w:ilvl="0">
      <w:start w:val="3"/>
      <w:numFmt w:val="decimal"/>
      <w:lvlText w:val="%1."/>
      <w:lvlJc w:val="left"/>
      <w:pPr>
        <w:tabs>
          <w:tab w:val="num" w:pos="0"/>
        </w:tabs>
        <w:ind w:left="405" w:hanging="360"/>
      </w:pPr>
      <w:rPr/>
    </w:lvl>
  </w:abstractNum>
  <w:abstractNum w:abstractNumId="5">
    <w:lvl w:ilvl="0">
      <w:start w:val="1"/>
      <w:numFmt w:val="decimal"/>
      <w:lvlText w:val="%1."/>
      <w:lvlJc w:val="center"/>
      <w:pPr>
        <w:tabs>
          <w:tab w:val="num" w:pos="0"/>
        </w:tabs>
        <w:ind w:left="0" w:hanging="0"/>
      </w:pPr>
      <w:rPr>
        <w:i w:val="false"/>
        <w:b/>
      </w:rPr>
    </w:lvl>
    <w:lvl w:ilvl="1">
      <w:start w:val="1"/>
      <w:numFmt w:val="decimal"/>
      <w:lvlText w:val="%1.%2"/>
      <w:lvlJc w:val="left"/>
      <w:pPr>
        <w:tabs>
          <w:tab w:val="num" w:pos="993"/>
        </w:tabs>
        <w:ind w:left="993"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000000"/>
      </w:rPr>
    </w:lvl>
    <w:lvl w:ilvl="2">
      <w:start w:val="1"/>
      <w:numFmt w:val="decimal"/>
      <w:lvlText w:val="%1.%2.%3"/>
      <w:lvlJc w:val="left"/>
      <w:pPr>
        <w:tabs>
          <w:tab w:val="num" w:pos="851"/>
        </w:tabs>
        <w:ind w:left="851" w:hanging="851"/>
      </w:pPr>
      <w:rPr>
        <w:i w:val="false"/>
        <w:b w:val="false"/>
        <w:iCs w:val="false"/>
        <w:bCs w:val="false"/>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4"/>
        <w:sz w:val="24"/>
        <w:spacing w:val="0"/>
        <w:i w:val="false"/>
        <w:u w:val="none"/>
        <w:b w:val="false"/>
        <w:kern w:val="0"/>
        <w:iCs w:val="false"/>
        <w:bCs w:val="false"/>
        <w:w w:val="100"/>
        <w:vanish w:val="false"/>
        <w:rFonts w:cs="Times New Roman"/>
        <w:color w:val="000000"/>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6">
    <w:lvl w:ilvl="0">
      <w:start w:val="6"/>
      <w:numFmt w:val="decimal"/>
      <w:lvlText w:val="%1."/>
      <w:lvlJc w:val="left"/>
      <w:pPr>
        <w:tabs>
          <w:tab w:val="num" w:pos="0"/>
        </w:tabs>
        <w:ind w:left="360" w:hanging="360"/>
      </w:pPr>
      <w:rPr>
        <w:b w:val="false"/>
        <w:bCs w:val="false"/>
      </w:rPr>
    </w:lvl>
    <w:lvl w:ilvl="1">
      <w:start w:val="1"/>
      <w:numFmt w:val="decimal"/>
      <w:lvlText w:val="%1.%2."/>
      <w:lvlJc w:val="left"/>
      <w:pPr>
        <w:tabs>
          <w:tab w:val="num" w:pos="0"/>
        </w:tabs>
        <w:ind w:left="927" w:hanging="360"/>
      </w:pPr>
      <w:rPr>
        <w:b w:val="false"/>
        <w:bCs w:val="false"/>
      </w:rPr>
    </w:lvl>
    <w:lvl w:ilvl="2">
      <w:start w:val="1"/>
      <w:numFmt w:val="decimal"/>
      <w:lvlText w:val="%1.%2.%3."/>
      <w:lvlJc w:val="left"/>
      <w:pPr>
        <w:tabs>
          <w:tab w:val="num" w:pos="0"/>
        </w:tabs>
        <w:ind w:left="1854" w:hanging="720"/>
      </w:pPr>
      <w:rPr>
        <w:b w:val="false"/>
        <w:bCs w:val="false"/>
      </w:rPr>
    </w:lvl>
    <w:lvl w:ilvl="3">
      <w:start w:val="1"/>
      <w:numFmt w:val="decimal"/>
      <w:lvlText w:val="%1.%2.%3.%4."/>
      <w:lvlJc w:val="left"/>
      <w:pPr>
        <w:tabs>
          <w:tab w:val="num" w:pos="0"/>
        </w:tabs>
        <w:ind w:left="2421" w:hanging="720"/>
      </w:pPr>
      <w:rPr>
        <w:b w:val="false"/>
        <w:bCs w:val="false"/>
      </w:rPr>
    </w:lvl>
    <w:lvl w:ilvl="4">
      <w:start w:val="1"/>
      <w:numFmt w:val="decimal"/>
      <w:lvlText w:val="%1.%2.%3.%4.%5."/>
      <w:lvlJc w:val="left"/>
      <w:pPr>
        <w:tabs>
          <w:tab w:val="num" w:pos="0"/>
        </w:tabs>
        <w:ind w:left="3348" w:hanging="1080"/>
      </w:pPr>
      <w:rPr>
        <w:b w:val="false"/>
        <w:bCs w:val="false"/>
      </w:rPr>
    </w:lvl>
    <w:lvl w:ilvl="5">
      <w:start w:val="1"/>
      <w:numFmt w:val="decimal"/>
      <w:lvlText w:val="%1.%2.%3.%4.%5.%6."/>
      <w:lvlJc w:val="left"/>
      <w:pPr>
        <w:tabs>
          <w:tab w:val="num" w:pos="0"/>
        </w:tabs>
        <w:ind w:left="3915" w:hanging="1080"/>
      </w:pPr>
      <w:rPr>
        <w:b w:val="false"/>
        <w:bCs w:val="false"/>
      </w:rPr>
    </w:lvl>
    <w:lvl w:ilvl="6">
      <w:start w:val="1"/>
      <w:numFmt w:val="decimal"/>
      <w:lvlText w:val="%1.%2.%3.%4.%5.%6.%7."/>
      <w:lvlJc w:val="left"/>
      <w:pPr>
        <w:tabs>
          <w:tab w:val="num" w:pos="0"/>
        </w:tabs>
        <w:ind w:left="4842" w:hanging="1440"/>
      </w:pPr>
      <w:rPr>
        <w:b w:val="false"/>
        <w:bCs w:val="false"/>
      </w:rPr>
    </w:lvl>
    <w:lvl w:ilvl="7">
      <w:start w:val="1"/>
      <w:numFmt w:val="decimal"/>
      <w:lvlText w:val="%1.%2.%3.%4.%5.%6.%7.%8."/>
      <w:lvlJc w:val="left"/>
      <w:pPr>
        <w:tabs>
          <w:tab w:val="num" w:pos="0"/>
        </w:tabs>
        <w:ind w:left="5409" w:hanging="1440"/>
      </w:pPr>
      <w:rPr>
        <w:b w:val="false"/>
        <w:bCs w:val="false"/>
      </w:rPr>
    </w:lvl>
    <w:lvl w:ilvl="8">
      <w:start w:val="1"/>
      <w:numFmt w:val="decimal"/>
      <w:lvlText w:val="%1.%2.%3.%4.%5.%6.%7.%8.%9."/>
      <w:lvlJc w:val="left"/>
      <w:pPr>
        <w:tabs>
          <w:tab w:val="num" w:pos="0"/>
        </w:tabs>
        <w:ind w:left="6336" w:hanging="1800"/>
      </w:pPr>
      <w:rPr>
        <w:b w:val="false"/>
        <w:bCs w:val="false"/>
      </w:rPr>
    </w:lvl>
  </w:abstractNum>
  <w:abstractNum w:abstractNumId="7">
    <w:lvl w:ilvl="0">
      <w:start w:val="7"/>
      <w:numFmt w:val="decimal"/>
      <w:lvlText w:val="%1."/>
      <w:lvlJc w:val="left"/>
      <w:pPr>
        <w:tabs>
          <w:tab w:val="num" w:pos="0"/>
        </w:tabs>
        <w:ind w:left="540" w:hanging="540"/>
      </w:pPr>
      <w:rPr>
        <w:i w:val="false"/>
        <w:b w:val="false"/>
        <w:iCs w:val="false"/>
        <w:bCs w:val="false"/>
      </w:rPr>
    </w:lvl>
    <w:lvl w:ilvl="1">
      <w:start w:val="2"/>
      <w:numFmt w:val="decimal"/>
      <w:lvlText w:val="%1.%2."/>
      <w:lvlJc w:val="left"/>
      <w:pPr>
        <w:tabs>
          <w:tab w:val="num" w:pos="0"/>
        </w:tabs>
        <w:ind w:left="895" w:hanging="540"/>
      </w:pPr>
      <w:rPr>
        <w:i w:val="false"/>
        <w:b w:val="false"/>
        <w:iCs w:val="false"/>
        <w:bCs w:val="false"/>
      </w:rPr>
    </w:lvl>
    <w:lvl w:ilvl="2">
      <w:start w:val="1"/>
      <w:numFmt w:val="decimal"/>
      <w:lvlText w:val="%1.%2.%3."/>
      <w:lvlJc w:val="left"/>
      <w:pPr>
        <w:tabs>
          <w:tab w:val="num" w:pos="0"/>
        </w:tabs>
        <w:ind w:left="1430" w:hanging="720"/>
      </w:pPr>
      <w:rPr>
        <w:i w:val="false"/>
        <w:b w:val="false"/>
        <w:iCs w:val="false"/>
        <w:bCs w:val="false"/>
      </w:rPr>
    </w:lvl>
    <w:lvl w:ilvl="3">
      <w:start w:val="1"/>
      <w:numFmt w:val="decimal"/>
      <w:lvlText w:val="%1.%2.%3.%4."/>
      <w:lvlJc w:val="left"/>
      <w:pPr>
        <w:tabs>
          <w:tab w:val="num" w:pos="0"/>
        </w:tabs>
        <w:ind w:left="1785" w:hanging="720"/>
      </w:pPr>
      <w:rPr>
        <w:i w:val="false"/>
        <w:b w:val="false"/>
        <w:iCs w:val="false"/>
        <w:bCs w:val="false"/>
      </w:rPr>
    </w:lvl>
    <w:lvl w:ilvl="4">
      <w:start w:val="1"/>
      <w:numFmt w:val="decimal"/>
      <w:lvlText w:val="%1.%2.%3.%4.%5."/>
      <w:lvlJc w:val="left"/>
      <w:pPr>
        <w:tabs>
          <w:tab w:val="num" w:pos="0"/>
        </w:tabs>
        <w:ind w:left="2500" w:hanging="1080"/>
      </w:pPr>
      <w:rPr>
        <w:i w:val="false"/>
        <w:b w:val="false"/>
        <w:iCs w:val="false"/>
        <w:bCs w:val="false"/>
      </w:rPr>
    </w:lvl>
    <w:lvl w:ilvl="5">
      <w:start w:val="1"/>
      <w:numFmt w:val="decimal"/>
      <w:lvlText w:val="%1.%2.%3.%4.%5.%6."/>
      <w:lvlJc w:val="left"/>
      <w:pPr>
        <w:tabs>
          <w:tab w:val="num" w:pos="0"/>
        </w:tabs>
        <w:ind w:left="2855" w:hanging="1080"/>
      </w:pPr>
      <w:rPr>
        <w:i w:val="false"/>
        <w:b w:val="false"/>
        <w:iCs w:val="false"/>
        <w:bCs w:val="false"/>
      </w:rPr>
    </w:lvl>
    <w:lvl w:ilvl="6">
      <w:start w:val="1"/>
      <w:numFmt w:val="decimal"/>
      <w:lvlText w:val="%1.%2.%3.%4.%5.%6.%7."/>
      <w:lvlJc w:val="left"/>
      <w:pPr>
        <w:tabs>
          <w:tab w:val="num" w:pos="0"/>
        </w:tabs>
        <w:ind w:left="3570" w:hanging="1440"/>
      </w:pPr>
      <w:rPr>
        <w:i w:val="false"/>
        <w:b w:val="false"/>
        <w:iCs w:val="false"/>
        <w:bCs w:val="false"/>
      </w:rPr>
    </w:lvl>
    <w:lvl w:ilvl="7">
      <w:start w:val="1"/>
      <w:numFmt w:val="decimal"/>
      <w:lvlText w:val="%1.%2.%3.%4.%5.%6.%7.%8."/>
      <w:lvlJc w:val="left"/>
      <w:pPr>
        <w:tabs>
          <w:tab w:val="num" w:pos="0"/>
        </w:tabs>
        <w:ind w:left="3925" w:hanging="1440"/>
      </w:pPr>
      <w:rPr>
        <w:i w:val="false"/>
        <w:b w:val="false"/>
        <w:iCs w:val="false"/>
        <w:bCs w:val="false"/>
      </w:rPr>
    </w:lvl>
    <w:lvl w:ilvl="8">
      <w:start w:val="1"/>
      <w:numFmt w:val="decimal"/>
      <w:lvlText w:val="%1.%2.%3.%4.%5.%6.%7.%8.%9."/>
      <w:lvlJc w:val="left"/>
      <w:pPr>
        <w:tabs>
          <w:tab w:val="num" w:pos="0"/>
        </w:tabs>
        <w:ind w:left="4640" w:hanging="1800"/>
      </w:pPr>
      <w:rPr>
        <w:i w:val="false"/>
        <w:b w:val="false"/>
        <w:iCs w:val="false"/>
        <w:bCs w:val="false"/>
      </w:rPr>
    </w:lvl>
  </w:abstractNum>
  <w:abstractNum w:abstractNumId="8">
    <w:lvl w:ilvl="0">
      <w:start w:val="8"/>
      <w:numFmt w:val="decimal"/>
      <w:lvlText w:val="%1."/>
      <w:lvlJc w:val="left"/>
      <w:pPr>
        <w:tabs>
          <w:tab w:val="num" w:pos="708"/>
        </w:tabs>
        <w:ind w:left="360" w:hanging="360"/>
      </w:pPr>
      <w:rPr/>
    </w:lvl>
    <w:lvl w:ilvl="1">
      <w:start w:val="2"/>
      <w:numFmt w:val="decimal"/>
      <w:lvlText w:val="%1.%2."/>
      <w:lvlJc w:val="left"/>
      <w:pPr>
        <w:tabs>
          <w:tab w:val="num" w:pos="0"/>
        </w:tabs>
        <w:ind w:left="1070" w:hanging="360"/>
      </w:pPr>
      <w:rPr/>
    </w:lvl>
    <w:lvl w:ilvl="2">
      <w:start w:val="1"/>
      <w:numFmt w:val="decimal"/>
      <w:lvlText w:val="%1.%2.%3."/>
      <w:lvlJc w:val="left"/>
      <w:pPr>
        <w:tabs>
          <w:tab w:val="num" w:pos="0"/>
        </w:tabs>
        <w:ind w:left="2140" w:hanging="720"/>
      </w:pPr>
      <w:rPr/>
    </w:lvl>
    <w:lvl w:ilvl="3">
      <w:start w:val="1"/>
      <w:numFmt w:val="decimal"/>
      <w:lvlText w:val="%1.%2.%3.%4."/>
      <w:lvlJc w:val="left"/>
      <w:pPr>
        <w:tabs>
          <w:tab w:val="num" w:pos="0"/>
        </w:tabs>
        <w:ind w:left="2850" w:hanging="720"/>
      </w:pPr>
      <w:rPr/>
    </w:lvl>
    <w:lvl w:ilvl="4">
      <w:start w:val="1"/>
      <w:numFmt w:val="decimal"/>
      <w:lvlText w:val="%1.%2.%3.%4.%5."/>
      <w:lvlJc w:val="left"/>
      <w:pPr>
        <w:tabs>
          <w:tab w:val="num" w:pos="0"/>
        </w:tabs>
        <w:ind w:left="3920" w:hanging="1080"/>
      </w:pPr>
      <w:rPr/>
    </w:lvl>
    <w:lvl w:ilvl="5">
      <w:start w:val="1"/>
      <w:numFmt w:val="decimal"/>
      <w:lvlText w:val="%1.%2.%3.%4.%5.%6."/>
      <w:lvlJc w:val="left"/>
      <w:pPr>
        <w:tabs>
          <w:tab w:val="num" w:pos="0"/>
        </w:tabs>
        <w:ind w:left="4630" w:hanging="1080"/>
      </w:pPr>
      <w:rPr/>
    </w:lvl>
    <w:lvl w:ilvl="6">
      <w:start w:val="1"/>
      <w:numFmt w:val="decimal"/>
      <w:lvlText w:val="%1.%2.%3.%4.%5.%6.%7."/>
      <w:lvlJc w:val="left"/>
      <w:pPr>
        <w:tabs>
          <w:tab w:val="num" w:pos="0"/>
        </w:tabs>
        <w:ind w:left="5700" w:hanging="1440"/>
      </w:pPr>
      <w:rPr/>
    </w:lvl>
    <w:lvl w:ilvl="7">
      <w:start w:val="1"/>
      <w:numFmt w:val="decimal"/>
      <w:lvlText w:val="%1.%2.%3.%4.%5.%6.%7.%8."/>
      <w:lvlJc w:val="left"/>
      <w:pPr>
        <w:tabs>
          <w:tab w:val="num" w:pos="0"/>
        </w:tabs>
        <w:ind w:left="6410" w:hanging="1440"/>
      </w:pPr>
      <w:rPr/>
    </w:lvl>
    <w:lvl w:ilvl="8">
      <w:start w:val="1"/>
      <w:numFmt w:val="decimal"/>
      <w:lvlText w:val="%1.%2.%3.%4.%5.%6.%7.%8.%9."/>
      <w:lvlJc w:val="left"/>
      <w:pPr>
        <w:tabs>
          <w:tab w:val="num" w:pos="0"/>
        </w:tabs>
        <w:ind w:left="7480" w:hanging="1800"/>
      </w:pPr>
      <w:rPr/>
    </w:lvl>
  </w:abstractNum>
  <w:abstractNum w:abstractNumId="9">
    <w:lvl w:ilvl="0">
      <w:start w:val="7"/>
      <w:numFmt w:val="decimal"/>
      <w:lvlText w:val="%1."/>
      <w:lvlJc w:val="left"/>
      <w:pPr>
        <w:tabs>
          <w:tab w:val="num" w:pos="0"/>
        </w:tabs>
        <w:ind w:left="3092" w:hanging="540"/>
      </w:pPr>
      <w:rPr>
        <w:i w:val="false"/>
        <w:b w:val="false"/>
        <w:iCs w:val="false"/>
        <w:bCs w:val="false"/>
        <w:rFonts w:ascii="Times New Roman" w:hAnsi="Times New Roman" w:cs="Times New Roman"/>
      </w:rPr>
    </w:lvl>
    <w:lvl w:ilvl="1">
      <w:start w:val="3"/>
      <w:numFmt w:val="decimal"/>
      <w:lvlText w:val="%1.%2."/>
      <w:lvlJc w:val="left"/>
      <w:pPr>
        <w:tabs>
          <w:tab w:val="num" w:pos="0"/>
        </w:tabs>
        <w:ind w:left="2525" w:hanging="540"/>
      </w:pPr>
      <w:rPr>
        <w:i w:val="false"/>
        <w:b w:val="false"/>
        <w:iCs w:val="false"/>
        <w:bCs w:val="false"/>
        <w:rFonts w:ascii="Times New Roman" w:hAnsi="Times New Roman" w:cs="Times New Roman"/>
      </w:rPr>
    </w:lvl>
    <w:lvl w:ilvl="2">
      <w:start w:val="3"/>
      <w:numFmt w:val="decimal"/>
      <w:lvlText w:val="%1.%2.%3."/>
      <w:lvlJc w:val="left"/>
      <w:pPr>
        <w:tabs>
          <w:tab w:val="num" w:pos="0"/>
        </w:tabs>
        <w:ind w:left="4690" w:hanging="720"/>
      </w:pPr>
      <w:rPr>
        <w:i w:val="false"/>
        <w:b w:val="false"/>
        <w:iCs w:val="false"/>
        <w:bCs w:val="false"/>
        <w:rFonts w:ascii="Times New Roman" w:hAnsi="Times New Roman" w:cs="Times New Roman"/>
      </w:rPr>
    </w:lvl>
    <w:lvl w:ilvl="3">
      <w:start w:val="1"/>
      <w:numFmt w:val="decimal"/>
      <w:lvlText w:val="%1.%2.%3.%4."/>
      <w:lvlJc w:val="left"/>
      <w:pPr>
        <w:tabs>
          <w:tab w:val="num" w:pos="0"/>
        </w:tabs>
        <w:ind w:left="6675" w:hanging="720"/>
      </w:pPr>
      <w:rPr>
        <w:i w:val="false"/>
        <w:b w:val="false"/>
        <w:iCs w:val="false"/>
        <w:bCs w:val="false"/>
        <w:rFonts w:ascii="Times New Roman" w:hAnsi="Times New Roman" w:cs="Times New Roman"/>
      </w:rPr>
    </w:lvl>
    <w:lvl w:ilvl="4">
      <w:start w:val="1"/>
      <w:numFmt w:val="decimal"/>
      <w:lvlText w:val="%1.%2.%3.%4.%5."/>
      <w:lvlJc w:val="left"/>
      <w:pPr>
        <w:tabs>
          <w:tab w:val="num" w:pos="0"/>
        </w:tabs>
        <w:ind w:left="9020" w:hanging="1080"/>
      </w:pPr>
      <w:rPr>
        <w:i w:val="false"/>
        <w:b w:val="false"/>
        <w:iCs w:val="false"/>
        <w:bCs w:val="false"/>
        <w:rFonts w:ascii="Times New Roman" w:hAnsi="Times New Roman" w:cs="Times New Roman"/>
      </w:rPr>
    </w:lvl>
    <w:lvl w:ilvl="5">
      <w:start w:val="1"/>
      <w:numFmt w:val="decimal"/>
      <w:lvlText w:val="%1.%2.%3.%4.%5.%6."/>
      <w:lvlJc w:val="left"/>
      <w:pPr>
        <w:tabs>
          <w:tab w:val="num" w:pos="0"/>
        </w:tabs>
        <w:ind w:left="11005" w:hanging="1080"/>
      </w:pPr>
      <w:rPr>
        <w:i w:val="false"/>
        <w:b w:val="false"/>
        <w:iCs w:val="false"/>
        <w:bCs w:val="false"/>
        <w:rFonts w:ascii="Times New Roman" w:hAnsi="Times New Roman" w:cs="Times New Roman"/>
      </w:rPr>
    </w:lvl>
    <w:lvl w:ilvl="6">
      <w:start w:val="1"/>
      <w:numFmt w:val="decimal"/>
      <w:lvlText w:val="%1.%2.%3.%4.%5.%6.%7."/>
      <w:lvlJc w:val="left"/>
      <w:pPr>
        <w:tabs>
          <w:tab w:val="num" w:pos="0"/>
        </w:tabs>
        <w:ind w:left="13350" w:hanging="1440"/>
      </w:pPr>
      <w:rPr>
        <w:i w:val="false"/>
        <w:b w:val="false"/>
        <w:iCs w:val="false"/>
        <w:bCs w:val="false"/>
        <w:rFonts w:ascii="Times New Roman" w:hAnsi="Times New Roman" w:cs="Times New Roman"/>
      </w:rPr>
    </w:lvl>
    <w:lvl w:ilvl="7">
      <w:start w:val="1"/>
      <w:numFmt w:val="decimal"/>
      <w:lvlText w:val="%1.%2.%3.%4.%5.%6.%7.%8."/>
      <w:lvlJc w:val="left"/>
      <w:pPr>
        <w:tabs>
          <w:tab w:val="num" w:pos="0"/>
        </w:tabs>
        <w:ind w:left="15335" w:hanging="1440"/>
      </w:pPr>
      <w:rPr>
        <w:i w:val="false"/>
        <w:b w:val="false"/>
        <w:iCs w:val="false"/>
        <w:bCs w:val="false"/>
        <w:rFonts w:ascii="Times New Roman" w:hAnsi="Times New Roman" w:cs="Times New Roman"/>
      </w:rPr>
    </w:lvl>
    <w:lvl w:ilvl="8">
      <w:start w:val="1"/>
      <w:numFmt w:val="decimal"/>
      <w:lvlText w:val="%1.%2.%3.%4.%5.%6.%7.%8.%9."/>
      <w:lvlJc w:val="left"/>
      <w:pPr>
        <w:tabs>
          <w:tab w:val="num" w:pos="0"/>
        </w:tabs>
        <w:ind w:left="17680" w:hanging="1800"/>
      </w:pPr>
      <w:rPr>
        <w:i w:val="false"/>
        <w:b w:val="false"/>
        <w:iCs w:val="false"/>
        <w:bCs w:val="false"/>
        <w:rFonts w:ascii="Times New Roman" w:hAnsi="Times New Roman" w:cs="Times New Roman"/>
      </w:rPr>
    </w:lvl>
  </w:abstractNum>
  <w:abstractNum w:abstractNumId="10">
    <w:lvl w:ilvl="0">
      <w:start w:val="3"/>
      <w:numFmt w:val="decimal"/>
      <w:lvlText w:val="%1."/>
      <w:lvlJc w:val="left"/>
      <w:pPr>
        <w:tabs>
          <w:tab w:val="num" w:pos="708"/>
        </w:tabs>
        <w:ind w:left="360" w:hanging="360"/>
      </w:pPr>
      <w:rPr/>
    </w:lvl>
    <w:lvl w:ilvl="1">
      <w:start w:val="6"/>
      <w:numFmt w:val="decimal"/>
      <w:lvlText w:val="%1.%2."/>
      <w:lvlJc w:val="left"/>
      <w:pPr>
        <w:tabs>
          <w:tab w:val="num" w:pos="0"/>
        </w:tabs>
        <w:ind w:left="2204" w:hanging="360"/>
      </w:pPr>
      <w:rPr/>
    </w:lvl>
    <w:lvl w:ilvl="2">
      <w:start w:val="1"/>
      <w:numFmt w:val="decimal"/>
      <w:lvlText w:val="%1.%2.%3."/>
      <w:lvlJc w:val="left"/>
      <w:pPr>
        <w:tabs>
          <w:tab w:val="num" w:pos="0"/>
        </w:tabs>
        <w:ind w:left="862" w:hanging="720"/>
      </w:pPr>
      <w:rPr/>
    </w:lvl>
    <w:lvl w:ilvl="3">
      <w:start w:val="1"/>
      <w:numFmt w:val="decimal"/>
      <w:lvlText w:val="%1.%2.%3.%4."/>
      <w:lvlJc w:val="left"/>
      <w:pPr>
        <w:tabs>
          <w:tab w:val="num" w:pos="0"/>
        </w:tabs>
        <w:ind w:left="6252" w:hanging="720"/>
      </w:pPr>
      <w:rPr/>
    </w:lvl>
    <w:lvl w:ilvl="4">
      <w:start w:val="1"/>
      <w:numFmt w:val="decimal"/>
      <w:lvlText w:val="%1.%2.%3.%4.%5."/>
      <w:lvlJc w:val="left"/>
      <w:pPr>
        <w:tabs>
          <w:tab w:val="num" w:pos="0"/>
        </w:tabs>
        <w:ind w:left="8456" w:hanging="1080"/>
      </w:pPr>
      <w:rPr/>
    </w:lvl>
    <w:lvl w:ilvl="5">
      <w:start w:val="1"/>
      <w:numFmt w:val="decimal"/>
      <w:lvlText w:val="%1.%2.%3.%4.%5.%6."/>
      <w:lvlJc w:val="left"/>
      <w:pPr>
        <w:tabs>
          <w:tab w:val="num" w:pos="0"/>
        </w:tabs>
        <w:ind w:left="10300" w:hanging="1080"/>
      </w:pPr>
      <w:rPr/>
    </w:lvl>
    <w:lvl w:ilvl="6">
      <w:start w:val="1"/>
      <w:numFmt w:val="decimal"/>
      <w:lvlText w:val="%1.%2.%3.%4.%5.%6.%7."/>
      <w:lvlJc w:val="left"/>
      <w:pPr>
        <w:tabs>
          <w:tab w:val="num" w:pos="0"/>
        </w:tabs>
        <w:ind w:left="12504" w:hanging="1440"/>
      </w:pPr>
      <w:rPr/>
    </w:lvl>
    <w:lvl w:ilvl="7">
      <w:start w:val="1"/>
      <w:numFmt w:val="decimal"/>
      <w:lvlText w:val="%1.%2.%3.%4.%5.%6.%7.%8."/>
      <w:lvlJc w:val="left"/>
      <w:pPr>
        <w:tabs>
          <w:tab w:val="num" w:pos="0"/>
        </w:tabs>
        <w:ind w:left="14348" w:hanging="1440"/>
      </w:pPr>
      <w:rPr/>
    </w:lvl>
    <w:lvl w:ilvl="8">
      <w:start w:val="1"/>
      <w:numFmt w:val="decimal"/>
      <w:lvlText w:val="%1.%2.%3.%4.%5.%6.%7.%8.%9."/>
      <w:lvlJc w:val="left"/>
      <w:pPr>
        <w:tabs>
          <w:tab w:val="num" w:pos="0"/>
        </w:tabs>
        <w:ind w:left="1655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20"/>
  <w:displayBackgroundShape/>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ru-RU" w:eastAsia="zh-CN" w:bidi="ar-SA"/>
    </w:rPr>
  </w:style>
  <w:style w:type="paragraph" w:styleId="Heading1">
    <w:name w:val="heading 1"/>
    <w:basedOn w:val="Normal"/>
    <w:next w:val="Normal"/>
    <w:qFormat/>
    <w:pPr>
      <w:keepNext w:val="true"/>
      <w:numPr>
        <w:ilvl w:val="0"/>
        <w:numId w:val="1"/>
      </w:numPr>
      <w:spacing w:before="240" w:after="60"/>
      <w:outlineLvl w:val="0"/>
    </w:pPr>
    <w:rPr>
      <w:rFonts w:ascii="Cambria" w:hAnsi="Cambria" w:cs="Cambria"/>
      <w:b/>
      <w:bCs/>
      <w:kern w:val="2"/>
      <w:sz w:val="32"/>
      <w:szCs w:val="32"/>
      <w:lang w:val="ru-RU"/>
    </w:rPr>
  </w:style>
  <w:style w:type="paragraph" w:styleId="Heading2">
    <w:name w:val="heading 2"/>
    <w:basedOn w:val="Normal"/>
    <w:next w:val="Normal"/>
    <w:qFormat/>
    <w:pPr>
      <w:keepNext w:val="true"/>
      <w:numPr>
        <w:ilvl w:val="1"/>
        <w:numId w:val="1"/>
      </w:numPr>
      <w:outlineLvl w:val="1"/>
    </w:pPr>
    <w:rPr>
      <w:szCs w:val="20"/>
      <w:lang w:val="ru-RU"/>
    </w:rPr>
  </w:style>
  <w:style w:type="paragraph" w:styleId="Heading3">
    <w:name w:val="heading 3"/>
    <w:basedOn w:val="Normal"/>
    <w:next w:val="Normal"/>
    <w:qFormat/>
    <w:pPr>
      <w:keepNext w:val="true"/>
      <w:numPr>
        <w:ilvl w:val="2"/>
        <w:numId w:val="1"/>
      </w:numPr>
      <w:spacing w:before="240" w:after="60"/>
      <w:outlineLvl w:val="2"/>
    </w:pPr>
    <w:rPr>
      <w:rFonts w:ascii="Arial" w:hAnsi="Arial" w:eastAsia="Arial Unicode MS" w:cs="Arial"/>
      <w:b/>
      <w:bCs/>
      <w:sz w:val="26"/>
      <w:szCs w:val="26"/>
    </w:rPr>
  </w:style>
  <w:style w:type="character" w:styleId="WW8Num3z0">
    <w:name w:val="WW8Num3z0"/>
    <w:qFormat/>
    <w:rPr/>
  </w:style>
  <w:style w:type="character" w:styleId="WW8Num4z0">
    <w:name w:val="WW8Num4z0"/>
    <w:qFormat/>
    <w:rPr/>
  </w:style>
  <w:style w:type="character" w:styleId="WW8Num5z0">
    <w:name w:val="WW8Num5z0"/>
    <w:qFormat/>
    <w:rPr>
      <w:b/>
      <w:i w:val="false"/>
    </w:rPr>
  </w:style>
  <w:style w:type="character" w:styleId="WW8Num5z1">
    <w:name w:val="WW8Num5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rPr>
  </w:style>
  <w:style w:type="character" w:styleId="WW8Num5z2">
    <w:name w:val="WW8Num5z2"/>
    <w:qFormat/>
    <w:rPr>
      <w:b w:val="false"/>
      <w:bCs w:val="false"/>
      <w:i w:val="false"/>
      <w:iCs w:val="false"/>
    </w:rPr>
  </w:style>
  <w:style w:type="character" w:styleId="WW8Num5z3">
    <w:name w:val="WW8Num5z3"/>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rPr>
  </w:style>
  <w:style w:type="character" w:styleId="WW8Num5z4">
    <w:name w:val="WW8Num5z4"/>
    <w:qFormat/>
    <w:rPr/>
  </w:style>
  <w:style w:type="character" w:styleId="WW8Num5z5">
    <w:name w:val="WW8Num5z5"/>
    <w:qFormat/>
    <w:rPr>
      <w:rFonts w:ascii="Symbol" w:hAnsi="Symbol" w:cs="Symbol"/>
    </w:rPr>
  </w:style>
  <w:style w:type="character" w:styleId="WW8Num6z0">
    <w:name w:val="WW8Num6z0"/>
    <w:qFormat/>
    <w:rPr>
      <w:b w:val="false"/>
      <w:bCs w:val="false"/>
    </w:rPr>
  </w:style>
  <w:style w:type="character" w:styleId="WW8Num7z0">
    <w:name w:val="WW8Num7z0"/>
    <w:qFormat/>
    <w:rPr>
      <w:b w:val="false"/>
      <w:bCs w:val="false"/>
      <w:i w:val="false"/>
      <w:iCs w:val="false"/>
    </w:rPr>
  </w:style>
  <w:style w:type="character" w:styleId="WW8Num8z0">
    <w:name w:val="WW8Num8z0"/>
    <w:qFormat/>
    <w:rPr/>
  </w:style>
  <w:style w:type="character" w:styleId="WW8Num9z0">
    <w:name w:val="WW8Num9z0"/>
    <w:qFormat/>
    <w:rPr>
      <w:rFonts w:ascii="Times New Roman" w:hAnsi="Times New Roman" w:cs="Times New Roman"/>
      <w:b w:val="false"/>
      <w:bCs w:val="false"/>
      <w:i w:val="false"/>
      <w:iCs w:val="false"/>
    </w:rPr>
  </w:style>
  <w:style w:type="character" w:styleId="WW8Num10z0">
    <w:name w:val="WW8Num10z0"/>
    <w:qFormat/>
    <w:rPr/>
  </w:style>
  <w:style w:type="character" w:styleId="Style11">
    <w:name w:val="Основной шрифт абзаца"/>
    <w:qFormat/>
    <w:rPr/>
  </w:style>
  <w:style w:type="character" w:styleId="WW8Num2z0">
    <w:name w:val="WW8Num2z0"/>
    <w:qFormat/>
    <w:rPr/>
  </w:style>
  <w:style w:type="character" w:styleId="WW8Num4z1">
    <w:name w:val="WW8Num4z1"/>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szCs w:val="24"/>
      <w:u w:val="none"/>
      <w:vertAlign w:val="baseline"/>
    </w:rPr>
  </w:style>
  <w:style w:type="character" w:styleId="WW8Num4z2">
    <w:name w:val="WW8Num4z2"/>
    <w:qFormat/>
    <w:rPr>
      <w:b w:val="false"/>
      <w:bCs w:val="false"/>
      <w:i w:val="false"/>
      <w:iCs w:val="false"/>
    </w:rPr>
  </w:style>
  <w:style w:type="character" w:styleId="WW8Num4z3">
    <w:name w:val="WW8Num4z3"/>
    <w:qFormat/>
    <w:rPr>
      <w:rFonts w:cs="Times New Roman"/>
      <w:b w:val="false"/>
      <w:bCs w:val="false"/>
      <w:i w:val="false"/>
      <w:iCs w:val="false"/>
      <w:caps w:val="false"/>
      <w:smallCaps w:val="false"/>
      <w:strike w:val="false"/>
      <w:dstrike w:val="false"/>
      <w:vanish w:val="false"/>
      <w:color w:val="000000"/>
      <w:spacing w:val="0"/>
      <w:w w:val="100"/>
      <w:kern w:val="0"/>
      <w:position w:val="0"/>
      <w:sz w:val="24"/>
      <w:sz w:val="24"/>
      <w:u w:val="none"/>
      <w:vertAlign w:val="baseline"/>
    </w:rPr>
  </w:style>
  <w:style w:type="character" w:styleId="WW8Num4z4">
    <w:name w:val="WW8Num4z4"/>
    <w:qFormat/>
    <w:rPr/>
  </w:style>
  <w:style w:type="character" w:styleId="WW8Num4z5">
    <w:name w:val="WW8Num4z5"/>
    <w:qFormat/>
    <w:rPr>
      <w:rFonts w:ascii="Symbol" w:hAnsi="Symbol" w:cs="Symbol"/>
    </w:rPr>
  </w:style>
  <w:style w:type="character" w:styleId="1">
    <w:name w:val="Основной шрифт абзаца1"/>
    <w:qFormat/>
    <w:rPr/>
  </w:style>
  <w:style w:type="character" w:styleId="11">
    <w:name w:val="Заголовок 1 Знак"/>
    <w:qFormat/>
    <w:rPr>
      <w:rFonts w:ascii="Cambria" w:hAnsi="Cambria" w:eastAsia="Times New Roman" w:cs="Times New Roman"/>
      <w:b/>
      <w:bCs/>
      <w:kern w:val="2"/>
      <w:sz w:val="32"/>
      <w:szCs w:val="32"/>
    </w:rPr>
  </w:style>
  <w:style w:type="character" w:styleId="2">
    <w:name w:val="Заголовок 2 Знак"/>
    <w:qFormat/>
    <w:rPr>
      <w:sz w:val="24"/>
    </w:rPr>
  </w:style>
  <w:style w:type="character" w:styleId="3">
    <w:name w:val="Заголовок 3 Знак"/>
    <w:qFormat/>
    <w:rPr>
      <w:rFonts w:ascii="Arial" w:hAnsi="Arial" w:eastAsia="Arial Unicode MS" w:cs="Arial"/>
      <w:b/>
      <w:bCs/>
      <w:sz w:val="26"/>
      <w:szCs w:val="26"/>
      <w:lang w:val="ru-RU" w:bidi="ar-SA"/>
    </w:rPr>
  </w:style>
  <w:style w:type="character" w:styleId="Style12">
    <w:name w:val="Символ сноски"/>
    <w:qFormat/>
    <w:rPr>
      <w:vertAlign w:val="superscript"/>
    </w:rPr>
  </w:style>
  <w:style w:type="character" w:styleId="Emphasis">
    <w:name w:val="Emphasis"/>
    <w:qFormat/>
    <w:rPr>
      <w:i/>
      <w:iCs/>
    </w:rPr>
  </w:style>
  <w:style w:type="character" w:styleId="Hyperlink">
    <w:name w:val="Hyperlink"/>
    <w:rPr>
      <w:color w:val="0000FF"/>
      <w:u w:val="single"/>
    </w:rPr>
  </w:style>
  <w:style w:type="character" w:styleId="PageNumber">
    <w:name w:val="page number"/>
    <w:rPr>
      <w:rFonts w:ascii="Times New Roman" w:hAnsi="Times New Roman" w:cs="Times New Roman"/>
    </w:rPr>
  </w:style>
  <w:style w:type="character" w:styleId="Strong">
    <w:name w:val="Strong"/>
    <w:qFormat/>
    <w:rPr>
      <w:b/>
      <w:bCs/>
    </w:rPr>
  </w:style>
  <w:style w:type="character" w:styleId="Style13">
    <w:name w:val="Текст Знак"/>
    <w:qFormat/>
    <w:rPr>
      <w:rFonts w:ascii="Courier New" w:hAnsi="Courier New" w:eastAsia="Calibri" w:cs="Courier New"/>
    </w:rPr>
  </w:style>
  <w:style w:type="character" w:styleId="31">
    <w:name w:val="Основной текст с отступом 3 Знак"/>
    <w:qFormat/>
    <w:rPr>
      <w:sz w:val="16"/>
      <w:szCs w:val="16"/>
    </w:rPr>
  </w:style>
  <w:style w:type="character" w:styleId="Style14">
    <w:name w:val="Текст примечания Знак"/>
    <w:qFormat/>
    <w:rPr/>
  </w:style>
  <w:style w:type="character" w:styleId="Style15">
    <w:name w:val="Текст сноски Знак"/>
    <w:qFormat/>
    <w:rPr/>
  </w:style>
  <w:style w:type="character" w:styleId="Style16">
    <w:name w:val="Верхний колонтитул Знак"/>
    <w:qFormat/>
    <w:rPr>
      <w:sz w:val="24"/>
      <w:szCs w:val="24"/>
    </w:rPr>
  </w:style>
  <w:style w:type="character" w:styleId="Style17">
    <w:name w:val="Основной текст Знак"/>
    <w:qFormat/>
    <w:rPr>
      <w:sz w:val="24"/>
    </w:rPr>
  </w:style>
  <w:style w:type="character" w:styleId="Style18">
    <w:name w:val="Название Знак"/>
    <w:qFormat/>
    <w:rPr>
      <w:b/>
      <w:bCs/>
      <w:sz w:val="28"/>
      <w:szCs w:val="24"/>
    </w:rPr>
  </w:style>
  <w:style w:type="character" w:styleId="Style19">
    <w:name w:val="Подзаголовок Знак"/>
    <w:qFormat/>
    <w:rPr>
      <w:rFonts w:ascii="Cambria" w:hAnsi="Cambria" w:eastAsia="Times New Roman" w:cs="Times New Roman"/>
      <w:sz w:val="24"/>
      <w:szCs w:val="24"/>
    </w:rPr>
  </w:style>
  <w:style w:type="character" w:styleId="Style20">
    <w:name w:val="Нижний колонтитул Знак"/>
    <w:qFormat/>
    <w:rPr>
      <w:sz w:val="24"/>
      <w:szCs w:val="24"/>
    </w:rPr>
  </w:style>
  <w:style w:type="character" w:styleId="Style21">
    <w:name w:val="Знак Знак"/>
    <w:qFormat/>
    <w:rPr>
      <w:sz w:val="24"/>
      <w:lang w:val="ru-RU" w:bidi="ar-SA"/>
    </w:rPr>
  </w:style>
  <w:style w:type="character" w:styleId="Style22">
    <w:name w:val="Абзац списка Знак"/>
    <w:qFormat/>
    <w:rPr>
      <w:rFonts w:ascii="Calibri" w:hAnsi="Calibri" w:cs="Calibri"/>
      <w:sz w:val="22"/>
      <w:szCs w:val="22"/>
    </w:rPr>
  </w:style>
  <w:style w:type="character" w:styleId="blk">
    <w:name w:val="blk"/>
    <w:qFormat/>
    <w:rPr/>
  </w:style>
  <w:style w:type="character" w:styleId="u">
    <w:name w:val="u"/>
    <w:qFormat/>
    <w:rPr/>
  </w:style>
  <w:style w:type="character" w:styleId="FontStyle13">
    <w:name w:val="Font Style13"/>
    <w:qFormat/>
    <w:rPr>
      <w:rFonts w:ascii="Times New Roman" w:hAnsi="Times New Roman" w:cs="Times New Roman"/>
      <w:b/>
      <w:bCs/>
      <w:sz w:val="22"/>
      <w:szCs w:val="22"/>
    </w:rPr>
  </w:style>
  <w:style w:type="character" w:styleId="Style23">
    <w:name w:val="Обычный таблица Знак"/>
    <w:qFormat/>
    <w:rPr>
      <w:rFonts w:eastAsia="Calibri"/>
      <w:sz w:val="18"/>
      <w:szCs w:val="18"/>
      <w:lang w:val="ru-RU" w:bidi="ar-SA"/>
    </w:rPr>
  </w:style>
  <w:style w:type="character" w:styleId="Style24">
    <w:name w:val="Без интервала Знак"/>
    <w:qFormat/>
    <w:rPr>
      <w:rFonts w:ascii="Calibri" w:hAnsi="Calibri" w:eastAsia="Calibri" w:cs="Calibri"/>
      <w:sz w:val="22"/>
      <w:szCs w:val="22"/>
      <w:lang w:bidi="ar-SA"/>
    </w:rPr>
  </w:style>
  <w:style w:type="character" w:styleId="Style25">
    <w:name w:val="Гипертекстовая ссылка"/>
    <w:qFormat/>
    <w:rPr>
      <w:color w:val="008000"/>
      <w:u w:val="single"/>
    </w:rPr>
  </w:style>
  <w:style w:type="character" w:styleId="bold-text">
    <w:name w:val="bold-text"/>
    <w:qFormat/>
    <w:rPr/>
  </w:style>
  <w:style w:type="character" w:styleId="LineNumber">
    <w:name w:val="line number"/>
    <w:rPr/>
  </w:style>
  <w:style w:type="paragraph" w:styleId="Style26">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before="0" w:after="120"/>
      <w:jc w:val="both"/>
    </w:pPr>
    <w:rPr>
      <w:szCs w:val="20"/>
      <w:lang w:val="ru-RU"/>
    </w:rPr>
  </w:style>
  <w:style w:type="paragraph" w:styleId="List">
    <w:name w:val="List"/>
    <w:basedOn w:val="BodyText"/>
    <w:pPr/>
    <w:rPr>
      <w:rFonts w:cs="Mangal;Courier New"/>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27">
    <w:name w:val="Указатель"/>
    <w:basedOn w:val="Normal"/>
    <w:qFormat/>
    <w:pPr>
      <w:suppressLineNumbers/>
    </w:pPr>
    <w:rPr>
      <w:rFonts w:ascii="PT Astra Serif" w:hAnsi="PT Astra Serif" w:cs="FreeSans"/>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12">
    <w:name w:val="Заголовок1"/>
    <w:basedOn w:val="Normal"/>
    <w:next w:val="Subtitle"/>
    <w:qFormat/>
    <w:pPr>
      <w:suppressAutoHyphens w:val="true"/>
      <w:jc w:val="center"/>
    </w:pPr>
    <w:rPr>
      <w:b/>
      <w:bCs/>
      <w:sz w:val="28"/>
      <w:lang w:val="ru-RU"/>
    </w:rPr>
  </w:style>
  <w:style w:type="paragraph" w:styleId="Style28">
    <w:name w:val="Название объекта"/>
    <w:basedOn w:val="Normal"/>
    <w:qFormat/>
    <w:pPr>
      <w:suppressLineNumbers/>
      <w:spacing w:before="120" w:after="120"/>
    </w:pPr>
    <w:rPr>
      <w:rFonts w:cs="Mangal;Courier New"/>
      <w:i/>
      <w:iCs/>
      <w:sz w:val="24"/>
      <w:szCs w:val="24"/>
    </w:rPr>
  </w:style>
  <w:style w:type="paragraph" w:styleId="13">
    <w:name w:val="Указатель1"/>
    <w:basedOn w:val="Normal"/>
    <w:qFormat/>
    <w:pPr>
      <w:suppressLineNumbers/>
    </w:pPr>
    <w:rPr>
      <w:rFonts w:cs="Mangal;Courier New"/>
    </w:rPr>
  </w:style>
  <w:style w:type="paragraph" w:styleId="caption11111111">
    <w:name w:val="caption11111111"/>
    <w:basedOn w:val="Normal"/>
    <w:qFormat/>
    <w:pPr>
      <w:suppressLineNumbers/>
      <w:spacing w:before="120" w:after="120"/>
    </w:pPr>
    <w:rPr>
      <w:rFonts w:cs="Mangal;Courier New"/>
      <w:i/>
      <w:iCs/>
      <w:sz w:val="24"/>
      <w:szCs w:val="24"/>
    </w:rPr>
  </w:style>
  <w:style w:type="paragraph" w:styleId="caption111111111">
    <w:name w:val="caption111111111"/>
    <w:basedOn w:val="Normal"/>
    <w:qFormat/>
    <w:pPr>
      <w:suppressLineNumbers/>
      <w:spacing w:before="120" w:after="120"/>
    </w:pPr>
    <w:rPr>
      <w:rFonts w:cs="Mangal;Courier New"/>
      <w:i/>
      <w:iCs/>
      <w:sz w:val="24"/>
      <w:szCs w:val="24"/>
    </w:rPr>
  </w:style>
  <w:style w:type="paragraph" w:styleId="caption1111111111">
    <w:name w:val="caption1111111111"/>
    <w:basedOn w:val="Normal"/>
    <w:qFormat/>
    <w:pPr>
      <w:suppressLineNumbers/>
      <w:spacing w:before="120" w:after="120"/>
    </w:pPr>
    <w:rPr>
      <w:rFonts w:cs="Mangal;Courier New"/>
      <w:i/>
      <w:iCs/>
      <w:sz w:val="24"/>
      <w:szCs w:val="24"/>
    </w:rPr>
  </w:style>
  <w:style w:type="paragraph" w:styleId="caption11111111111">
    <w:name w:val="caption11111111111"/>
    <w:basedOn w:val="Normal"/>
    <w:qFormat/>
    <w:pPr>
      <w:suppressLineNumbers/>
      <w:spacing w:before="120" w:after="120"/>
    </w:pPr>
    <w:rPr>
      <w:rFonts w:cs="Mangal;Courier New"/>
      <w:i/>
      <w:iCs/>
      <w:sz w:val="24"/>
      <w:szCs w:val="24"/>
    </w:rPr>
  </w:style>
  <w:style w:type="paragraph" w:styleId="caption111111111111">
    <w:name w:val="caption111111111111"/>
    <w:basedOn w:val="Normal"/>
    <w:qFormat/>
    <w:pPr>
      <w:suppressLineNumbers/>
      <w:spacing w:before="120" w:after="120"/>
    </w:pPr>
    <w:rPr>
      <w:rFonts w:cs="Mangal;Courier New"/>
      <w:i/>
      <w:iCs/>
      <w:sz w:val="24"/>
      <w:szCs w:val="24"/>
    </w:rPr>
  </w:style>
  <w:style w:type="paragraph" w:styleId="caption1111111111111">
    <w:name w:val="caption1111111111111"/>
    <w:basedOn w:val="Normal"/>
    <w:qFormat/>
    <w:pPr>
      <w:suppressLineNumbers/>
      <w:spacing w:before="120" w:after="120"/>
    </w:pPr>
    <w:rPr>
      <w:rFonts w:cs="Mangal;Courier New"/>
      <w:i/>
      <w:iCs/>
      <w:sz w:val="24"/>
      <w:szCs w:val="24"/>
    </w:rPr>
  </w:style>
  <w:style w:type="paragraph" w:styleId="caption11111111111111">
    <w:name w:val="caption11111111111111"/>
    <w:basedOn w:val="Normal"/>
    <w:qFormat/>
    <w:pPr>
      <w:suppressLineNumbers/>
      <w:spacing w:before="120" w:after="120"/>
    </w:pPr>
    <w:rPr>
      <w:rFonts w:cs="Mangal;Courier New"/>
      <w:i/>
      <w:iCs/>
      <w:sz w:val="24"/>
      <w:szCs w:val="24"/>
    </w:rPr>
  </w:style>
  <w:style w:type="paragraph" w:styleId="caption111111111111111">
    <w:name w:val="caption111111111111111"/>
    <w:basedOn w:val="Normal"/>
    <w:qFormat/>
    <w:pPr>
      <w:suppressLineNumbers/>
      <w:spacing w:before="120" w:after="120"/>
    </w:pPr>
    <w:rPr>
      <w:rFonts w:cs="Mangal;Courier New"/>
      <w:i/>
      <w:iCs/>
      <w:sz w:val="24"/>
      <w:szCs w:val="24"/>
    </w:rPr>
  </w:style>
  <w:style w:type="paragraph" w:styleId="caption1111111111111111">
    <w:name w:val="caption1111111111111111"/>
    <w:basedOn w:val="Normal"/>
    <w:qFormat/>
    <w:pPr>
      <w:suppressLineNumbers/>
      <w:spacing w:before="120" w:after="120"/>
    </w:pPr>
    <w:rPr>
      <w:rFonts w:cs="Mangal;Courier New"/>
      <w:i/>
      <w:iCs/>
      <w:sz w:val="24"/>
      <w:szCs w:val="24"/>
    </w:rPr>
  </w:style>
  <w:style w:type="paragraph" w:styleId="Style29">
    <w:name w:val="Текст выноски"/>
    <w:basedOn w:val="Normal"/>
    <w:qFormat/>
    <w:pPr/>
    <w:rPr>
      <w:rFonts w:ascii="Tahoma" w:hAnsi="Tahoma" w:cs="Tahoma"/>
      <w:sz w:val="16"/>
      <w:szCs w:val="16"/>
    </w:rPr>
  </w:style>
  <w:style w:type="paragraph" w:styleId="21">
    <w:name w:val="Основной текст 21"/>
    <w:basedOn w:val="Normal"/>
    <w:qFormat/>
    <w:pPr>
      <w:spacing w:lineRule="auto" w:line="480" w:before="0" w:after="120"/>
    </w:pPr>
    <w:rPr/>
  </w:style>
  <w:style w:type="paragraph" w:styleId="14">
    <w:name w:val="Текст1"/>
    <w:basedOn w:val="Normal"/>
    <w:qFormat/>
    <w:pPr>
      <w:jc w:val="both"/>
    </w:pPr>
    <w:rPr>
      <w:rFonts w:ascii="Courier New" w:hAnsi="Courier New" w:eastAsia="Calibri" w:cs="Courier New"/>
      <w:sz w:val="20"/>
      <w:szCs w:val="20"/>
      <w:lang w:val="ru-RU"/>
    </w:rPr>
  </w:style>
  <w:style w:type="paragraph" w:styleId="311">
    <w:name w:val="Основной текст с отступом 31"/>
    <w:basedOn w:val="Normal"/>
    <w:qFormat/>
    <w:pPr>
      <w:spacing w:before="0" w:after="120"/>
      <w:ind w:hanging="0" w:left="283" w:right="0"/>
    </w:pPr>
    <w:rPr>
      <w:sz w:val="16"/>
      <w:szCs w:val="16"/>
      <w:lang w:val="ru-RU"/>
    </w:rPr>
  </w:style>
  <w:style w:type="paragraph" w:styleId="15">
    <w:name w:val="Текст примечания1"/>
    <w:basedOn w:val="Normal"/>
    <w:qFormat/>
    <w:pPr>
      <w:suppressAutoHyphens w:val="true"/>
    </w:pPr>
    <w:rPr>
      <w:sz w:val="20"/>
      <w:szCs w:val="20"/>
      <w:lang w:val="ru-RU"/>
    </w:rPr>
  </w:style>
  <w:style w:type="paragraph" w:styleId="FootnoteText">
    <w:name w:val="footnote text"/>
    <w:basedOn w:val="Normal"/>
    <w:pPr/>
    <w:rPr>
      <w:sz w:val="20"/>
      <w:szCs w:val="20"/>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pPr>
    <w:rPr>
      <w:lang w:val="ru-RU"/>
    </w:rPr>
  </w:style>
  <w:style w:type="paragraph" w:styleId="BodyTextIndent">
    <w:name w:val="Body Text Indent"/>
    <w:basedOn w:val="Normal"/>
    <w:pPr>
      <w:spacing w:before="0" w:after="120"/>
      <w:ind w:hanging="0" w:left="283" w:right="0"/>
    </w:pPr>
    <w:rPr>
      <w:sz w:val="20"/>
      <w:szCs w:val="20"/>
    </w:rPr>
  </w:style>
  <w:style w:type="paragraph" w:styleId="Subtitle">
    <w:name w:val="Subtitle"/>
    <w:basedOn w:val="Normal"/>
    <w:next w:val="Normal"/>
    <w:qFormat/>
    <w:pPr>
      <w:spacing w:before="0" w:after="60"/>
      <w:jc w:val="center"/>
      <w:outlineLvl w:val="1"/>
    </w:pPr>
    <w:rPr>
      <w:rFonts w:ascii="Cambria" w:hAnsi="Cambria" w:cs="Cambria"/>
      <w:lang w:val="ru-RU"/>
    </w:rPr>
  </w:style>
  <w:style w:type="paragraph" w:styleId="Footer">
    <w:name w:val="footer"/>
    <w:basedOn w:val="Normal"/>
    <w:pPr>
      <w:tabs>
        <w:tab w:val="clear" w:pos="708"/>
        <w:tab w:val="center" w:pos="4677" w:leader="none"/>
        <w:tab w:val="right" w:pos="9355" w:leader="none"/>
      </w:tabs>
    </w:pPr>
    <w:rPr>
      <w:lang w:val="ru-RU"/>
    </w:rPr>
  </w:style>
  <w:style w:type="paragraph" w:styleId="Style30">
    <w:name w:val="Обычный (веб)"/>
    <w:basedOn w:val="Normal"/>
    <w:qFormat/>
    <w:pPr>
      <w:spacing w:before="100" w:after="100"/>
    </w:pPr>
    <w:rPr/>
  </w:style>
  <w:style w:type="paragraph" w:styleId="32">
    <w:name w:val="Основной текст 32"/>
    <w:basedOn w:val="Normal"/>
    <w:qFormat/>
    <w:pPr>
      <w:spacing w:before="0" w:after="120"/>
    </w:pPr>
    <w:rPr>
      <w:sz w:val="16"/>
      <w:szCs w:val="16"/>
    </w:rPr>
  </w:style>
  <w:style w:type="paragraph" w:styleId="16">
    <w:name w:val="1"/>
    <w:basedOn w:val="Normal"/>
    <w:qFormat/>
    <w:pPr>
      <w:spacing w:lineRule="exact" w:line="240" w:before="0" w:after="160"/>
    </w:pPr>
    <w:rPr>
      <w:rFonts w:ascii="Verdana" w:hAnsi="Verdana" w:cs="Verdana"/>
      <w:lang w:val="en-US"/>
    </w:rPr>
  </w:style>
  <w:style w:type="paragraph" w:styleId="a">
    <w:name w:val="a"/>
    <w:basedOn w:val="Normal"/>
    <w:qFormat/>
    <w:pPr>
      <w:snapToGrid w:val="false"/>
      <w:spacing w:lineRule="auto" w:line="360"/>
      <w:ind w:hanging="567" w:left="1134" w:right="0"/>
      <w:jc w:val="both"/>
    </w:pPr>
    <w:rPr>
      <w:sz w:val="28"/>
      <w:szCs w:val="28"/>
    </w:rPr>
  </w:style>
  <w:style w:type="paragraph" w:styleId="FR1">
    <w:name w:val="FR1"/>
    <w:qFormat/>
    <w:pPr>
      <w:widowControl w:val="false"/>
      <w:suppressAutoHyphens w:val="true"/>
      <w:autoSpaceDE w:val="false"/>
      <w:bidi w:val="0"/>
      <w:ind w:firstLine="420" w:left="0" w:right="0"/>
    </w:pPr>
    <w:rPr>
      <w:rFonts w:ascii="Arial" w:hAnsi="Arial" w:eastAsia="Times New Roman" w:cs="Arial"/>
      <w:color w:val="auto"/>
      <w:sz w:val="20"/>
      <w:szCs w:val="20"/>
      <w:lang w:val="ru-RU" w:eastAsia="zh-CN" w:bidi="ar-SA"/>
    </w:rPr>
  </w:style>
  <w:style w:type="paragraph" w:styleId="Style31">
    <w:name w:val="Знак Знак Знак"/>
    <w:basedOn w:val="Normal"/>
    <w:qFormat/>
    <w:pPr>
      <w:spacing w:lineRule="exact" w:line="240" w:before="0" w:after="160"/>
    </w:pPr>
    <w:rPr>
      <w:rFonts w:ascii="Verdana" w:hAnsi="Verdana" w:cs="Verdana"/>
      <w:lang w:val="en-US"/>
    </w:rPr>
  </w:style>
  <w:style w:type="paragraph" w:styleId="Style32">
    <w:name w:val="Абзац списка"/>
    <w:basedOn w:val="Normal"/>
    <w:qFormat/>
    <w:pPr>
      <w:spacing w:lineRule="auto" w:line="276" w:before="0" w:after="200"/>
      <w:ind w:hanging="0" w:left="720" w:right="0"/>
      <w:contextualSpacing/>
    </w:pPr>
    <w:rPr>
      <w:rFonts w:ascii="Calibri" w:hAnsi="Calibri" w:cs="Calibri"/>
      <w:sz w:val="22"/>
      <w:szCs w:val="22"/>
      <w:lang w:val="ru-RU"/>
    </w:rPr>
  </w:style>
  <w:style w:type="paragraph" w:styleId="ConsNonformat">
    <w:name w:val="ConsNonformat"/>
    <w:qFormat/>
    <w:pPr>
      <w:widowControl w:val="false"/>
      <w:suppressAutoHyphens w:val="true"/>
      <w:bidi w:val="0"/>
    </w:pPr>
    <w:rPr>
      <w:rFonts w:ascii="Courier New" w:hAnsi="Courier New" w:eastAsia="Times New Roman" w:cs="Courier New"/>
      <w:color w:val="auto"/>
      <w:sz w:val="20"/>
      <w:szCs w:val="20"/>
      <w:lang w:val="ru-RU" w:eastAsia="zh-CN" w:bidi="ar-SA"/>
    </w:rPr>
  </w:style>
  <w:style w:type="paragraph" w:styleId="ConsPlusCell">
    <w:name w:val="ConsPlusCell"/>
    <w:qFormat/>
    <w:pPr>
      <w:widowControl/>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Nonformat">
    <w:name w:val="ConsPlusNonformat"/>
    <w:qFormat/>
    <w:pPr>
      <w:widowControl/>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Normal">
    <w:name w:val="ConsPlusNormal"/>
    <w:qFormat/>
    <w:pPr>
      <w:widowControl w:val="false"/>
      <w:suppressAutoHyphens w:val="true"/>
      <w:autoSpaceDE w:val="false"/>
      <w:bidi w:val="0"/>
    </w:pPr>
    <w:rPr>
      <w:rFonts w:ascii="Times New Roman" w:hAnsi="Times New Roman" w:eastAsia="Times New Roman" w:cs="Times New Roman"/>
      <w:color w:val="auto"/>
      <w:sz w:val="24"/>
      <w:szCs w:val="24"/>
      <w:lang w:val="ru-RU" w:eastAsia="zh-CN" w:bidi="ar-SA"/>
    </w:rPr>
  </w:style>
  <w:style w:type="paragraph" w:styleId="Style33">
    <w:name w:val="Готовый"/>
    <w:basedOn w:val="Normal"/>
    <w:qFormat/>
    <w:pPr>
      <w:widowControl w:val="false"/>
      <w:tabs>
        <w:tab w:val="clear" w:pos="708"/>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sz w:val="20"/>
      <w:szCs w:val="20"/>
    </w:rPr>
  </w:style>
  <w:style w:type="paragraph" w:styleId="Style91">
    <w:name w:val="Style9"/>
    <w:basedOn w:val="Normal"/>
    <w:qFormat/>
    <w:pPr>
      <w:widowControl w:val="false"/>
      <w:autoSpaceDE w:val="false"/>
    </w:pPr>
    <w:rPr/>
  </w:style>
  <w:style w:type="paragraph" w:styleId="ConsNormal">
    <w:name w:val="ConsNormal"/>
    <w:qFormat/>
    <w:pPr>
      <w:widowControl w:val="false"/>
      <w:suppressAutoHyphens w:val="true"/>
      <w:autoSpaceDE w:val="false"/>
      <w:bidi w:val="0"/>
      <w:ind w:firstLine="720" w:left="0" w:right="19772"/>
    </w:pPr>
    <w:rPr>
      <w:rFonts w:ascii="Arial" w:hAnsi="Arial" w:eastAsia="Times New Roman" w:cs="Arial"/>
      <w:color w:val="auto"/>
      <w:sz w:val="20"/>
      <w:szCs w:val="20"/>
      <w:lang w:val="ru-RU" w:eastAsia="zh-CN" w:bidi="ar-SA"/>
    </w:rPr>
  </w:style>
  <w:style w:type="paragraph" w:styleId="312">
    <w:name w:val="Основной текст 31"/>
    <w:basedOn w:val="Normal"/>
    <w:qFormat/>
    <w:pPr>
      <w:tabs>
        <w:tab w:val="clear" w:pos="708"/>
        <w:tab w:val="right" w:pos="10490" w:leader="none"/>
        <w:tab w:val="left" w:pos="11199" w:leader="none"/>
      </w:tabs>
      <w:suppressAutoHyphens w:val="true"/>
      <w:jc w:val="both"/>
    </w:pPr>
    <w:rPr>
      <w:rFonts w:ascii="Arial" w:hAnsi="Arial" w:cs="Arial"/>
      <w:sz w:val="16"/>
      <w:szCs w:val="20"/>
    </w:rPr>
  </w:style>
  <w:style w:type="paragraph" w:styleId="Style51">
    <w:name w:val="Style5"/>
    <w:basedOn w:val="Normal"/>
    <w:qFormat/>
    <w:pPr>
      <w:widowControl w:val="false"/>
      <w:autoSpaceDE w:val="false"/>
    </w:pPr>
    <w:rPr/>
  </w:style>
  <w:style w:type="paragraph" w:styleId="Style34">
    <w:name w:val="Обычный таблица"/>
    <w:basedOn w:val="Normal"/>
    <w:qFormat/>
    <w:pPr/>
    <w:rPr>
      <w:rFonts w:eastAsia="Calibri"/>
      <w:sz w:val="18"/>
      <w:szCs w:val="18"/>
    </w:rPr>
  </w:style>
  <w:style w:type="paragraph" w:styleId="Default">
    <w:name w:val="Default"/>
    <w:qFormat/>
    <w:pPr>
      <w:widowControl/>
      <w:suppressAutoHyphens w:val="true"/>
      <w:autoSpaceDE w:val="false"/>
      <w:bidi w:val="0"/>
    </w:pPr>
    <w:rPr>
      <w:rFonts w:ascii="Arial" w:hAnsi="Arial" w:eastAsia="Times New Roman" w:cs="Arial"/>
      <w:color w:val="000000"/>
      <w:sz w:val="24"/>
      <w:szCs w:val="24"/>
      <w:lang w:val="ru-RU" w:eastAsia="zh-CN" w:bidi="ar-SA"/>
    </w:rPr>
  </w:style>
  <w:style w:type="paragraph" w:styleId="Style35">
    <w:name w:val="Содержимое таблицы"/>
    <w:basedOn w:val="Normal"/>
    <w:qFormat/>
    <w:pPr>
      <w:suppressLineNumbers/>
      <w:suppressAutoHyphens w:val="true"/>
    </w:pPr>
    <w:rPr/>
  </w:style>
  <w:style w:type="paragraph" w:styleId="Style36">
    <w:name w:val="Без интервала"/>
    <w:qFormat/>
    <w:pPr>
      <w:widowControl/>
      <w:suppressAutoHyphens w:val="true"/>
      <w:bidi w:val="0"/>
    </w:pPr>
    <w:rPr>
      <w:rFonts w:ascii="Calibri" w:hAnsi="Calibri" w:eastAsia="Calibri" w:cs="Calibri"/>
      <w:color w:val="auto"/>
      <w:sz w:val="22"/>
      <w:szCs w:val="22"/>
      <w:lang w:val="ru-RU" w:eastAsia="zh-CN" w:bidi="ar-SA"/>
    </w:rPr>
  </w:style>
  <w:style w:type="paragraph" w:styleId="211">
    <w:name w:val="Основной текст с отступом 21"/>
    <w:basedOn w:val="Normal"/>
    <w:qFormat/>
    <w:pPr>
      <w:suppressAutoHyphens w:val="true"/>
      <w:spacing w:lineRule="auto" w:line="480" w:before="0" w:after="120"/>
      <w:ind w:hanging="0" w:left="283" w:right="0"/>
    </w:pPr>
    <w:rPr/>
  </w:style>
  <w:style w:type="paragraph" w:styleId="TextBodyIndent">
    <w:name w:val="Text Body Indent"/>
    <w:basedOn w:val="Normal"/>
    <w:qFormat/>
    <w:pPr>
      <w:widowControl w:val="false"/>
      <w:tabs>
        <w:tab w:val="clear" w:pos="708"/>
        <w:tab w:val="left" w:pos="3261" w:leader="none"/>
      </w:tabs>
      <w:suppressAutoHyphens w:val="true"/>
      <w:ind w:hanging="0" w:left="283" w:right="0"/>
    </w:pPr>
    <w:rPr>
      <w:rFonts w:ascii="Arial" w:hAnsi="Arial" w:cs="Arial"/>
      <w:b/>
      <w:kern w:val="2"/>
    </w:rPr>
  </w:style>
  <w:style w:type="paragraph" w:styleId="ListParagraph1">
    <w:name w:val="List Paragraph1"/>
    <w:basedOn w:val="Normal"/>
    <w:qFormat/>
    <w:pPr>
      <w:ind w:hanging="0" w:left="720" w:right="0"/>
      <w:jc w:val="both"/>
    </w:pPr>
    <w:rPr/>
  </w:style>
  <w:style w:type="paragraph" w:styleId="ConsPlusDocList">
    <w:name w:val="&#9;&#9;ConsPlusDocList"/>
    <w:next w:val="Normal"/>
    <w:qFormat/>
    <w:pPr>
      <w:widowControl w:val="false"/>
      <w:suppressAutoHyphens w:val="true"/>
      <w:autoSpaceDE w:val="false"/>
      <w:bidi w:val="0"/>
    </w:pPr>
    <w:rPr>
      <w:rFonts w:ascii="Arial" w:hAnsi="Arial" w:eastAsia="Arial" w:cs="Arial"/>
      <w:color w:val="auto"/>
      <w:sz w:val="20"/>
      <w:szCs w:val="20"/>
      <w:lang w:val="ru-RU" w:eastAsia="zh-CN" w:bidi="hi-IN"/>
    </w:rPr>
  </w:style>
  <w:style w:type="paragraph" w:styleId="TimesNewRoman">
    <w:name w:val="Обычный + Times New Roman"/>
    <w:basedOn w:val="Normal"/>
    <w:qFormat/>
    <w:pPr>
      <w:widowControl w:val="false"/>
      <w:autoSpaceDE w:val="false"/>
      <w:jc w:val="center"/>
    </w:pPr>
    <w:rPr>
      <w:szCs w:val="20"/>
    </w:rPr>
  </w:style>
  <w:style w:type="paragraph" w:styleId="product-id">
    <w:name w:val="product-id"/>
    <w:basedOn w:val="Normal"/>
    <w:qFormat/>
    <w:pPr>
      <w:spacing w:before="100" w:after="100"/>
    </w:pPr>
    <w:rPr/>
  </w:style>
  <w:style w:type="paragraph" w:styleId="product-sku">
    <w:name w:val="product-sku"/>
    <w:basedOn w:val="Normal"/>
    <w:qFormat/>
    <w:pPr>
      <w:spacing w:before="100" w:after="100"/>
    </w:pPr>
    <w:rPr/>
  </w:style>
  <w:style w:type="paragraph" w:styleId="ConsDTNormal">
    <w:name w:val="ConsDTNormal"/>
    <w:qFormat/>
    <w:pPr>
      <w:widowControl/>
      <w:suppressAutoHyphens w:val="true"/>
      <w:autoSpaceDE w:val="false"/>
      <w:bidi w:val="0"/>
      <w:jc w:val="both"/>
    </w:pPr>
    <w:rPr>
      <w:rFonts w:ascii="Times New Roman" w:hAnsi="Times New Roman" w:eastAsia="Times New Roman" w:cs="Times New Roman"/>
      <w:color w:val="auto"/>
      <w:sz w:val="24"/>
      <w:szCs w:val="24"/>
      <w:lang w:val="ru-RU" w:eastAsia="zh-CN" w:bidi="ar-SA"/>
    </w:rPr>
  </w:style>
  <w:style w:type="paragraph" w:styleId="-">
    <w:name w:val="Контракт-раздел"/>
    <w:basedOn w:val="Normal"/>
    <w:next w:val="-1"/>
    <w:qFormat/>
    <w:pPr>
      <w:keepNext w:val="true"/>
      <w:numPr>
        <w:ilvl w:val="0"/>
        <w:numId w:val="5"/>
      </w:numPr>
      <w:tabs>
        <w:tab w:val="clear" w:pos="708"/>
        <w:tab w:val="left" w:pos="0" w:leader="none"/>
        <w:tab w:val="left" w:pos="540" w:leader="none"/>
      </w:tabs>
      <w:suppressAutoHyphens w:val="true"/>
      <w:spacing w:before="360" w:after="120"/>
      <w:jc w:val="center"/>
      <w:outlineLvl w:val="3"/>
    </w:pPr>
    <w:rPr>
      <w:b/>
      <w:bCs/>
      <w:smallCaps/>
    </w:rPr>
  </w:style>
  <w:style w:type="paragraph" w:styleId="-1">
    <w:name w:val="Контракт-пункт"/>
    <w:basedOn w:val="Normal"/>
    <w:qFormat/>
    <w:pPr>
      <w:numPr>
        <w:ilvl w:val="0"/>
        <w:numId w:val="5"/>
      </w:numPr>
      <w:tabs>
        <w:tab w:val="clear" w:pos="708"/>
        <w:tab w:val="left" w:pos="851" w:leader="none"/>
      </w:tabs>
      <w:ind w:hanging="0" w:left="851" w:right="0"/>
      <w:jc w:val="both"/>
    </w:pPr>
    <w:rPr/>
  </w:style>
  <w:style w:type="paragraph" w:styleId="-2">
    <w:name w:val="Контракт-подпункт"/>
    <w:basedOn w:val="Normal"/>
    <w:qFormat/>
    <w:pPr>
      <w:numPr>
        <w:ilvl w:val="0"/>
        <w:numId w:val="5"/>
      </w:numPr>
      <w:tabs>
        <w:tab w:val="clear" w:pos="708"/>
        <w:tab w:val="left" w:pos="851" w:leader="none"/>
      </w:tabs>
      <w:jc w:val="both"/>
    </w:pPr>
    <w:rPr/>
  </w:style>
  <w:style w:type="paragraph" w:styleId="-3">
    <w:name w:val="Контракт-подподпункт"/>
    <w:basedOn w:val="Normal"/>
    <w:qFormat/>
    <w:pPr>
      <w:numPr>
        <w:ilvl w:val="0"/>
        <w:numId w:val="5"/>
      </w:numPr>
      <w:tabs>
        <w:tab w:val="clear" w:pos="708"/>
        <w:tab w:val="left" w:pos="1418" w:leader="none"/>
      </w:tabs>
      <w:jc w:val="both"/>
    </w:pPr>
    <w:rPr/>
  </w:style>
  <w:style w:type="paragraph" w:styleId="Style37">
    <w:name w:val="Заголовок таблицы"/>
    <w:basedOn w:val="Style35"/>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0A1312428F88893C5C705BF5BD4B345947D6023AF1CFC679FF15B7B40CDD66A1FC8148D84E4B77E1407FB15C5579DC9B1A379FAC3C13jE1EF" TargetMode="External"/><Relationship Id="rId3" Type="http://schemas.openxmlformats.org/officeDocument/2006/relationships/hyperlink" Target="consultantplus://offline/ref=0A1312428F88893C5C705BF5BD4B345945D10033F1C0C679FF15B7B40CDD66A1FC8148DA4F4C7EEB1425A1581C2CD285192A81AD2213EEEAjD12F"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143</TotalTime>
  <Application>LibreOffice/24.8.4.2$Linux_X86_64 LibreOffice_project/480$Build-2</Application>
  <AppVersion>15.0000</AppVersion>
  <Pages>12</Pages>
  <Words>3959</Words>
  <Characters>29615</Characters>
  <CharactersWithSpaces>34221</CharactersWithSpaces>
  <Paragraphs>269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2024-10-18T12:24:00Z</dcterms:created>
  <dc:creator>zernova</dc:creator>
  <dc:description/>
  <dc:language>ru-RU</dc:language>
  <cp:lastModifiedBy/>
  <cp:lastPrinted>2026-07-16T15:45:00Z</cp:lastPrinted>
  <dcterms:modified xsi:type="dcterms:W3CDTF">2026-07-23T09:06:26Z</dcterms:modified>
  <cp:revision>23</cp:revision>
  <dc:subject/>
  <dc:title>Извещение</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2A69D5B066804247BC066321AE3487A7_x0000__x0000__x0000_</vt:lpwstr>
  </property>
  <property fmtid="{D5CDD505-2E9C-101B-9397-08002B2CF9AE}" pid="3" name="KSOProductBuildVer">
    <vt:lpwstr>1049-11.2.0.11191_x0000__x0000_</vt:lpwstr>
  </property>
</Properties>
</file>