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bCs/>
        </w:rPr>
        <w:t xml:space="preserve">Контракт № </w:t>
      </w:r>
    </w:p>
    <w:p>
      <w:pPr>
        <w:pStyle w:val="Normal"/>
        <w:jc w:val="center"/>
        <w:rPr>
          <w:b/>
          <w:highlight w:val="yellow"/>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jc w:val="both"/>
        <w:rPr/>
      </w:pPr>
      <w:r>
        <w:rPr/>
        <w:t>Кемеровская область - Кузбасс, г. Кемерово</w:t>
      </w:r>
      <w:r>
        <w:rPr>
          <w:b/>
          <w:bCs/>
          <w:color w:val="000000"/>
        </w:rPr>
        <w:t xml:space="preserve">                                                                       </w:t>
      </w:r>
      <w:bookmarkStart w:id="0" w:name="_Hlk159928058"/>
      <w:r>
        <w:rPr>
          <w:b/>
          <w:bCs/>
          <w:color w:val="000000"/>
        </w:rPr>
        <w:t xml:space="preserve">                     « </w:t>
      </w:r>
      <w:r>
        <w:rPr/>
        <w:t>» _____________ 202</w:t>
      </w:r>
      <w:r>
        <w:rPr>
          <w:rFonts w:eastAsia="Times New Roman" w:cs="Times New Roman"/>
          <w:color w:val="auto"/>
          <w:kern w:val="0"/>
          <w:sz w:val="20"/>
          <w:szCs w:val="20"/>
          <w:lang w:val="ru-RU" w:eastAsia="ru-RU" w:bidi="ar-SA"/>
        </w:rPr>
        <w:t xml:space="preserve">6 </w:t>
      </w:r>
      <w:r>
        <w:rPr/>
        <w:t>г.</w:t>
      </w:r>
      <w:bookmarkEnd w:id="0"/>
    </w:p>
    <w:p>
      <w:pPr>
        <w:pStyle w:val="Normal"/>
        <w:spacing w:before="0" w:after="60"/>
        <w:jc w:val="both"/>
        <w:rPr/>
      </w:pPr>
      <w:r>
        <w:rPr/>
      </w:r>
    </w:p>
    <w:p>
      <w:pPr>
        <w:pStyle w:val="Normal"/>
        <w:jc w:val="both"/>
        <w:rPr/>
      </w:pPr>
      <w:r>
        <w:rPr>
          <w:b/>
          <w:bCs/>
        </w:rPr>
        <w:tab/>
      </w:r>
      <w:bookmarkStart w:id="1" w:name="_Hlk177565890"/>
      <w:r>
        <w:rPr>
          <w:b w:val="false"/>
          <w:bCs w:val="false"/>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val="false"/>
          <w:bCs w:val="false"/>
        </w:rPr>
        <w:t xml:space="preserve"> (НИИ КПССЗ),</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w:t>
      </w:r>
      <w:r>
        <w:rPr>
          <w:b/>
          <w:bCs/>
        </w:rPr>
        <w:t>«Заказчик»</w:t>
      </w:r>
      <w:r>
        <w:rPr/>
        <w:t>, с одной стороны, и _____________________, в лице ____________, действующего на основании _____, именуем</w:t>
      </w:r>
      <w:r>
        <w:rPr>
          <w:rFonts w:eastAsia="Times New Roman" w:cs="Times New Roman"/>
          <w:color w:val="auto"/>
          <w:kern w:val="0"/>
          <w:sz w:val="20"/>
          <w:szCs w:val="20"/>
          <w:lang w:val="ru-RU" w:eastAsia="ru-RU" w:bidi="ar-SA"/>
        </w:rPr>
        <w:t>ое</w:t>
      </w:r>
      <w:r>
        <w:rPr/>
        <w:t xml:space="preserve"> в дальнейшем </w:t>
      </w:r>
      <w:r>
        <w:rPr>
          <w:b/>
          <w:bCs/>
        </w:rPr>
        <w:t>«Поставщик»</w:t>
      </w:r>
      <w:r>
        <w:rPr/>
        <w:t xml:space="preserve">, с другой стороны, в дальнейшем именуемые </w:t>
      </w:r>
      <w:r>
        <w:rPr>
          <w:b/>
          <w:bCs/>
        </w:rPr>
        <w:t>«Стороны/Сторона»</w:t>
      </w:r>
      <w:r>
        <w:rPr/>
        <w:t xml:space="preserve">, на основании </w:t>
      </w:r>
      <w:r>
        <w:rPr>
          <w:shd w:fill="auto" w:val="clear"/>
        </w:rPr>
        <w:t>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w:t>
      </w:r>
      <w:r>
        <w:rPr/>
        <w:t>ных нужд», заключили настоящий Контракт о нижеследующем:</w:t>
      </w:r>
    </w:p>
    <w:p>
      <w:pPr>
        <w:pStyle w:val="Normal"/>
        <w:jc w:val="both"/>
        <w:rPr/>
      </w:pPr>
      <w:r>
        <w:rPr/>
      </w:r>
    </w:p>
    <w:p>
      <w:pPr>
        <w:pStyle w:val="Normal"/>
        <w:spacing w:before="0" w:after="60"/>
        <w:jc w:val="center"/>
        <w:rPr/>
      </w:pPr>
      <w:r>
        <w:rPr>
          <w:b/>
        </w:rPr>
        <w:t xml:space="preserve">1. Предмет </w:t>
      </w:r>
      <w:r>
        <w:rPr>
          <w:b/>
          <w:bCs/>
        </w:rPr>
        <w:t>Контракта</w:t>
      </w:r>
    </w:p>
    <w:p>
      <w:pPr>
        <w:pStyle w:val="Normal"/>
        <w:numPr>
          <w:ilvl w:val="0"/>
          <w:numId w:val="0"/>
        </w:numPr>
        <w:ind w:hanging="0" w:left="0" w:right="0"/>
        <w:jc w:val="both"/>
        <w:rPr>
          <w:color w:val="000000"/>
        </w:rPr>
      </w:pPr>
      <w:r>
        <w:rPr/>
        <w:t xml:space="preserve">1.1. Поставщик по настоящему </w:t>
      </w:r>
      <w:r>
        <w:rPr>
          <w:bCs/>
        </w:rPr>
        <w:t>Контракту</w:t>
      </w:r>
      <w:r>
        <w:rPr/>
        <w:t xml:space="preserve"> обязуется поставить то</w:t>
      </w:r>
      <w:r>
        <w:rPr>
          <w:rFonts w:eastAsia="Times New Roman" w:cs="Times New Roman"/>
          <w:bCs/>
          <w:color w:val="auto"/>
          <w:kern w:val="0"/>
          <w:sz w:val="20"/>
          <w:szCs w:val="20"/>
          <w:lang w:val="ru-RU" w:eastAsia="ru-RU" w:bidi="ar-SA"/>
        </w:rPr>
        <w:t xml:space="preserve">вар: </w:t>
      </w:r>
      <w:r>
        <w:rPr>
          <w:rFonts w:eastAsia="Times New Roman" w:cs="Times New Roman"/>
          <w:bCs/>
          <w:color w:val="auto"/>
          <w:kern w:val="0"/>
          <w:sz w:val="20"/>
          <w:szCs w:val="20"/>
          <w:lang w:val="ru-RU" w:eastAsia="ru-RU" w:bidi="ar-SA"/>
        </w:rPr>
        <w:t>мешки</w:t>
      </w:r>
      <w:r>
        <w:rPr>
          <w:rFonts w:eastAsia="Times New Roman" w:cs="Times New Roman"/>
          <w:bCs/>
          <w:color w:val="auto"/>
          <w:kern w:val="0"/>
          <w:sz w:val="20"/>
          <w:szCs w:val="20"/>
          <w:lang w:val="ru-RU" w:eastAsia="ru-RU" w:bidi="ar-SA"/>
        </w:rPr>
        <w:t xml:space="preserve"> для пылесоса</w:t>
      </w:r>
      <w:bookmarkStart w:id="2" w:name="_Hlk174882135"/>
      <w:r>
        <w:rPr>
          <w:rFonts w:eastAsia="Times New Roman" w:cs="Times New Roman"/>
          <w:bCs/>
          <w:color w:val="auto"/>
          <w:kern w:val="0"/>
          <w:sz w:val="20"/>
          <w:szCs w:val="20"/>
          <w:lang w:val="ru-RU" w:eastAsia="ru-RU" w:bidi="ar-SA"/>
        </w:rPr>
        <w:t xml:space="preserve"> </w:t>
      </w:r>
      <w:bookmarkEnd w:id="2"/>
      <w:r>
        <w:rPr>
          <w:rFonts w:eastAsia="Times New Roman" w:cs="Times New Roman"/>
          <w:bCs/>
          <w:color w:val="auto"/>
          <w:kern w:val="0"/>
          <w:sz w:val="20"/>
          <w:szCs w:val="20"/>
          <w:lang w:val="ru-RU" w:eastAsia="ru-RU" w:bidi="ar-SA"/>
        </w:rPr>
        <w:t>и передать</w:t>
      </w:r>
      <w:r>
        <w:rPr/>
        <w:t xml:space="preserve">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 1 к настоящему </w:t>
      </w:r>
      <w:r>
        <w:rPr>
          <w:bCs/>
        </w:rPr>
        <w:t>Контракту</w:t>
      </w:r>
      <w:r>
        <w:rPr/>
        <w:t>), которая является его неотъемлемой частью.</w:t>
      </w:r>
    </w:p>
    <w:p>
      <w:pPr>
        <w:pStyle w:val="Normal"/>
        <w:jc w:val="both"/>
        <w:rPr>
          <w:b/>
          <w:lang w:val="ru-RU"/>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left="0" w:right="0"/>
        <w:jc w:val="center"/>
        <w:rPr>
          <w:b/>
          <w:lang w:val="ru-RU"/>
        </w:rPr>
      </w:pPr>
      <w:r>
        <w:rPr>
          <w:b/>
          <w:lang w:val="ru-RU"/>
        </w:rPr>
        <w:t>2. Цена Контракта и порядок расчетов</w:t>
      </w:r>
    </w:p>
    <w:p>
      <w:pPr>
        <w:pStyle w:val="CommentText"/>
        <w:jc w:val="both"/>
        <w:rPr>
          <w:rFonts w:eastAsia="Times New Roman" w:cs="Times New Roman"/>
          <w:bCs/>
          <w:color w:val="auto"/>
          <w:kern w:val="0"/>
          <w:sz w:val="20"/>
          <w:szCs w:val="20"/>
          <w:lang w:val="ru-RU" w:eastAsia="ru-RU" w:bidi="ar-SA"/>
        </w:rPr>
      </w:pPr>
      <w:r>
        <w:rPr/>
        <w:t xml:space="preserve">2.1. Цена Контракта составляет </w:t>
      </w:r>
      <w:r>
        <w:rPr>
          <w:b/>
          <w:bCs/>
        </w:rPr>
        <w:t>________</w:t>
      </w:r>
      <w:r>
        <w:rPr/>
        <w:t xml:space="preserve"> рублей (_____________ рублей ___ копеек), </w:t>
      </w:r>
      <w:r>
        <w:rPr>
          <w:rFonts w:eastAsia="Times New Roman" w:cs="Times New Roman"/>
          <w:color w:val="000000"/>
          <w:kern w:val="0"/>
          <w:sz w:val="20"/>
          <w:szCs w:val="20"/>
          <w:highlight w:val="white"/>
          <w:lang w:val="ru-RU" w:eastAsia="ru-RU" w:bidi="ar-SA"/>
        </w:rPr>
        <w:t>в том числе НДС ___% ______ руб. (____________ рублей ___ копеек)</w:t>
      </w:r>
      <w:r>
        <w:rPr/>
        <w:t xml:space="preserve"> </w:t>
      </w:r>
    </w:p>
    <w:p>
      <w:pPr>
        <w:pStyle w:val="CommentText"/>
        <w:jc w:val="both"/>
        <w:rPr>
          <w:rFonts w:eastAsia="Times New Roman" w:cs="Times New Roman"/>
          <w:bCs/>
          <w:color w:val="auto"/>
          <w:kern w:val="0"/>
          <w:sz w:val="20"/>
          <w:szCs w:val="20"/>
          <w:lang w:val="ru-RU" w:eastAsia="ru-RU" w:bidi="ar-SA"/>
        </w:rPr>
      </w:pPr>
      <w:r>
        <w:rPr>
          <w:rFonts w:eastAsia="Times New Roman" w:cs="Times New Roman"/>
          <w:bCs/>
          <w:color w:val="auto"/>
          <w:kern w:val="0"/>
          <w:sz w:val="20"/>
          <w:szCs w:val="20"/>
          <w:lang w:val="ru-RU" w:eastAsia="ru-RU" w:bidi="ar-SA"/>
        </w:rPr>
        <w:tab/>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tab/>
      </w:r>
    </w:p>
    <w:p>
      <w:pPr>
        <w:pStyle w:val="CommentText"/>
        <w:jc w:val="both"/>
        <w:rPr>
          <w:bCs/>
        </w:rPr>
      </w:pPr>
      <w:r>
        <w:rPr>
          <w:rFonts w:eastAsia="Times New Roman" w:cs="Times New Roman"/>
          <w:bCs/>
          <w:color w:val="auto"/>
          <w:kern w:val="0"/>
          <w:sz w:val="20"/>
          <w:szCs w:val="20"/>
          <w:lang w:val="ru-RU" w:eastAsia="ru-RU" w:bidi="ar-SA"/>
        </w:rPr>
        <w:tab/>
        <w:t>В случае изменения законодательства Российской Федерации в отношении условия налогообложения цена Контракта, указанная в абзаце первом настоящего пункта, не подлежит изменению и включает в себя НДС. Поставщик не вправе предъявлять к оплате суммы сверх установленной в настоящем пункте.</w:t>
      </w:r>
      <w:r>
        <w:rPr>
          <w:bCs/>
        </w:rPr>
        <w:tab/>
      </w:r>
    </w:p>
    <w:p>
      <w:pPr>
        <w:pStyle w:val="CommentText"/>
        <w:jc w:val="both"/>
        <w:rPr>
          <w:bCs/>
        </w:rPr>
      </w:pPr>
      <w:r>
        <w:rPr>
          <w:bCs/>
        </w:rPr>
        <w:tab/>
      </w:r>
    </w:p>
    <w:p>
      <w:pPr>
        <w:pStyle w:val="Normal"/>
        <w:widowControl w:val="false"/>
        <w:jc w:val="both"/>
        <w:rPr>
          <w:lang w:val="ru-RU"/>
        </w:rPr>
      </w:pPr>
      <w:r>
        <w:rPr/>
        <w:t xml:space="preserve">2.2. Цена Контракта является твердой и определяется на весь срок исполнения Контракта. </w:t>
      </w:r>
    </w:p>
    <w:p>
      <w:pPr>
        <w:pStyle w:val="BodyTextIndent"/>
        <w:tabs>
          <w:tab w:val="clear" w:pos="531"/>
          <w:tab w:val="left" w:pos="540" w:leader="none"/>
        </w:tabs>
        <w:ind w:hanging="0" w:left="0" w:right="0"/>
        <w:rPr>
          <w:lang w:val="ru-RU"/>
        </w:rPr>
      </w:pPr>
      <w:r>
        <w:rPr>
          <w:lang w:val="ru-RU"/>
        </w:rPr>
        <w:t xml:space="preserve">2.3. </w:t>
      </w:r>
      <w:r>
        <w:rPr>
          <w:rFonts w:eastAsia="Times New Roman"/>
          <w:color w:val="000000"/>
          <w:lang w:val="ru-RU"/>
        </w:rPr>
        <w:t xml:space="preserve">Расчет по настоящему Контракту производится Заказчиком в течение </w:t>
      </w:r>
      <w:r>
        <w:rPr>
          <w:rFonts w:eastAsia="Times New Roman"/>
          <w:color w:val="000000"/>
          <w:shd w:fill="auto" w:val="clear"/>
          <w:lang w:val="ru-RU"/>
        </w:rPr>
        <w:t>10</w:t>
      </w:r>
      <w:r>
        <w:rPr>
          <w:rFonts w:eastAsia="Times New Roman"/>
          <w:color w:val="000000"/>
          <w:lang w:val="ru-RU"/>
        </w:rPr>
        <w:t xml:space="preserve">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val="000000"/>
          <w:sz w:val="24"/>
          <w:lang w:val="ru-RU"/>
        </w:rPr>
        <w:t>.</w:t>
      </w:r>
    </w:p>
    <w:p>
      <w:pPr>
        <w:pStyle w:val="BodyTextIndent"/>
        <w:tabs>
          <w:tab w:val="clear" w:pos="531"/>
          <w:tab w:val="left" w:pos="540" w:leader="none"/>
        </w:tabs>
        <w:ind w:hanging="0" w:left="0" w:right="0"/>
        <w:rPr>
          <w:rFonts w:eastAsia="Times New Roman" w:cs="Times New Roman"/>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531"/>
          <w:tab w:val="left" w:pos="540" w:leader="none"/>
        </w:tabs>
        <w:ind w:hanging="0" w:left="0" w:right="0"/>
        <w:rPr/>
      </w:pPr>
      <w:r>
        <w:rPr>
          <w:rFonts w:eastAsia="Times New Roman" w:cs="Times New Roman"/>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3" w:name="_Hlk178155259"/>
      <w:bookmarkEnd w:id="3"/>
    </w:p>
    <w:p>
      <w:pPr>
        <w:pStyle w:val="Normal"/>
        <w:jc w:val="both"/>
        <w:rPr>
          <w:b/>
        </w:rPr>
      </w:pPr>
      <w:r>
        <w:rPr/>
        <w:t>2.5. Источник финансирования:</w:t>
      </w:r>
      <w:bookmarkStart w:id="4" w:name="_Hlk174882174"/>
      <w:r>
        <w:rPr/>
        <w:t xml:space="preserve"> </w:t>
      </w:r>
      <w:bookmarkEnd w:id="4"/>
      <w:r>
        <w:rPr>
          <w:shd w:fill="auto" w:val="clear"/>
        </w:rPr>
        <w:t>средства бюджетного учреждения.</w:t>
      </w:r>
    </w:p>
    <w:p>
      <w:pPr>
        <w:pStyle w:val="Normal"/>
        <w:rPr>
          <w:b/>
        </w:rPr>
      </w:pPr>
      <w:r>
        <w:rPr>
          <w:b/>
        </w:rPr>
      </w:r>
    </w:p>
    <w:p>
      <w:pPr>
        <w:pStyle w:val="Normal"/>
        <w:jc w:val="center"/>
        <w:rPr>
          <w:b/>
          <w:lang w:val="ru-RU"/>
        </w:rPr>
      </w:pPr>
      <w:r>
        <w:rPr>
          <w:b/>
        </w:rPr>
        <w:t>3. Права и обязанности сторон</w:t>
      </w:r>
    </w:p>
    <w:p>
      <w:pPr>
        <w:pStyle w:val="BodyTextIndent"/>
        <w:tabs>
          <w:tab w:val="clear" w:pos="531"/>
          <w:tab w:val="left" w:pos="0" w:leader="none"/>
        </w:tabs>
        <w:ind w:hanging="0" w:left="0" w:right="0"/>
        <w:rPr>
          <w:lang w:val="ru-RU"/>
        </w:rPr>
      </w:pPr>
      <w:r>
        <w:rPr>
          <w:b/>
          <w:lang w:val="ru-RU"/>
        </w:rPr>
        <w:t>3.1.</w:t>
      </w:r>
      <w:r>
        <w:rPr>
          <w:b/>
        </w:rPr>
        <w:t> </w:t>
      </w:r>
      <w:r>
        <w:rPr>
          <w:b/>
          <w:lang w:val="ru-RU"/>
        </w:rPr>
        <w:t>Заказчик по Контракту вправе:</w:t>
      </w:r>
    </w:p>
    <w:p>
      <w:pPr>
        <w:pStyle w:val="BodyTextIndent"/>
        <w:tabs>
          <w:tab w:val="clear" w:pos="531"/>
          <w:tab w:val="left" w:pos="0" w:leader="none"/>
        </w:tabs>
        <w:ind w:hanging="0" w:left="0" w:right="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531"/>
          <w:tab w:val="left" w:pos="0" w:leader="none"/>
        </w:tabs>
        <w:ind w:hanging="0" w:left="0" w:right="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531"/>
          <w:tab w:val="left" w:pos="0" w:leader="none"/>
        </w:tabs>
        <w:ind w:hanging="0" w:left="0" w:right="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531"/>
          <w:tab w:val="left" w:pos="0" w:leader="none"/>
        </w:tabs>
        <w:ind w:hanging="0" w:left="0" w:right="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531"/>
          <w:tab w:val="left" w:pos="0" w:leader="none"/>
        </w:tabs>
        <w:ind w:hanging="0" w:left="0" w:right="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531"/>
          <w:tab w:val="left" w:pos="0" w:leader="none"/>
        </w:tabs>
        <w:ind w:hanging="0" w:left="0" w:right="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531"/>
          <w:tab w:val="left" w:pos="0" w:leader="none"/>
        </w:tabs>
        <w:ind w:hanging="0" w:left="0" w:right="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531"/>
          <w:tab w:val="left" w:pos="0" w:leader="none"/>
        </w:tabs>
        <w:ind w:hanging="0" w:left="0" w:right="0"/>
        <w:rPr>
          <w:b/>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531"/>
          <w:tab w:val="left" w:pos="0" w:leader="none"/>
        </w:tabs>
        <w:ind w:hanging="0" w:left="0" w:right="0"/>
        <w:rPr>
          <w:lang w:val="ru-RU"/>
        </w:rPr>
      </w:pPr>
      <w:r>
        <w:rPr>
          <w:b/>
          <w:lang w:val="ru-RU"/>
        </w:rPr>
        <w:t>3.2.</w:t>
      </w:r>
      <w:r>
        <w:rPr>
          <w:b/>
        </w:rPr>
        <w:t> </w:t>
      </w:r>
      <w:r>
        <w:rPr>
          <w:b/>
          <w:lang w:val="ru-RU"/>
        </w:rPr>
        <w:t>Заказчик по Контракту обязан:</w:t>
      </w:r>
    </w:p>
    <w:p>
      <w:pPr>
        <w:pStyle w:val="BodyTextIndent"/>
        <w:tabs>
          <w:tab w:val="clear" w:pos="531"/>
          <w:tab w:val="left" w:pos="0" w:leader="none"/>
        </w:tabs>
        <w:ind w:hanging="0" w:left="0" w:right="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531"/>
          <w:tab w:val="left" w:pos="0" w:leader="none"/>
        </w:tabs>
        <w:ind w:hanging="0" w:left="0" w:right="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531"/>
          <w:tab w:val="left" w:pos="0" w:leader="none"/>
        </w:tabs>
        <w:ind w:hanging="0" w:left="0" w:right="0"/>
        <w:rPr>
          <w:b/>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 61н) (далее -ф. 0510452) в порядке и сроки, предусмотренные Контрактом.  3.2.4 Требовать уплаты неустойки (штрафа, пени) в соответствии с разделом 8 Контракта.</w:t>
      </w:r>
      <w:bookmarkStart w:id="5" w:name="_Hlk178155480"/>
      <w:bookmarkEnd w:id="5"/>
    </w:p>
    <w:p>
      <w:pPr>
        <w:pStyle w:val="BodyTextIndent"/>
        <w:tabs>
          <w:tab w:val="clear" w:pos="531"/>
          <w:tab w:val="left" w:pos="0" w:leader="none"/>
        </w:tabs>
        <w:ind w:hanging="0" w:left="0" w:right="0"/>
        <w:rPr>
          <w:lang w:val="ru-RU"/>
        </w:rPr>
      </w:pPr>
      <w:r>
        <w:rPr>
          <w:b/>
          <w:lang w:val="ru-RU"/>
        </w:rPr>
        <w:t>3.3.</w:t>
      </w:r>
      <w:r>
        <w:rPr>
          <w:b/>
        </w:rPr>
        <w:t> </w:t>
      </w:r>
      <w:r>
        <w:rPr>
          <w:b/>
          <w:lang w:val="ru-RU"/>
        </w:rPr>
        <w:t>Поставщик по Контракту вправе:</w:t>
      </w:r>
    </w:p>
    <w:p>
      <w:pPr>
        <w:pStyle w:val="BodyTextIndent"/>
        <w:tabs>
          <w:tab w:val="clear" w:pos="531"/>
          <w:tab w:val="left" w:pos="0" w:leader="none"/>
        </w:tabs>
        <w:ind w:hanging="0" w:left="0" w:right="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531"/>
          <w:tab w:val="left" w:pos="0" w:leader="none"/>
        </w:tabs>
        <w:ind w:hanging="0" w:left="0" w:right="0"/>
        <w:rPr>
          <w:b/>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531"/>
          <w:tab w:val="left" w:pos="0" w:leader="none"/>
        </w:tabs>
        <w:ind w:hanging="0" w:left="0" w:right="0"/>
        <w:rPr>
          <w:lang w:val="ru-RU"/>
        </w:rPr>
      </w:pPr>
      <w:r>
        <w:rPr>
          <w:b/>
          <w:lang w:val="ru-RU"/>
        </w:rPr>
        <w:t>3.4.</w:t>
      </w:r>
      <w:r>
        <w:rPr>
          <w:b/>
        </w:rPr>
        <w:t> </w:t>
      </w:r>
      <w:r>
        <w:rPr>
          <w:b/>
          <w:lang w:val="ru-RU"/>
        </w:rPr>
        <w:t>Поставщик по Контракту обязан:</w:t>
      </w:r>
    </w:p>
    <w:p>
      <w:pPr>
        <w:pStyle w:val="BodyTextIndent"/>
        <w:tabs>
          <w:tab w:val="clear" w:pos="531"/>
          <w:tab w:val="left" w:pos="0" w:leader="none"/>
        </w:tabs>
        <w:ind w:hanging="0" w:left="0" w:right="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531"/>
          <w:tab w:val="left" w:pos="0" w:leader="none"/>
        </w:tabs>
        <w:ind w:hanging="0" w:left="0" w:right="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531"/>
          <w:tab w:val="left" w:pos="0" w:leader="none"/>
        </w:tabs>
        <w:ind w:hanging="0" w:left="0" w:right="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531"/>
          <w:tab w:val="left" w:pos="0" w:leader="none"/>
        </w:tabs>
        <w:ind w:hanging="0" w:left="0" w:right="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531"/>
          <w:tab w:val="left" w:pos="0" w:leader="none"/>
        </w:tabs>
        <w:ind w:hanging="0" w:left="0" w:right="0"/>
        <w:rPr>
          <w:lang w:val="ru-RU"/>
        </w:rPr>
      </w:pPr>
      <w:r>
        <w:rPr>
          <w:lang w:val="ru-RU"/>
        </w:rPr>
        <w:t>3.4.5. Надлежаще исполнять иные принятые на себя обязательства.</w:t>
      </w:r>
    </w:p>
    <w:p>
      <w:pPr>
        <w:pStyle w:val="BodyTextIndent"/>
        <w:tabs>
          <w:tab w:val="clear" w:pos="531"/>
          <w:tab w:val="left" w:pos="0" w:leader="none"/>
        </w:tabs>
        <w:ind w:hanging="0" w:left="0" w:right="0"/>
        <w:rPr>
          <w:lang w:val="ru-RU"/>
        </w:rPr>
      </w:pPr>
      <w:r>
        <w:rPr>
          <w:lang w:val="ru-RU"/>
        </w:rPr>
      </w:r>
    </w:p>
    <w:p>
      <w:pPr>
        <w:pStyle w:val="Normal"/>
        <w:shd w:val="clear" w:fill="FFFFFF"/>
        <w:tabs>
          <w:tab w:val="clear" w:pos="531"/>
          <w:tab w:val="left" w:pos="0" w:leader="none"/>
          <w:tab w:val="left" w:pos="900" w:leader="none"/>
        </w:tabs>
        <w:jc w:val="center"/>
        <w:rPr>
          <w:b/>
        </w:rPr>
      </w:pPr>
      <w:r>
        <w:rPr>
          <w:b/>
        </w:rPr>
        <w:t>4. Сроки и условия поставки Товара</w:t>
      </w:r>
    </w:p>
    <w:p>
      <w:pPr>
        <w:pStyle w:val="Normal"/>
        <w:shd w:val="clear" w:fill="FFFFFF"/>
        <w:tabs>
          <w:tab w:val="clear" w:pos="531"/>
          <w:tab w:val="left" w:pos="0" w:leader="none"/>
          <w:tab w:val="left" w:pos="900" w:leader="none"/>
        </w:tabs>
        <w:jc w:val="both"/>
        <w:rPr/>
      </w:pPr>
      <w:r>
        <w:rPr/>
        <w:t xml:space="preserve">4.1. </w:t>
      </w:r>
      <w:r>
        <w:rPr>
          <w:shd w:fill="auto" w:val="clear"/>
        </w:rPr>
        <w:t xml:space="preserve">Поставка товара осуществляется </w:t>
      </w:r>
      <w:r>
        <w:rPr>
          <w:i w:val="false"/>
          <w:iCs w:val="false"/>
          <w:u w:val="none"/>
          <w:shd w:fill="auto" w:val="clear"/>
        </w:rPr>
        <w:t>единовременно в течении 10 дней с момента заключения контракта</w:t>
      </w:r>
      <w:r>
        <w:rPr>
          <w:b/>
          <w:bCs/>
          <w:shd w:fill="auto" w:val="clear"/>
        </w:rPr>
        <w:t>.</w:t>
      </w:r>
      <w:r>
        <w:rPr>
          <w:shd w:fill="auto" w:val="clear"/>
        </w:rPr>
        <w:t xml:space="preserve">  </w:t>
      </w:r>
    </w:p>
    <w:p>
      <w:pPr>
        <w:pStyle w:val="Normal"/>
        <w:shd w:val="clear" w:fill="FFFFFF"/>
        <w:tabs>
          <w:tab w:val="clear" w:pos="531"/>
          <w:tab w:val="left" w:pos="0" w:leader="none"/>
          <w:tab w:val="left" w:pos="900" w:leader="none"/>
        </w:tabs>
        <w:jc w:val="both"/>
        <w:rPr>
          <w:highlight w:val="none"/>
          <w:shd w:fill="auto" w:val="clear"/>
        </w:rPr>
      </w:pPr>
      <w:r>
        <w:rPr>
          <w:shd w:fill="auto" w:val="clea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shd w:fill="auto" w:val="clear"/>
        </w:rPr>
        <w:t xml:space="preserve"> в рабочие дни с 8-00 до 15-00.</w:t>
      </w:r>
    </w:p>
    <w:p>
      <w:pPr>
        <w:pStyle w:val="Normal"/>
        <w:shd w:val="clear" w:fill="FFFFFF"/>
        <w:tabs>
          <w:tab w:val="clear" w:pos="531"/>
          <w:tab w:val="left" w:pos="0" w:leader="none"/>
          <w:tab w:val="left" w:pos="900" w:leader="none"/>
        </w:tabs>
        <w:jc w:val="both"/>
        <w:rPr>
          <w:highlight w:val="none"/>
          <w:shd w:fill="auto" w:val="clear"/>
        </w:rPr>
      </w:pPr>
      <w:r>
        <w:rPr>
          <w:rFonts w:eastAsia="Times New Roman" w:cs="Times New Roman"/>
          <w:bCs/>
          <w:shd w:fill="auto" w:val="clear"/>
        </w:rPr>
        <w:t xml:space="preserve">   </w:t>
      </w:r>
      <w:r>
        <w:rPr>
          <w:bCs/>
          <w:shd w:fill="auto" w:val="clear"/>
        </w:rPr>
        <w:t>О предстоящей поставке Поставщик заранее информирует по тел.: 8-3842-34-51-65 или по электронной почте: ostalv@kemcardio.ru.</w:t>
      </w:r>
    </w:p>
    <w:p>
      <w:pPr>
        <w:pStyle w:val="Normal"/>
        <w:shd w:val="clear" w:fill="FFFFFF"/>
        <w:tabs>
          <w:tab w:val="clear" w:pos="531"/>
          <w:tab w:val="left" w:pos="0" w:leader="none"/>
          <w:tab w:val="left" w:pos="900" w:leader="none"/>
        </w:tabs>
        <w:jc w:val="both"/>
        <w:rPr>
          <w:highlight w:val="none"/>
          <w:shd w:fill="auto" w:val="clear"/>
        </w:rPr>
      </w:pPr>
      <w:r>
        <w:rPr>
          <w:shd w:fill="auto" w:val="clear"/>
        </w:rPr>
        <w:t xml:space="preserve">4.3. </w:t>
      </w:r>
      <w:r>
        <w:rPr>
          <w:color w:val="000000"/>
          <w:shd w:fill="auto" w:val="clear"/>
        </w:rPr>
        <w:t>Датой поставки Товара считается дата подписания Заказчиком счет-фактуры (УПД) или товарной накладной.</w:t>
      </w:r>
    </w:p>
    <w:p>
      <w:pPr>
        <w:pStyle w:val="Normal"/>
        <w:jc w:val="both"/>
        <w:rPr>
          <w:shd w:fill="auto" w:val="clear"/>
        </w:rPr>
      </w:pPr>
      <w:r>
        <w:rPr>
          <w:color w:val="000000"/>
          <w:shd w:fill="auto" w:val="clear"/>
        </w:rPr>
        <w:t>4.4. Вместе с Товаром Поставщик передает Заказчику следующие документы:</w:t>
      </w:r>
    </w:p>
    <w:p>
      <w:pPr>
        <w:pStyle w:val="Normal"/>
        <w:tabs>
          <w:tab w:val="clear" w:pos="531"/>
          <w:tab w:val="left" w:pos="0" w:leader="none"/>
          <w:tab w:val="left" w:pos="900" w:leader="none"/>
        </w:tabs>
        <w:jc w:val="both"/>
        <w:rPr>
          <w:shd w:fill="auto" w:val="clear"/>
        </w:rPr>
      </w:pPr>
      <w:r>
        <w:rPr>
          <w:shd w:fill="auto" w:val="clear"/>
        </w:rPr>
        <w:t>- инструкцию по эксплуатации, включающую в себя срок и условия гарантийного обслуживания</w:t>
      </w:r>
    </w:p>
    <w:p>
      <w:pPr>
        <w:pStyle w:val="Normal"/>
        <w:tabs>
          <w:tab w:val="clear" w:pos="531"/>
          <w:tab w:val="left" w:pos="0" w:leader="none"/>
          <w:tab w:val="left" w:pos="900" w:leader="none"/>
        </w:tabs>
        <w:jc w:val="both"/>
        <w:rPr>
          <w:rFonts w:eastAsia="Times New Roman" w:cs="Times New Roman"/>
          <w:shd w:fill="auto" w:val="clear"/>
        </w:rPr>
      </w:pPr>
      <w:r>
        <w:rPr>
          <w:shd w:fill="auto" w:val="clear"/>
        </w:rPr>
        <w:t xml:space="preserve">-сертификат (декларацию) соответствия на Товар, подлежащий обязательной сертификации в соответствии с действующим законодательством Российской Федерации. </w:t>
      </w:r>
    </w:p>
    <w:p>
      <w:pPr>
        <w:pStyle w:val="Normal"/>
        <w:tabs>
          <w:tab w:val="clear" w:pos="531"/>
          <w:tab w:val="left" w:pos="0" w:leader="none"/>
          <w:tab w:val="left" w:pos="900" w:leader="none"/>
        </w:tabs>
        <w:jc w:val="both"/>
        <w:rPr/>
      </w:pPr>
      <w:r>
        <w:rPr>
          <w:rFonts w:eastAsia="Times New Roman" w:cs="Times New Roman"/>
          <w:shd w:fill="auto" w:val="clear"/>
        </w:rPr>
        <w:t xml:space="preserve"> </w:t>
      </w:r>
      <w:r>
        <w:rPr>
          <w:shd w:fill="auto" w:val="clear"/>
        </w:rPr>
        <w:tab/>
        <w:t>Cчёт-фактура (или УПД) предоставляется посредством ЭДО либо почтой.</w:t>
      </w:r>
    </w:p>
    <w:p>
      <w:pPr>
        <w:pStyle w:val="Normal"/>
        <w:tabs>
          <w:tab w:val="clear" w:pos="531"/>
          <w:tab w:val="left" w:pos="0" w:leader="none"/>
          <w:tab w:val="left" w:pos="900" w:leader="none"/>
        </w:tabs>
        <w:jc w:val="both"/>
        <w:rPr/>
      </w:pPr>
      <w:r>
        <w:rPr/>
      </w:r>
    </w:p>
    <w:p>
      <w:pPr>
        <w:pStyle w:val="BodyTextIndent"/>
        <w:ind w:hanging="0" w:left="0" w:right="0"/>
        <w:jc w:val="center"/>
        <w:rPr>
          <w:b/>
          <w:lang w:val="ru-RU"/>
        </w:rPr>
      </w:pPr>
      <w:r>
        <w:rPr>
          <w:b/>
          <w:lang w:val="ru-RU"/>
        </w:rPr>
        <w:t>5. Порядок приемки Товара</w:t>
      </w:r>
    </w:p>
    <w:p>
      <w:pPr>
        <w:pStyle w:val="Normal"/>
        <w:jc w:val="both"/>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Счет-фактура (или УПД) предоставляется посредством ЭДО либо почтой.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b/>
          <w:lang w:val="ru-RU"/>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left="0" w:right="0"/>
        <w:jc w:val="center"/>
        <w:rPr>
          <w:b/>
          <w:lang w:val="ru-RU"/>
        </w:rPr>
      </w:pPr>
      <w:r>
        <w:rPr>
          <w:b/>
          <w:lang w:val="ru-RU"/>
        </w:rPr>
        <w:t>6. Гарантия качества</w:t>
      </w:r>
    </w:p>
    <w:p>
      <w:pPr>
        <w:pStyle w:val="Normal"/>
        <w:numPr>
          <w:ilvl w:val="0"/>
          <w:numId w:val="0"/>
        </w:numPr>
        <w:ind w:hanging="0" w:left="0" w:right="0"/>
        <w:jc w:val="both"/>
        <w:rPr>
          <w:shd w:fill="auto" w:val="clear"/>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shd w:fill="auto" w:val="clear"/>
        </w:rPr>
      </w:pPr>
      <w:r>
        <w:rPr>
          <w:shd w:fill="auto" w:val="clear"/>
        </w:rPr>
        <w:t>6.2. Товар должен быть новым,</w:t>
      </w:r>
      <w:r>
        <w:rPr>
          <w:rFonts w:cs="Times New Roman"/>
          <w:bCs/>
          <w:color w:val="000000"/>
          <w:shd w:fill="auto" w:val="clear"/>
        </w:rPr>
        <w:t xml:space="preserve"> не восстановленным, не бывшим в употреблении, не прошедшим ремонт, в том числе восстановление, замену составных частей, восстановление потребительских свойств, иметь заводскую сборку и выпускаться серийно, свободно распространятся на территории Российской Федерации. Не допускается поставка выставочных образцов. </w:t>
      </w:r>
      <w:r>
        <w:rPr>
          <w:rFonts w:eastAsia="Times New Roman" w:cs="Times New Roman"/>
          <w:bCs/>
          <w:color w:val="000000"/>
          <w:kern w:val="0"/>
          <w:sz w:val="20"/>
          <w:szCs w:val="20"/>
          <w:shd w:fill="auto" w:val="clear"/>
          <w:lang w:val="ru-RU" w:eastAsia="ru-RU" w:bidi="ar-SA"/>
        </w:rPr>
        <w:t>Контейнеры н</w:t>
      </w:r>
      <w:r>
        <w:rPr>
          <w:rFonts w:cs="Times New Roman"/>
          <w:bCs/>
          <w:color w:val="000000"/>
          <w:shd w:fill="auto" w:val="clear"/>
        </w:rPr>
        <w:t>е должны иметь дефектов, связанных с конструкцией, материалами и функционированием при штатном использовании.</w:t>
      </w:r>
    </w:p>
    <w:p>
      <w:pPr>
        <w:pStyle w:val="Normal"/>
        <w:jc w:val="both"/>
        <w:rPr/>
      </w:pPr>
      <w:r>
        <w:rPr>
          <w:shd w:fill="auto" w:val="clear"/>
        </w:rPr>
        <w:t>6.3.</w:t>
      </w:r>
      <w:r>
        <w:rPr>
          <w:rFonts w:eastAsia="Times New Roman" w:cs="Times New Roman"/>
          <w:bCs/>
          <w:color w:val="000000"/>
          <w:kern w:val="0"/>
          <w:sz w:val="20"/>
          <w:szCs w:val="20"/>
          <w:shd w:fill="auto" w:val="clear"/>
          <w:lang w:val="ru-RU" w:eastAsia="ru-RU" w:bidi="ar-SA"/>
        </w:rPr>
        <w:t xml:space="preserve"> </w:t>
      </w:r>
      <w:bookmarkStart w:id="6" w:name="_Hlk177570061"/>
      <w:r>
        <w:rPr>
          <w:rFonts w:eastAsia="Times New Roman" w:cs="Times New Roman"/>
          <w:bCs/>
          <w:color w:val="000000"/>
          <w:kern w:val="0"/>
          <w:sz w:val="20"/>
          <w:szCs w:val="20"/>
          <w:shd w:fill="auto" w:val="clear"/>
          <w:lang w:val="ru-RU" w:eastAsia="ru-RU" w:bidi="ar-SA"/>
        </w:rPr>
        <w:t xml:space="preserve">Гарантийный срок эксплуатации - не менее 12 месяцев. </w:t>
      </w:r>
      <w:bookmarkEnd w:id="6"/>
      <w:r>
        <w:rPr>
          <w:rFonts w:cs="Times New Roman"/>
          <w:bCs/>
          <w:color w:val="000000"/>
          <w:shd w:fill="auto" w:val="clear"/>
        </w:rPr>
        <w:t xml:space="preserve">Поставщик гарантирует качество поставляемого Товара в течение всего установленного гарантийного срока. Все расходы, связанные с гарантийным обслуживанием Товара, несет Поставщик. В течение гарантийного срока Поставщик гарантирует исправную и полнофункциональную работу оборудования в соответствии с техническим описанием производителя. При дефекте качества оборудования, Поставщик за свой счет заменяет некачественное оборудование качественным. </w:t>
      </w:r>
    </w:p>
    <w:p>
      <w:pPr>
        <w:pStyle w:val="Normal"/>
        <w:jc w:val="both"/>
        <w:rPr>
          <w:rFonts w:eastAsia="Times New Roman" w:cs="Times New Roman"/>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pPr>
      <w:r>
        <w:rPr>
          <w:rFonts w:eastAsia="Times New Roman" w:cs="Times New Roman"/>
        </w:rPr>
        <w:t xml:space="preserve">                                                                                 </w:t>
      </w:r>
      <w:r>
        <w:rPr>
          <w:b/>
        </w:rPr>
        <w:t>7. Упаковка и маркировка</w:t>
      </w:r>
    </w:p>
    <w:p>
      <w:pPr>
        <w:pStyle w:val="Normal"/>
        <w:jc w:val="both"/>
        <w:rPr>
          <w:lang w:val="ru-RU"/>
        </w:rPr>
      </w:pPr>
      <w:r>
        <w:rPr/>
        <w:t>7.1. Товар должен быть упакован должным образом, укомплектован и маркирован.</w:t>
      </w:r>
    </w:p>
    <w:p>
      <w:pPr>
        <w:pStyle w:val="BodyTextIndent"/>
        <w:ind w:hanging="0" w:left="0" w:right="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left="0" w:right="0"/>
        <w:rPr/>
      </w:pPr>
      <w:r>
        <w:rPr>
          <w:lang w:val="ru-RU"/>
        </w:rPr>
        <w:t xml:space="preserve">7.3. </w:t>
      </w:r>
      <w:r>
        <w:rPr>
          <w:b w:val="false"/>
          <w:bCs w:val="false"/>
          <w:lang w:val="ru-RU"/>
        </w:rPr>
        <w:t xml:space="preserve">Товар </w:t>
      </w:r>
      <w:r>
        <w:rPr>
          <w:rFonts w:eastAsia="Times New Roman" w:cs="Times New Roman"/>
          <w:b w:val="false"/>
          <w:bCs w:val="false"/>
          <w:lang w:val="ru-RU" w:eastAsia="ru-RU"/>
        </w:rPr>
        <w:t xml:space="preserve">упакован и укомплектован в соответствии с правилами завода-изготовителя. Упаковка Товара обеспечивает полную сохранность груза от всякого рода повреждений при перевозке всеми видами транспорта. </w:t>
      </w:r>
      <w:r>
        <w:rPr>
          <w:rFonts w:cs="Times New Roman"/>
          <w:b w:val="false"/>
          <w:bCs w:val="false"/>
          <w:lang w:val="ru-RU"/>
        </w:rPr>
        <w:t xml:space="preserve">Упаковка отвечает требованиям действующего законодательства </w:t>
      </w:r>
    </w:p>
    <w:p>
      <w:pPr>
        <w:pStyle w:val="Normal"/>
        <w:jc w:val="both"/>
        <w:rPr/>
      </w:pPr>
      <w:r>
        <w:rPr/>
      </w:r>
    </w:p>
    <w:p>
      <w:pPr>
        <w:pStyle w:val="Normal"/>
        <w:rPr/>
      </w:pPr>
      <w:r>
        <w:rPr>
          <w:rFonts w:eastAsia="Times New Roman" w:cs="Times New Roman"/>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7" w:name="_Hlk177570087"/>
      <w:bookmarkEnd w:id="7"/>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1000,00 руб (одна тысяча руб. 00 коп.).</w:t>
      </w:r>
    </w:p>
    <w:p>
      <w:pPr>
        <w:pStyle w:val="Normal"/>
        <w:jc w:val="both"/>
        <w:rPr/>
      </w:pPr>
      <w:r>
        <w:rPr/>
        <w:t>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_______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right="0"/>
        <w:jc w:val="both"/>
        <w:rPr/>
      </w:pPr>
      <w:r>
        <w:rPr/>
      </w:r>
    </w:p>
    <w:p>
      <w:pPr>
        <w:pStyle w:val="BodyTextIndent"/>
        <w:ind w:hanging="0" w:left="0" w:right="0"/>
        <w:jc w:val="center"/>
        <w:rPr>
          <w:rFonts w:ascii="Times New Roman" w:hAnsi="Times New Roman" w:cs="Times New Roman"/>
          <w:sz w:val="20"/>
          <w:szCs w:val="20"/>
        </w:rPr>
      </w:pPr>
      <w:r>
        <w:rPr>
          <w:b/>
          <w:lang w:val="ru-RU"/>
        </w:rPr>
        <w:t>9. Срок действия, изменение и прекращение Контракта</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9.1. Настоящий Контракт вступает в силу</w:t>
      </w:r>
      <w:r>
        <w:rPr>
          <w:rFonts w:cs="Times New Roman" w:ascii="Times New Roman" w:hAnsi="Times New Roman"/>
          <w:b w:val="false"/>
          <w:bCs w:val="false"/>
          <w:sz w:val="20"/>
          <w:szCs w:val="20"/>
          <w:shd w:fill="auto" w:val="clear"/>
        </w:rPr>
        <w:t xml:space="preserve"> с момента заключения и действует до 31</w:t>
      </w:r>
      <w:r>
        <w:rPr>
          <w:rFonts w:cs="Times New Roman" w:ascii="Times New Roman" w:hAnsi="Times New Roman"/>
          <w:b w:val="false"/>
          <w:bCs w:val="false"/>
          <w:color w:val="000000"/>
          <w:sz w:val="20"/>
          <w:szCs w:val="20"/>
          <w:shd w:fill="auto" w:val="clear"/>
        </w:rPr>
        <w:t>.08.2026 г</w:t>
      </w:r>
      <w:r>
        <w:rPr>
          <w:rFonts w:cs="Times New Roman" w:ascii="Times New Roman" w:hAnsi="Times New Roman"/>
          <w:b w:val="false"/>
          <w:bCs w:val="false"/>
          <w:sz w:val="20"/>
          <w:szCs w:val="20"/>
          <w:shd w:fill="auto" w:val="clear"/>
        </w:rPr>
        <w:t>, а в части оплаты – до исполнения обязатель</w:t>
      </w:r>
      <w:bookmarkStart w:id="8" w:name="_Hlk177570138"/>
      <w:bookmarkEnd w:id="8"/>
      <w:r>
        <w:rPr>
          <w:rFonts w:cs="Times New Roman" w:ascii="Times New Roman" w:hAnsi="Times New Roman"/>
          <w:b w:val="false"/>
          <w:bCs w:val="false"/>
          <w:sz w:val="20"/>
          <w:szCs w:val="20"/>
          <w:shd w:fill="auto" w:val="clear"/>
        </w:rPr>
        <w:t>ств.</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jc w:val="center"/>
        <w:rPr>
          <w:b/>
        </w:rPr>
      </w:pPr>
      <w:r>
        <w:rPr>
          <w:b/>
        </w:rPr>
        <w:t>10. Переход права собственности и риск случайной гибели Товара</w:t>
      </w:r>
    </w:p>
    <w:p>
      <w:pPr>
        <w:pStyle w:val="Normal"/>
        <w:shd w:val="clear" w:fill="FFFFFF"/>
        <w:tabs>
          <w:tab w:val="clear" w:pos="531"/>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fill="FFFFFF"/>
        <w:tabs>
          <w:tab w:val="clear" w:pos="531"/>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fill="FFFFFF"/>
        <w:tabs>
          <w:tab w:val="clear" w:pos="531"/>
          <w:tab w:val="left" w:pos="540" w:leader="none"/>
          <w:tab w:val="left" w:pos="1248" w:leader="none"/>
        </w:tabs>
        <w:jc w:val="both"/>
        <w:rPr/>
      </w:pPr>
      <w:r>
        <w:rPr/>
      </w:r>
    </w:p>
    <w:p>
      <w:pPr>
        <w:pStyle w:val="Normal"/>
        <w:shd w:val="clear" w:fill="FFFFFF"/>
        <w:tabs>
          <w:tab w:val="clear" w:pos="531"/>
          <w:tab w:val="left" w:pos="540" w:leader="none"/>
          <w:tab w:val="left" w:pos="1248" w:leader="none"/>
        </w:tabs>
        <w:jc w:val="center"/>
        <w:rPr>
          <w:b/>
        </w:rPr>
      </w:pPr>
      <w:r>
        <w:rPr>
          <w:b/>
        </w:rPr>
        <w:t>11. Противодействие коррупции</w:t>
      </w:r>
    </w:p>
    <w:p>
      <w:pPr>
        <w:pStyle w:val="Normal"/>
        <w:shd w:val="clear" w:fill="FFFFFF"/>
        <w:tabs>
          <w:tab w:val="clear" w:pos="531"/>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fill="FFFFFF"/>
        <w:tabs>
          <w:tab w:val="clear" w:pos="531"/>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fill="FFFFFF"/>
        <w:tabs>
          <w:tab w:val="clear" w:pos="531"/>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fill="FFFFFF"/>
        <w:tabs>
          <w:tab w:val="clear" w:pos="531"/>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fill="FFFFFF"/>
        <w:tabs>
          <w:tab w:val="clear" w:pos="531"/>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fill="FFFFFF"/>
        <w:tabs>
          <w:tab w:val="clear" w:pos="531"/>
          <w:tab w:val="left" w:pos="540" w:leader="none"/>
          <w:tab w:val="left" w:pos="1248" w:leader="none"/>
        </w:tabs>
        <w:jc w:val="center"/>
        <w:rPr/>
      </w:pPr>
      <w:r>
        <w:rPr/>
      </w:r>
    </w:p>
    <w:p>
      <w:pPr>
        <w:pStyle w:val="Normal"/>
        <w:shd w:val="clear" w:fill="FFFFFF"/>
        <w:tabs>
          <w:tab w:val="clear" w:pos="531"/>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fill="FFFFFF"/>
        <w:tabs>
          <w:tab w:val="clear" w:pos="531"/>
          <w:tab w:val="left" w:pos="540" w:leader="none"/>
          <w:tab w:val="left" w:pos="1248" w:leader="none"/>
        </w:tabs>
        <w:jc w:val="both"/>
        <w:rPr/>
      </w:pPr>
      <w:r>
        <w:rPr/>
      </w:r>
    </w:p>
    <w:p>
      <w:pPr>
        <w:pStyle w:val="BodyTextIndent"/>
        <w:ind w:hanging="0" w:left="0" w:right="0"/>
        <w:jc w:val="center"/>
        <w:rPr>
          <w:b/>
          <w:lang w:val="ru-RU"/>
        </w:rPr>
      </w:pPr>
      <w:r>
        <w:rPr>
          <w:b/>
          <w:lang w:val="ru-RU"/>
        </w:rPr>
        <w:t>13. Заключительные условия</w:t>
      </w:r>
    </w:p>
    <w:p>
      <w:pPr>
        <w:pStyle w:val="Normal"/>
        <w:tabs>
          <w:tab w:val="clear" w:pos="531"/>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531"/>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531"/>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531"/>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531"/>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531"/>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531"/>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531"/>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531"/>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531"/>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531"/>
          <w:tab w:val="left" w:pos="540" w:leader="none"/>
        </w:tabs>
        <w:ind w:right="-142"/>
        <w:rPr>
          <w:b/>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iCs/>
        </w:rPr>
      </w:pPr>
      <w:r>
        <w:rPr>
          <w:b/>
        </w:rPr>
        <w:t>14. Адреса, реквизиты и подписи Сторон</w:t>
      </w:r>
    </w:p>
    <w:tbl>
      <w:tblPr>
        <w:tblW w:w="10455" w:type="dxa"/>
        <w:jc w:val="center"/>
        <w:tblInd w:w="0" w:type="dxa"/>
        <w:tblLayout w:type="fixed"/>
        <w:tblCellMar>
          <w:top w:w="0" w:type="dxa"/>
          <w:left w:w="108" w:type="dxa"/>
          <w:bottom w:w="0" w:type="dxa"/>
          <w:right w:w="108" w:type="dxa"/>
        </w:tblCellMar>
      </w:tblPr>
      <w:tblGrid>
        <w:gridCol w:w="5636"/>
        <w:gridCol w:w="4819"/>
      </w:tblGrid>
      <w:tr>
        <w:trPr>
          <w:trHeight w:val="7632" w:hRule="atLeast"/>
        </w:trPr>
        <w:tc>
          <w:tcPr>
            <w:tcW w:w="5636" w:type="dxa"/>
            <w:tcBorders/>
          </w:tcPr>
          <w:p>
            <w:pPr>
              <w:pStyle w:val="Normal"/>
              <w:numPr>
                <w:ilvl w:val="0"/>
                <w:numId w:val="0"/>
              </w:numPr>
              <w:snapToGrid w:val="false"/>
              <w:ind w:hanging="0" w:left="0" w:right="0"/>
              <w:jc w:val="both"/>
              <w:rPr>
                <w:b/>
                <w:iCs/>
              </w:rPr>
            </w:pPr>
            <w:r>
              <w:rPr>
                <w:b/>
                <w:iCs/>
              </w:rPr>
            </w:r>
          </w:p>
          <w:p>
            <w:pPr>
              <w:pStyle w:val="Normal"/>
              <w:numPr>
                <w:ilvl w:val="0"/>
                <w:numId w:val="0"/>
              </w:numPr>
              <w:ind w:hanging="0" w:left="0" w:right="0"/>
              <w:jc w:val="both"/>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Кемеровская область — Кузбасс, г. Кемерово, бульвар имени академика Л.С. Барбараша, стр. 6</w:t>
            </w:r>
          </w:p>
          <w:p>
            <w:pPr>
              <w:pStyle w:val="Normal"/>
              <w:rPr/>
            </w:pPr>
            <w:r>
              <w:rPr/>
              <w:t>Тел.: +7 (3842) 64-33-08</w:t>
            </w:r>
          </w:p>
          <w:p>
            <w:pPr>
              <w:pStyle w:val="Normal"/>
              <w:rPr>
                <w:rFonts w:ascii="Times New Roman" w:hAnsi="Times New Roman" w:eastAsia="Times New Roman" w:cs="Times New Roman"/>
                <w:sz w:val="20"/>
                <w:szCs w:val="20"/>
                <w:lang w:eastAsia="ru-RU"/>
              </w:rPr>
            </w:pPr>
            <w:r>
              <w:rPr/>
              <w:t>Эл.почта: reception@kemcardio.ru</w:t>
            </w:r>
          </w:p>
          <w:p>
            <w:pPr>
              <w:pStyle w:val="Normal"/>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Банковские реквизиты:</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20396Х66880)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22396Х66880)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21396Х66880)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ИНН 4205012290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КПП 420501001</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КС 03214643000000015106</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ОКЦ № 1 СибГУ Банка России//УФК по Новосибирской области, г. Новосибирск</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БИК 015004950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ЕКС 40102810445370000043</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КБК 00000000000000000130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ОГРН 1034205024479</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ОКПО 55608705</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ОКАТО 32401000000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ОКТМО 32701000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ОКОГУ 1330612</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ОКФС 12</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ОКОПФ 75103</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ОКВЭД 72.19</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w:t>
            </w:r>
          </w:p>
          <w:p>
            <w:pPr>
              <w:pStyle w:val="Normal"/>
              <w:tabs>
                <w:tab w:val="clear" w:pos="531"/>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pPr>
            <w:r>
              <w:rPr/>
              <w:t>___________________ А.Е. Кузнецова</w:t>
            </w:r>
          </w:p>
        </w:tc>
        <w:tc>
          <w:tcPr>
            <w:tcW w:w="4819" w:type="dxa"/>
            <w:tcBorders/>
          </w:tcPr>
          <w:p>
            <w:pPr>
              <w:pStyle w:val="Normal"/>
              <w:snapToGrid w:val="false"/>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eastAsia="Times New Roman" w:cs="Times New Roman"/>
              </w:rPr>
            </w:pPr>
            <w:r>
              <w:rPr>
                <w:rFonts w:eastAsia="Times New Roman" w:cs="Times New Roman"/>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16384"/>
        </w:sectPr>
      </w:pPr>
    </w:p>
    <w:p>
      <w:pPr>
        <w:pStyle w:val="Normal"/>
        <w:spacing w:before="0" w:after="60"/>
        <w:jc w:val="right"/>
        <w:rPr>
          <w:rFonts w:eastAsia="Times New Roman" w:cs="Times New Roman"/>
        </w:rPr>
      </w:pPr>
      <w:r>
        <w:rPr/>
        <w:t xml:space="preserve">Приложение № 1 </w:t>
      </w:r>
    </w:p>
    <w:p>
      <w:pPr>
        <w:pStyle w:val="Normal"/>
        <w:spacing w:before="0" w:after="60"/>
        <w:jc w:val="right"/>
        <w:rPr>
          <w:rFonts w:eastAsia="Times New Roman" w:cs="Times New Roman"/>
        </w:rPr>
      </w:pPr>
      <w:r>
        <w:rPr>
          <w:rFonts w:eastAsia="Times New Roman" w:cs="Times New Roman"/>
        </w:rPr>
        <w:t xml:space="preserve">                                                                                                                         </w:t>
      </w:r>
      <w:r>
        <w:rPr/>
        <w:t xml:space="preserve">к Контракту </w:t>
      </w:r>
      <w:r>
        <w:rPr>
          <w:b/>
          <w:bCs/>
        </w:rPr>
        <w:t xml:space="preserve">№ ______________ </w:t>
      </w:r>
    </w:p>
    <w:p>
      <w:pPr>
        <w:pStyle w:val="Normal"/>
        <w:spacing w:before="0" w:after="60"/>
        <w:jc w:val="right"/>
        <w:rPr>
          <w:b/>
          <w:bCs/>
          <w:sz w:val="24"/>
          <w:szCs w:val="24"/>
        </w:rPr>
      </w:pPr>
      <w:r>
        <w:rPr>
          <w:rFonts w:eastAsia="Times New Roman" w:cs="Times New Roman"/>
        </w:rPr>
        <w:t xml:space="preserve">                                                                                                                               </w:t>
      </w:r>
      <w:r>
        <w:rPr>
          <w:rFonts w:eastAsia="Times New Roman" w:cs="Times New Roman"/>
        </w:rPr>
        <w:t xml:space="preserve">от  </w:t>
      </w:r>
      <w:r>
        <w:rPr>
          <w:rFonts w:eastAsia="Calibri"/>
          <w:lang w:eastAsia="en-US"/>
        </w:rPr>
        <w:t>«__» июня 2026 г.</w:t>
      </w:r>
      <w:bookmarkStart w:id="9" w:name="_Hlk180496427"/>
      <w:bookmarkEnd w:id="9"/>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5646" w:type="dxa"/>
        <w:jc w:val="left"/>
        <w:tblInd w:w="50" w:type="dxa"/>
        <w:tblLayout w:type="fixed"/>
        <w:tblCellMar>
          <w:top w:w="55" w:type="dxa"/>
          <w:left w:w="55" w:type="dxa"/>
          <w:bottom w:w="55" w:type="dxa"/>
          <w:right w:w="55" w:type="dxa"/>
        </w:tblCellMar>
      </w:tblPr>
      <w:tblGrid>
        <w:gridCol w:w="597"/>
        <w:gridCol w:w="5778"/>
        <w:gridCol w:w="401"/>
        <w:gridCol w:w="1136"/>
        <w:gridCol w:w="20"/>
        <w:gridCol w:w="211"/>
        <w:gridCol w:w="1067"/>
        <w:gridCol w:w="1560"/>
        <w:gridCol w:w="1413"/>
        <w:gridCol w:w="1568"/>
        <w:gridCol w:w="1710"/>
        <w:gridCol w:w="9"/>
        <w:gridCol w:w="60"/>
        <w:gridCol w:w="40"/>
        <w:gridCol w:w="76"/>
      </w:tblGrid>
      <w:tr>
        <w:trPr>
          <w:trHeight w:val="854" w:hRule="atLeast"/>
        </w:trPr>
        <w:tc>
          <w:tcPr>
            <w:tcW w:w="597" w:type="dxa"/>
            <w:tcBorders>
              <w:top w:val="single" w:sz="4" w:space="0" w:color="000000"/>
              <w:left w:val="single" w:sz="4" w:space="0" w:color="000000"/>
              <w:bottom w:val="single" w:sz="4" w:space="0" w:color="000000"/>
            </w:tcBorders>
            <w:vAlign w:val="center"/>
          </w:tcPr>
          <w:p>
            <w:pPr>
              <w:pStyle w:val="Normal"/>
              <w:widowControl w:val="false"/>
              <w:jc w:val="center"/>
              <w:rPr/>
            </w:pPr>
            <w:r>
              <w:rPr/>
              <w:t>№</w:t>
            </w:r>
          </w:p>
          <w:p>
            <w:pPr>
              <w:pStyle w:val="Normal"/>
              <w:widowControl w:val="false"/>
              <w:jc w:val="center"/>
              <w:rPr/>
            </w:pPr>
            <w:r>
              <w:rPr/>
              <w:t>п/п</w:t>
            </w:r>
          </w:p>
        </w:tc>
        <w:tc>
          <w:tcPr>
            <w:tcW w:w="5778" w:type="dxa"/>
            <w:tcBorders>
              <w:top w:val="single" w:sz="4" w:space="0" w:color="000000"/>
              <w:left w:val="single" w:sz="4" w:space="0" w:color="000000"/>
              <w:bottom w:val="single" w:sz="4" w:space="0" w:color="000000"/>
            </w:tcBorders>
            <w:vAlign w:val="center"/>
          </w:tcPr>
          <w:p>
            <w:pPr>
              <w:pStyle w:val="Normal"/>
              <w:widowControl w:val="false"/>
              <w:jc w:val="center"/>
              <w:rPr/>
            </w:pPr>
            <w:r>
              <w:rPr/>
              <w:t>Наименование, минимальные технические (качественные) характеристики  товара</w:t>
            </w:r>
          </w:p>
        </w:tc>
        <w:tc>
          <w:tcPr>
            <w:tcW w:w="1557" w:type="dxa"/>
            <w:gridSpan w:val="3"/>
            <w:tcBorders>
              <w:top w:val="single" w:sz="4" w:space="0" w:color="000000"/>
              <w:left w:val="single" w:sz="4" w:space="0" w:color="000000"/>
              <w:bottom w:val="single" w:sz="4" w:space="0" w:color="000000"/>
            </w:tcBorders>
          </w:tcPr>
          <w:p>
            <w:pPr>
              <w:pStyle w:val="Normal"/>
              <w:widowControl w:val="false"/>
              <w:jc w:val="center"/>
              <w:rPr/>
            </w:pPr>
            <w:r>
              <w:rPr/>
              <w:t>Страна происхождения товара</w:t>
            </w:r>
          </w:p>
        </w:tc>
        <w:tc>
          <w:tcPr>
            <w:tcW w:w="1278" w:type="dxa"/>
            <w:gridSpan w:val="2"/>
            <w:tcBorders>
              <w:top w:val="single" w:sz="4" w:space="0" w:color="000000"/>
              <w:left w:val="single" w:sz="4" w:space="0" w:color="000000"/>
              <w:bottom w:val="single" w:sz="4" w:space="0" w:color="000000"/>
            </w:tcBorders>
            <w:vAlign w:val="center"/>
          </w:tcPr>
          <w:p>
            <w:pPr>
              <w:pStyle w:val="Normal"/>
              <w:widowControl w:val="false"/>
              <w:jc w:val="center"/>
              <w:rPr/>
            </w:pPr>
            <w:r>
              <w:rPr/>
              <w:t>Кол-во</w:t>
            </w:r>
          </w:p>
        </w:tc>
        <w:tc>
          <w:tcPr>
            <w:tcW w:w="1560" w:type="dxa"/>
            <w:tcBorders>
              <w:top w:val="single" w:sz="4" w:space="0" w:color="000000"/>
              <w:left w:val="single" w:sz="4" w:space="0" w:color="000000"/>
              <w:bottom w:val="single" w:sz="4" w:space="0" w:color="000000"/>
            </w:tcBorders>
            <w:vAlign w:val="center"/>
          </w:tcPr>
          <w:p>
            <w:pPr>
              <w:pStyle w:val="Normal"/>
              <w:widowControl w:val="false"/>
              <w:jc w:val="center"/>
              <w:rPr/>
            </w:pPr>
            <w:r>
              <w:rPr/>
              <w:t>Ед. изм.</w:t>
            </w:r>
          </w:p>
        </w:tc>
        <w:tc>
          <w:tcPr>
            <w:tcW w:w="1413"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Стоимость единицы, рублей</w:t>
            </w:r>
          </w:p>
        </w:tc>
        <w:tc>
          <w:tcPr>
            <w:tcW w:w="1568"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В том числе НДС, рублей</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fill="FFFFFF"/>
              <w:jc w:val="center"/>
              <w:rPr>
                <w:color w:val="000000"/>
                <w:spacing w:val="-11"/>
              </w:rPr>
            </w:pPr>
            <w:r>
              <w:rPr>
                <w:color w:val="000000"/>
                <w:spacing w:val="-11"/>
              </w:rPr>
              <w:t>Общая стоимость с НДС, рублей</w:t>
            </w:r>
          </w:p>
        </w:tc>
        <w:tc>
          <w:tcPr>
            <w:tcW w:w="69" w:type="dxa"/>
            <w:gridSpan w:val="2"/>
            <w:tcBorders>
              <w:left w:val="single" w:sz="4" w:space="0" w:color="000000"/>
            </w:tcBorders>
            <w:tcMar>
              <w:top w:w="0" w:type="dxa"/>
              <w:left w:w="5" w:type="dxa"/>
              <w:bottom w:w="0" w:type="dxa"/>
              <w:right w:w="0" w:type="dxa"/>
            </w:tcMar>
          </w:tcPr>
          <w:p>
            <w:pPr>
              <w:pStyle w:val="Normal"/>
              <w:snapToGrid w:val="false"/>
              <w:rPr/>
            </w:pPr>
            <w:r>
              <w:rPr/>
            </w:r>
          </w:p>
        </w:tc>
        <w:tc>
          <w:tcPr>
            <w:tcW w:w="40" w:type="dxa"/>
            <w:tcBorders/>
            <w:tcMar>
              <w:top w:w="0" w:type="dxa"/>
              <w:left w:w="5" w:type="dxa"/>
              <w:bottom w:w="0" w:type="dxa"/>
              <w:right w:w="0" w:type="dxa"/>
            </w:tcMar>
          </w:tcPr>
          <w:p>
            <w:pPr>
              <w:pStyle w:val="Normal"/>
              <w:snapToGrid w:val="false"/>
              <w:rPr/>
            </w:pPr>
            <w:r>
              <w:rPr/>
            </w:r>
          </w:p>
        </w:tc>
        <w:tc>
          <w:tcPr>
            <w:tcW w:w="76" w:type="dxa"/>
            <w:tcBorders/>
            <w:tcMar>
              <w:top w:w="0" w:type="dxa"/>
              <w:left w:w="5" w:type="dxa"/>
              <w:bottom w:w="0" w:type="dxa"/>
              <w:right w:w="0" w:type="dxa"/>
            </w:tcMar>
          </w:tcPr>
          <w:p>
            <w:pPr>
              <w:pStyle w:val="Normal"/>
              <w:snapToGrid w:val="false"/>
              <w:rPr/>
            </w:pPr>
            <w:r>
              <w:rPr/>
            </w:r>
          </w:p>
        </w:tc>
      </w:tr>
      <w:tr>
        <w:trPr>
          <w:trHeight w:val="405" w:hRule="atLeast"/>
        </w:trPr>
        <w:tc>
          <w:tcPr>
            <w:tcW w:w="597" w:type="dxa"/>
            <w:tcBorders>
              <w:left w:val="single" w:sz="4" w:space="0" w:color="000000"/>
              <w:bottom w:val="single" w:sz="4" w:space="0" w:color="000000"/>
            </w:tcBorders>
            <w:vAlign w:val="center"/>
          </w:tcPr>
          <w:p>
            <w:pPr>
              <w:pStyle w:val="Normal"/>
              <w:jc w:val="center"/>
              <w:rPr/>
            </w:pPr>
            <w:r>
              <w:rPr/>
              <w:t>1</w:t>
            </w:r>
          </w:p>
        </w:tc>
        <w:tc>
          <w:tcPr>
            <w:tcW w:w="5778" w:type="dxa"/>
            <w:tcBorders>
              <w:left w:val="single" w:sz="4" w:space="0" w:color="000000"/>
              <w:bottom w:val="single" w:sz="4" w:space="0" w:color="000000"/>
            </w:tcBorders>
          </w:tcPr>
          <w:p>
            <w:pPr>
              <w:pStyle w:val="Normal"/>
              <w:widowControl w:val="false"/>
              <w:snapToGrid w:val="false"/>
              <w:jc w:val="left"/>
              <w:rPr>
                <w:b/>
                <w:bCs/>
              </w:rPr>
            </w:pPr>
            <w:r>
              <w:rPr>
                <w:rFonts w:eastAsia="Times New Roman" w:cs="Times New Roman"/>
                <w:b/>
                <w:bCs/>
                <w:color w:val="000000"/>
                <w:kern w:val="0"/>
                <w:sz w:val="20"/>
                <w:szCs w:val="20"/>
                <w:shd w:fill="auto" w:val="clear"/>
                <w:lang w:val="ru-RU" w:eastAsia="ru-RU" w:bidi="ar-SA"/>
              </w:rPr>
              <w:t>М</w:t>
            </w:r>
            <w:r>
              <w:rPr>
                <w:rFonts w:eastAsia="Times New Roman" w:cs="Times New Roman"/>
                <w:b/>
                <w:bCs/>
                <w:color w:val="000000"/>
                <w:kern w:val="0"/>
                <w:sz w:val="20"/>
                <w:szCs w:val="20"/>
                <w:shd w:fill="auto" w:val="clear"/>
                <w:lang w:val="ru-RU" w:eastAsia="ru-RU" w:bidi="ar-SA"/>
              </w:rPr>
              <w:t>е</w:t>
            </w:r>
            <w:r>
              <w:rPr>
                <w:rFonts w:eastAsia="Times New Roman" w:cs="Times New Roman"/>
                <w:b/>
                <w:bCs/>
                <w:color w:val="000000"/>
                <w:kern w:val="0"/>
                <w:sz w:val="20"/>
                <w:szCs w:val="20"/>
                <w:shd w:fill="auto" w:val="clear"/>
                <w:lang w:val="ru-RU" w:eastAsia="ru-RU" w:bidi="ar-SA"/>
              </w:rPr>
              <w:t>ш</w:t>
            </w:r>
            <w:r>
              <w:rPr>
                <w:rFonts w:eastAsia="Times New Roman" w:cs="Times New Roman"/>
                <w:b/>
                <w:bCs/>
                <w:color w:val="000000"/>
                <w:kern w:val="0"/>
                <w:sz w:val="20"/>
                <w:szCs w:val="20"/>
                <w:shd w:fill="auto" w:val="clear"/>
                <w:lang w:val="ru-RU" w:eastAsia="ru-RU" w:bidi="ar-SA"/>
              </w:rPr>
              <w:t>к</w:t>
            </w:r>
            <w:r>
              <w:rPr>
                <w:rFonts w:eastAsia="Times New Roman" w:cs="Times New Roman"/>
                <w:b/>
                <w:bCs/>
                <w:color w:val="000000"/>
                <w:kern w:val="0"/>
                <w:sz w:val="20"/>
                <w:szCs w:val="20"/>
                <w:shd w:fill="auto" w:val="clear"/>
                <w:lang w:val="ru-RU" w:eastAsia="ru-RU" w:bidi="ar-SA"/>
              </w:rPr>
              <w:t>и</w:t>
            </w:r>
            <w:r>
              <w:rPr>
                <w:rFonts w:eastAsia="Times New Roman" w:cs="Times New Roman"/>
                <w:b/>
                <w:bCs/>
                <w:color w:val="000000"/>
                <w:kern w:val="0"/>
                <w:sz w:val="20"/>
                <w:szCs w:val="20"/>
                <w:shd w:fill="auto" w:val="clear"/>
                <w:lang w:val="ru-RU" w:eastAsia="ru-RU" w:bidi="ar-SA"/>
              </w:rPr>
              <w:t xml:space="preserve"> для пылесоса</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Тип пылесоса- Промышленный</w:t>
              <w:tab/>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Многоразовые- Нет</w:t>
              <w:tab/>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Материал- Мельтблаун</w:t>
              <w:tab/>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Объем- Не менее 35 Литр (кубический дециметр)</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 xml:space="preserve">Совместимость с пылесосами Karcher WD 3, Karcher WD 3 P Premium, MV 3 </w:t>
              <w:tab/>
            </w:r>
          </w:p>
        </w:tc>
        <w:tc>
          <w:tcPr>
            <w:tcW w:w="1557" w:type="dxa"/>
            <w:gridSpan w:val="3"/>
            <w:tcBorders>
              <w:left w:val="single" w:sz="4" w:space="0" w:color="000000"/>
              <w:bottom w:val="single" w:sz="4" w:space="0" w:color="000000"/>
            </w:tcBorders>
          </w:tcPr>
          <w:p>
            <w:pPr>
              <w:pStyle w:val="Normal"/>
              <w:snapToGrid w:val="false"/>
              <w:jc w:val="center"/>
              <w:rPr>
                <w:lang w:val="en-US"/>
              </w:rPr>
            </w:pPr>
            <w:r>
              <w:rPr>
                <w:lang w:val="en-US"/>
              </w:rPr>
            </w:r>
          </w:p>
        </w:tc>
        <w:tc>
          <w:tcPr>
            <w:tcW w:w="1278" w:type="dxa"/>
            <w:gridSpan w:val="2"/>
            <w:tcBorders>
              <w:left w:val="single" w:sz="4" w:space="0" w:color="000000"/>
              <w:bottom w:val="single" w:sz="4" w:space="0" w:color="000000"/>
            </w:tcBorders>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штука</w:t>
            </w:r>
          </w:p>
        </w:tc>
        <w:tc>
          <w:tcPr>
            <w:tcW w:w="1560" w:type="dxa"/>
            <w:tcBorders>
              <w:left w:val="single" w:sz="4" w:space="0" w:color="000000"/>
              <w:bottom w:val="single" w:sz="4" w:space="0" w:color="000000"/>
            </w:tcBorders>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50</w:t>
            </w:r>
          </w:p>
        </w:tc>
        <w:tc>
          <w:tcPr>
            <w:tcW w:w="1413" w:type="dxa"/>
            <w:tcBorders>
              <w:left w:val="single" w:sz="4" w:space="0" w:color="000000"/>
              <w:bottom w:val="single" w:sz="4" w:space="0" w:color="000000"/>
            </w:tcBorders>
            <w:vAlign w:val="center"/>
          </w:tcPr>
          <w:p>
            <w:pPr>
              <w:pStyle w:val="Normal"/>
              <w:snapToGrid w:val="false"/>
              <w:jc w:val="center"/>
              <w:rPr/>
            </w:pPr>
            <w:r>
              <w:rPr/>
            </w:r>
          </w:p>
        </w:tc>
        <w:tc>
          <w:tcPr>
            <w:tcW w:w="1568" w:type="dxa"/>
            <w:tcBorders>
              <w:left w:val="single" w:sz="4" w:space="0" w:color="000000"/>
              <w:bottom w:val="single" w:sz="4" w:space="0" w:color="000000"/>
            </w:tcBorders>
            <w:vAlign w:val="center"/>
          </w:tcPr>
          <w:p>
            <w:pPr>
              <w:pStyle w:val="Normal"/>
              <w:snapToGrid w:val="false"/>
              <w:spacing w:lineRule="atLeast" w:line="57"/>
              <w:jc w:val="center"/>
              <w:rPr>
                <w:highlight w:val="yellow"/>
              </w:rPr>
            </w:pPr>
            <w:r>
              <w:rPr>
                <w:highlight w:val="yellow"/>
              </w:rPr>
            </w:r>
          </w:p>
        </w:tc>
        <w:tc>
          <w:tcPr>
            <w:tcW w:w="1895" w:type="dxa"/>
            <w:gridSpan w:val="5"/>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highlight w:val="yellow"/>
              </w:rPr>
            </w:pPr>
            <w:r>
              <w:rPr>
                <w:b/>
                <w:bCs/>
                <w:highlight w:val="yellow"/>
              </w:rPr>
            </w:r>
          </w:p>
        </w:tc>
      </w:tr>
      <w:tr>
        <w:trPr>
          <w:trHeight w:val="572" w:hRule="atLeast"/>
        </w:trPr>
        <w:tc>
          <w:tcPr>
            <w:tcW w:w="13751" w:type="dxa"/>
            <w:gridSpan w:val="10"/>
            <w:tcBorders>
              <w:left w:val="single" w:sz="4" w:space="0" w:color="000000"/>
              <w:bottom w:val="single" w:sz="4" w:space="0" w:color="000000"/>
            </w:tcBorders>
          </w:tcPr>
          <w:p>
            <w:pPr>
              <w:pStyle w:val="Normal"/>
              <w:jc w:val="center"/>
              <w:rPr>
                <w:highlight w:val="none"/>
                <w:shd w:fill="auto" w:val="clear"/>
              </w:rPr>
            </w:pPr>
            <w:r>
              <w:rPr>
                <w:b/>
                <w:bCs/>
                <w:shd w:fill="auto" w:val="clear"/>
              </w:rPr>
              <w:t>ИТОГО:</w:t>
            </w:r>
          </w:p>
        </w:tc>
        <w:tc>
          <w:tcPr>
            <w:tcW w:w="1710" w:type="dxa"/>
            <w:tcBorders>
              <w:left w:val="single" w:sz="4" w:space="0" w:color="000000"/>
              <w:bottom w:val="single" w:sz="4" w:space="0" w:color="000000"/>
              <w:right w:val="single" w:sz="4" w:space="0" w:color="000000"/>
            </w:tcBorders>
          </w:tcPr>
          <w:p>
            <w:pPr>
              <w:pStyle w:val="Normal"/>
              <w:snapToGrid w:val="false"/>
              <w:jc w:val="center"/>
              <w:rPr>
                <w:b/>
                <w:bCs/>
                <w:highlight w:val="yellow"/>
              </w:rPr>
            </w:pPr>
            <w:r>
              <w:rPr>
                <w:b/>
                <w:bCs/>
                <w:highlight w:val="yellow"/>
              </w:rPr>
            </w:r>
          </w:p>
        </w:tc>
        <w:tc>
          <w:tcPr>
            <w:tcW w:w="69" w:type="dxa"/>
            <w:gridSpan w:val="2"/>
            <w:tcBorders>
              <w:left w:val="single" w:sz="4" w:space="0" w:color="000000"/>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c>
          <w:tcPr>
            <w:tcW w:w="40" w:type="dxa"/>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c>
          <w:tcPr>
            <w:tcW w:w="76" w:type="dxa"/>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r>
      <w:tr>
        <w:trPr>
          <w:trHeight w:val="1824" w:hRule="atLeast"/>
        </w:trPr>
        <w:tc>
          <w:tcPr>
            <w:tcW w:w="6776" w:type="dxa"/>
            <w:gridSpan w:val="3"/>
            <w:tcBorders/>
            <w:tcMar>
              <w:top w:w="0" w:type="dxa"/>
              <w:left w:w="5" w:type="dxa"/>
              <w:bottom w:w="0" w:type="dxa"/>
              <w:right w:w="0" w:type="dxa"/>
            </w:tcMar>
          </w:tcPr>
          <w:p>
            <w:pPr>
              <w:pStyle w:val="Normal"/>
              <w:tabs>
                <w:tab w:val="clear" w:pos="531"/>
                <w:tab w:val="left" w:pos="7680" w:leader="none"/>
              </w:tabs>
              <w:snapToGrid w:val="false"/>
              <w:rPr>
                <w:b/>
                <w:bCs/>
                <w:color w:val="000000"/>
                <w:highlight w:val="yellow"/>
              </w:rPr>
            </w:pPr>
            <w:r>
              <w:rPr>
                <w:b/>
                <w:bCs/>
                <w:color w:val="000000"/>
                <w:highlight w:val="yellow"/>
              </w:rPr>
            </w:r>
          </w:p>
          <w:p>
            <w:pPr>
              <w:pStyle w:val="Normal"/>
              <w:tabs>
                <w:tab w:val="clear" w:pos="531"/>
                <w:tab w:val="left" w:pos="7680" w:leader="none"/>
              </w:tabs>
              <w:rPr>
                <w:b/>
                <w:color w:val="000000"/>
              </w:rPr>
            </w:pPr>
            <w:r>
              <w:rPr>
                <w:b/>
                <w:color w:val="000000"/>
              </w:rPr>
              <w:t>Заказчик:</w:t>
            </w:r>
          </w:p>
          <w:p>
            <w:pPr>
              <w:pStyle w:val="Normal"/>
              <w:tabs>
                <w:tab w:val="clear" w:pos="531"/>
                <w:tab w:val="left" w:pos="7680" w:leader="none"/>
              </w:tabs>
              <w:rPr>
                <w:b/>
                <w:color w:val="000000"/>
              </w:rPr>
            </w:pPr>
            <w:r>
              <w:rPr>
                <w:b/>
                <w:color w:val="000000"/>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материально-технического снабжения</w:t>
            </w:r>
          </w:p>
          <w:p>
            <w:pPr>
              <w:pStyle w:val="Normal"/>
              <w:rPr/>
            </w:pPr>
            <w:r>
              <w:rPr/>
            </w:r>
          </w:p>
          <w:p>
            <w:pPr>
              <w:pStyle w:val="Normal"/>
              <w:rPr/>
            </w:pPr>
            <w:r>
              <w:rPr/>
              <w:t>____________   А.Е. Кузнецова</w:t>
            </w:r>
          </w:p>
          <w:p>
            <w:pPr>
              <w:pStyle w:val="Normal"/>
              <w:tabs>
                <w:tab w:val="clear" w:pos="531"/>
                <w:tab w:val="left" w:pos="7680" w:leader="none"/>
              </w:tabs>
              <w:rPr/>
            </w:pPr>
            <w:r>
              <w:rPr/>
              <w:t>м.п.</w:t>
            </w:r>
          </w:p>
        </w:tc>
        <w:tc>
          <w:tcPr>
            <w:tcW w:w="1136" w:type="dxa"/>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31" w:type="dxa"/>
            <w:gridSpan w:val="2"/>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627" w:type="dxa"/>
            <w:gridSpan w:val="2"/>
            <w:tcBorders/>
            <w:tcMar>
              <w:top w:w="0" w:type="dxa"/>
              <w:left w:w="5" w:type="dxa"/>
              <w:bottom w:w="0" w:type="dxa"/>
              <w:right w:w="0" w:type="dxa"/>
            </w:tcMar>
          </w:tcPr>
          <w:p>
            <w:pPr>
              <w:pStyle w:val="Normal"/>
              <w:snapToGrid w:val="false"/>
              <w:rPr>
                <w:b/>
                <w:color w:val="000000"/>
              </w:rPr>
            </w:pPr>
            <w:r>
              <w:rPr>
                <w:b/>
                <w:color w:val="000000"/>
              </w:rPr>
            </w:r>
          </w:p>
        </w:tc>
        <w:tc>
          <w:tcPr>
            <w:tcW w:w="4700" w:type="dxa"/>
            <w:gridSpan w:val="4"/>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p>
            <w:pPr>
              <w:pStyle w:val="Normal"/>
              <w:tabs>
                <w:tab w:val="clear" w:pos="531"/>
                <w:tab w:val="left" w:pos="7680" w:leader="none"/>
              </w:tabs>
              <w:rPr>
                <w:b/>
                <w:color w:val="000000"/>
              </w:rPr>
            </w:pPr>
            <w:r>
              <w:rPr>
                <w:b/>
                <w:color w:val="000000"/>
              </w:rPr>
              <w:t>Поставщик:</w:t>
            </w:r>
          </w:p>
          <w:p>
            <w:pPr>
              <w:pStyle w:val="Normal"/>
              <w:tabs>
                <w:tab w:val="clear" w:pos="531"/>
                <w:tab w:val="left" w:pos="7680" w:leader="none"/>
              </w:tabs>
              <w:rPr>
                <w:b/>
                <w:color w:val="000000"/>
              </w:rPr>
            </w:pPr>
            <w:r>
              <w:rPr>
                <w:b/>
                <w:color w:val="000000"/>
              </w:rPr>
            </w:r>
          </w:p>
          <w:p>
            <w:pPr>
              <w:pStyle w:val="Normal"/>
              <w:rPr>
                <w:b/>
                <w:color w:val="000000"/>
              </w:rPr>
            </w:pPr>
            <w:r>
              <w:rPr>
                <w:b/>
                <w:color w:val="000000"/>
              </w:rPr>
            </w:r>
          </w:p>
          <w:p>
            <w:pPr>
              <w:pStyle w:val="Normal"/>
              <w:rPr/>
            </w:pPr>
            <w:r>
              <w:rPr/>
              <w:t>___________</w:t>
            </w:r>
          </w:p>
          <w:p>
            <w:pPr>
              <w:pStyle w:val="Normal"/>
              <w:rPr/>
            </w:pPr>
            <w:r>
              <w:rPr/>
              <w:t>м.п.</w:t>
            </w:r>
          </w:p>
        </w:tc>
        <w:tc>
          <w:tcPr>
            <w:tcW w:w="60" w:type="dxa"/>
            <w:tcBorders/>
            <w:tcMar>
              <w:top w:w="0" w:type="dxa"/>
              <w:left w:w="5" w:type="dxa"/>
              <w:bottom w:w="0" w:type="dxa"/>
              <w:right w:w="0" w:type="dxa"/>
            </w:tcMar>
          </w:tcPr>
          <w:p>
            <w:pPr>
              <w:pStyle w:val="Normal"/>
              <w:snapToGrid w:val="false"/>
              <w:rPr/>
            </w:pPr>
            <w:r>
              <w:rPr/>
            </w:r>
          </w:p>
        </w:tc>
        <w:tc>
          <w:tcPr>
            <w:tcW w:w="40" w:type="dxa"/>
            <w:tcBorders/>
            <w:tcMar>
              <w:top w:w="0" w:type="dxa"/>
              <w:left w:w="5" w:type="dxa"/>
              <w:bottom w:w="0" w:type="dxa"/>
              <w:right w:w="0" w:type="dxa"/>
            </w:tcMar>
          </w:tcPr>
          <w:p>
            <w:pPr>
              <w:pStyle w:val="Normal"/>
              <w:snapToGrid w:val="false"/>
              <w:rPr/>
            </w:pPr>
            <w:r>
              <w:rPr/>
            </w:r>
          </w:p>
        </w:tc>
        <w:tc>
          <w:tcPr>
            <w:tcW w:w="76" w:type="dxa"/>
            <w:tcBorders/>
            <w:tcMar>
              <w:top w:w="0" w:type="dxa"/>
              <w:left w:w="5" w:type="dxa"/>
              <w:bottom w:w="0" w:type="dxa"/>
              <w:right w:w="0" w:type="dxa"/>
            </w:tcMar>
          </w:tcPr>
          <w:p>
            <w:pPr>
              <w:pStyle w:val="Normal"/>
              <w:snapToGrid w:val="false"/>
              <w:rPr/>
            </w:pPr>
            <w:r>
              <w:rPr/>
            </w:r>
          </w:p>
        </w:tc>
      </w:tr>
    </w:tbl>
    <w:p>
      <w:pPr>
        <w:pStyle w:val="Normal"/>
        <w:spacing w:before="0" w:after="60"/>
        <w:rPr/>
      </w:pPr>
      <w:r>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swiss"/>
    <w:pitch w:val="default"/>
  </w:font>
  <w:font w:name="Tahoma">
    <w:charset w:val="01"/>
    <w:family w:val="roman"/>
    <w:pitch w:val="default"/>
  </w:font>
  <w:font w:name="Calibri">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531"/>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pPr>
      <w:keepNext w:val="true"/>
      <w:keepLines/>
      <w:numPr>
        <w:ilvl w:val="0"/>
        <w:numId w:val="1"/>
      </w:numPr>
      <w:spacing w:before="480" w:after="200"/>
      <w:outlineLvl w:val="0"/>
    </w:pPr>
    <w:rPr>
      <w:rFonts w:ascii="Arial" w:hAnsi="Arial" w:eastAsia="Arial" w:cs="Arial"/>
      <w:sz w:val="40"/>
      <w:szCs w:val="40"/>
    </w:rPr>
  </w:style>
  <w:style w:type="paragraph" w:styleId="Heading2">
    <w:name w:val="heading 2"/>
    <w:basedOn w:val="Normal"/>
    <w:next w:val="Normal"/>
    <w:qFormat/>
    <w:pPr>
      <w:keepNext w:val="true"/>
      <w:keepLines/>
      <w:numPr>
        <w:ilvl w:val="1"/>
        <w:numId w:val="1"/>
      </w:numPr>
      <w:spacing w:before="360" w:after="200"/>
      <w:outlineLvl w:val="1"/>
    </w:pPr>
    <w:rPr>
      <w:rFonts w:ascii="Arial" w:hAnsi="Arial" w:eastAsia="Arial" w:cs="Arial"/>
      <w:sz w:val="34"/>
    </w:rPr>
  </w:style>
  <w:style w:type="paragraph" w:styleId="Heading3">
    <w:name w:val="heading 3"/>
    <w:basedOn w:val="Normal"/>
    <w:next w:val="Normal"/>
    <w:qFormat/>
    <w:pPr>
      <w:keepNext w:val="true"/>
      <w:keepLines/>
      <w:numPr>
        <w:ilvl w:val="2"/>
        <w:numId w:val="1"/>
      </w:numPr>
      <w:spacing w:before="320" w:after="200"/>
      <w:outlineLvl w:val="2"/>
    </w:pPr>
    <w:rPr>
      <w:rFonts w:ascii="Arial" w:hAnsi="Arial" w:eastAsia="Arial" w:cs="Arial"/>
      <w:sz w:val="30"/>
      <w:szCs w:val="30"/>
    </w:rPr>
  </w:style>
  <w:style w:type="paragraph" w:styleId="Heading4">
    <w:name w:val="heading 4"/>
    <w:basedOn w:val="Normal"/>
    <w:next w:val="Normal"/>
    <w:qFormat/>
    <w:pPr>
      <w:keepNext w:val="true"/>
      <w:keepLines/>
      <w:numPr>
        <w:ilvl w:val="3"/>
        <w:numId w:val="1"/>
      </w:numPr>
      <w:spacing w:before="320" w:after="200"/>
      <w:outlineLvl w:val="3"/>
    </w:pPr>
    <w:rPr>
      <w:rFonts w:ascii="Arial" w:hAnsi="Arial" w:eastAsia="Arial" w:cs="Arial"/>
      <w:b/>
      <w:bCs/>
      <w:sz w:val="26"/>
      <w:szCs w:val="26"/>
    </w:rPr>
  </w:style>
  <w:style w:type="paragraph" w:styleId="Heading5">
    <w:name w:val="heading 5"/>
    <w:basedOn w:val="Normal"/>
    <w:next w:val="Normal"/>
    <w:qFormat/>
    <w:pPr>
      <w:keepNext w:val="true"/>
      <w:keepLines/>
      <w:numPr>
        <w:ilvl w:val="4"/>
        <w:numId w:val="1"/>
      </w:numPr>
      <w:spacing w:before="320" w:after="200"/>
      <w:outlineLvl w:val="4"/>
    </w:pPr>
    <w:rPr>
      <w:rFonts w:ascii="Arial" w:hAnsi="Arial" w:eastAsia="Arial" w:cs="Arial"/>
      <w:b/>
      <w:bCs/>
      <w:sz w:val="24"/>
      <w:szCs w:val="24"/>
    </w:rPr>
  </w:style>
  <w:style w:type="paragraph" w:styleId="Heading6">
    <w:name w:val="heading 6"/>
    <w:basedOn w:val="Normal"/>
    <w:next w:val="Normal"/>
    <w:qFormat/>
    <w:pPr>
      <w:keepNext w:val="true"/>
      <w:keepLines/>
      <w:numPr>
        <w:ilvl w:val="5"/>
        <w:numId w:val="1"/>
      </w:numPr>
      <w:spacing w:before="320" w:after="200"/>
      <w:outlineLvl w:val="5"/>
    </w:pPr>
    <w:rPr>
      <w:rFonts w:ascii="Arial" w:hAnsi="Arial" w:eastAsia="Arial" w:cs="Arial"/>
      <w:b/>
      <w:bCs/>
      <w:sz w:val="22"/>
      <w:szCs w:val="22"/>
    </w:rPr>
  </w:style>
  <w:style w:type="paragraph" w:styleId="Heading7">
    <w:name w:val="heading 7"/>
    <w:basedOn w:val="Normal"/>
    <w:next w:val="Normal"/>
    <w:qFormat/>
    <w:pPr>
      <w:keepNext w:val="true"/>
      <w:keepLines/>
      <w:numPr>
        <w:ilvl w:val="6"/>
        <w:numId w:val="1"/>
      </w:numPr>
      <w:spacing w:before="320" w:after="200"/>
      <w:outlineLvl w:val="6"/>
    </w:pPr>
    <w:rPr>
      <w:rFonts w:ascii="Arial" w:hAnsi="Arial" w:eastAsia="Arial" w:cs="Arial"/>
      <w:b/>
      <w:bCs/>
      <w:i/>
      <w:iCs/>
      <w:sz w:val="22"/>
      <w:szCs w:val="22"/>
    </w:rPr>
  </w:style>
  <w:style w:type="paragraph" w:styleId="Heading8">
    <w:name w:val="heading 8"/>
    <w:basedOn w:val="Normal"/>
    <w:next w:val="Normal"/>
    <w:qFormat/>
    <w:pPr>
      <w:keepNext w:val="true"/>
      <w:keepLines/>
      <w:numPr>
        <w:ilvl w:val="7"/>
        <w:numId w:val="1"/>
      </w:numPr>
      <w:spacing w:before="320" w:after="200"/>
      <w:outlineLvl w:val="7"/>
    </w:pPr>
    <w:rPr>
      <w:rFonts w:ascii="Arial" w:hAnsi="Arial" w:eastAsia="Arial" w:cs="Arial"/>
      <w:i/>
      <w:iCs/>
      <w:sz w:val="22"/>
      <w:szCs w:val="22"/>
    </w:rPr>
  </w:style>
  <w:style w:type="paragraph" w:styleId="Heading9">
    <w:name w:val="heading 9"/>
    <w:basedOn w:val="Normal"/>
    <w:next w:val="Normal"/>
    <w:qFormat/>
    <w:pPr>
      <w:keepNext w:val="true"/>
      <w:keepLines/>
      <w:numPr>
        <w:ilvl w:val="8"/>
        <w:numId w:val="1"/>
      </w:numPr>
      <w:spacing w:before="320" w:after="200"/>
      <w:outlineLvl w:val="8"/>
    </w:pPr>
    <w:rPr>
      <w:rFonts w:ascii="Arial" w:hAnsi="Arial" w:eastAsia="Arial" w:cs="Arial"/>
      <w:i/>
      <w:iCs/>
      <w:sz w:val="21"/>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qFormat/>
    <w:rPr>
      <w:i/>
    </w:rPr>
  </w:style>
  <w:style w:type="character" w:styleId="Style7">
    <w:name w:val="Выделенная цитата Знак"/>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user">
    <w:name w:val="Символ сноски (user)"/>
    <w:qFormat/>
    <w:rPr>
      <w:vertAlign w:val="superscript"/>
    </w:rPr>
  </w:style>
  <w:style w:type="character" w:styleId="FootnoteCharacters">
    <w:name w:val="Footnote Characters"/>
    <w:basedOn w:val="DefaultParagraphFont"/>
    <w:qFormat/>
    <w:rPr>
      <w:vertAlign w:val="superscript"/>
    </w:rPr>
  </w:style>
  <w:style w:type="character" w:styleId="Style9">
    <w:name w:val="Текст концевой сноски Знак"/>
    <w:qFormat/>
    <w:rPr>
      <w:sz w:val="20"/>
    </w:rPr>
  </w:style>
  <w:style w:type="character" w:styleId="user1">
    <w:name w:val="Символ концевой сноски (user)"/>
    <w:qFormat/>
    <w:rPr>
      <w:vertAlign w:val="superscript"/>
    </w:rPr>
  </w:style>
  <w:style w:type="character" w:styleId="EndnoteCharacters">
    <w:name w:val="Endnote Characters"/>
    <w:basedOn w:val="DefaultParagraphFont"/>
    <w:qFormat/>
    <w:rPr>
      <w:vertAlign w:val="superscript"/>
    </w:rPr>
  </w:style>
  <w:style w:type="character" w:styleId="Style10">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qFormat/>
    <w:rPr>
      <w:rFonts w:ascii="Arial" w:hAnsi="Arial" w:cs="Arial"/>
      <w:sz w:val="22"/>
      <w:lang w:eastAsia="ru-RU"/>
    </w:rPr>
  </w:style>
  <w:style w:type="character" w:styleId="Emphasis">
    <w:name w:val="Emphasis"/>
    <w:qFormat/>
    <w:rPr>
      <w:rFonts w:cs="Times New Roman"/>
      <w:i/>
    </w:rPr>
  </w:style>
  <w:style w:type="character" w:styleId="Style11">
    <w:name w:val="Верхний колонтитул Знак"/>
    <w:qFormat/>
    <w:rPr>
      <w:rFonts w:ascii="Times New Roman" w:hAnsi="Times New Roman" w:eastAsia="Times New Roman" w:cs="Times New Roman"/>
      <w:sz w:val="20"/>
      <w:szCs w:val="20"/>
    </w:rPr>
  </w:style>
  <w:style w:type="character" w:styleId="Style12">
    <w:name w:val="Нижний колонтитул Знак"/>
    <w:qFormat/>
    <w:rPr>
      <w:rFonts w:ascii="Times New Roman" w:hAnsi="Times New Roman" w:eastAsia="Times New Roman" w:cs="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3">
    <w:name w:val="Текст примечания Знак"/>
    <w:basedOn w:val="DefaultParagraphFont"/>
    <w:qFormat/>
    <w:rPr>
      <w:rFonts w:ascii="Times New Roman" w:hAnsi="Times New Roman" w:eastAsia="Times New Roman" w:cs="Times New Roman"/>
    </w:rPr>
  </w:style>
  <w:style w:type="character" w:styleId="Style14">
    <w:name w:val="Тема примечания Знак"/>
    <w:basedOn w:val="Style13"/>
    <w:qFormat/>
    <w:rPr>
      <w:rFonts w:ascii="Times New Roman" w:hAnsi="Times New Roman" w:eastAsia="Times New Roman" w:cs="Times New Roman"/>
      <w:b/>
      <w:bCs/>
    </w:rPr>
  </w:style>
  <w:style w:type="character" w:styleId="Style15">
    <w:name w:val="Текст выноски Знак"/>
    <w:basedOn w:val="DefaultParagraphFont"/>
    <w:qFormat/>
    <w:rPr>
      <w:rFonts w:ascii="Tahoma" w:hAnsi="Tahoma" w:eastAsia="Times New Roman" w:cs="Tahoma"/>
      <w:sz w:val="16"/>
      <w:szCs w:val="16"/>
    </w:rPr>
  </w:style>
  <w:style w:type="character" w:styleId="Style16">
    <w:name w:val="Без интервала Знак"/>
    <w:qFormat/>
    <w:rPr>
      <w:sz w:val="24"/>
      <w:szCs w:val="24"/>
    </w:rPr>
  </w:style>
  <w:style w:type="character" w:styleId="Hyperlink">
    <w:name w:val="Hyperlink"/>
    <w:basedOn w:val="DefaultParagraphFont"/>
    <w:rPr>
      <w:color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3">
    <w:name w:val="Указатель (user)"/>
    <w:basedOn w:val="Normal"/>
    <w:qFormat/>
    <w:pPr>
      <w:suppressLineNumbers/>
    </w:pPr>
    <w:rPr>
      <w:rFonts w:ascii="PT Astra Serif" w:hAnsi="PT Astra Serif" w:cs="Noto Sans Devanagari"/>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caption111">
    <w:name w:val="caption111"/>
    <w:basedOn w:val="Normal"/>
    <w:qFormat/>
    <w:pPr>
      <w:suppressLineNumbers/>
      <w:spacing w:before="120" w:after="120"/>
    </w:pPr>
    <w:rPr>
      <w:rFonts w:ascii="PT Astra Serif" w:hAnsi="PT Astra Serif" w:cs="FreeSans"/>
      <w:i/>
      <w:iCs/>
      <w:sz w:val="24"/>
      <w:szCs w:val="24"/>
    </w:rPr>
  </w:style>
  <w:style w:type="paragraph" w:styleId="caption1111">
    <w:name w:val="caption1111"/>
    <w:basedOn w:val="Normal"/>
    <w:qFormat/>
    <w:pPr>
      <w:suppressLineNumbers/>
      <w:spacing w:before="120" w:after="120"/>
    </w:pPr>
    <w:rPr>
      <w:rFonts w:ascii="PT Astra Serif" w:hAnsi="PT Astra Serif" w:cs="FreeSans"/>
      <w:i/>
      <w:iCs/>
      <w:sz w:val="24"/>
      <w:szCs w:val="24"/>
    </w:rPr>
  </w:style>
  <w:style w:type="paragraph" w:styleId="caption11111">
    <w:name w:val="caption11111"/>
    <w:basedOn w:val="Normal"/>
    <w:qFormat/>
    <w:pPr>
      <w:suppressLineNumbers/>
      <w:spacing w:before="120" w:after="120"/>
    </w:pPr>
    <w:rPr>
      <w:rFonts w:ascii="PT Astra Serif" w:hAnsi="PT Astra Serif" w:cs="FreeSans"/>
      <w:i/>
      <w:iCs/>
      <w:sz w:val="24"/>
      <w:szCs w:val="24"/>
    </w:rPr>
  </w:style>
  <w:style w:type="paragraph" w:styleId="caption111111">
    <w:name w:val="caption111111"/>
    <w:basedOn w:val="Normal"/>
    <w:qFormat/>
    <w:pPr>
      <w:suppressLineNumbers/>
      <w:spacing w:before="120" w:after="120"/>
    </w:pPr>
    <w:rPr>
      <w:rFonts w:ascii="PT Astra Serif" w:hAnsi="PT Astra Serif" w:cs="FreeSans"/>
      <w:i/>
      <w:iCs/>
      <w:sz w:val="24"/>
      <w:szCs w:val="24"/>
    </w:rPr>
  </w:style>
  <w:style w:type="paragraph" w:styleId="caption1111111">
    <w:name w:val="caption1111111"/>
    <w:basedOn w:val="Normal"/>
    <w:qFormat/>
    <w:pPr>
      <w:suppressLineNumbers/>
      <w:spacing w:before="120" w:after="120"/>
    </w:pPr>
    <w:rPr>
      <w:rFonts w:ascii="PT Astra Serif" w:hAnsi="PT Astra Serif" w:cs="FreeSans"/>
      <w:i/>
      <w:iCs/>
      <w:sz w:val="24"/>
      <w:szCs w:val="24"/>
    </w:rPr>
  </w:style>
  <w:style w:type="paragraph" w:styleId="caption11111111">
    <w:name w:val="caption11111111"/>
    <w:basedOn w:val="Normal"/>
    <w:qFormat/>
    <w:pPr>
      <w:suppressLineNumbers/>
      <w:spacing w:before="120" w:after="120"/>
    </w:pPr>
    <w:rPr>
      <w:rFonts w:ascii="PT Astra Serif" w:hAnsi="PT Astra Serif" w:cs="FreeSans"/>
      <w:i/>
      <w:iCs/>
      <w:sz w:val="24"/>
      <w:szCs w:val="24"/>
    </w:rPr>
  </w:style>
  <w:style w:type="paragraph" w:styleId="caption111111111">
    <w:name w:val="caption111111111"/>
    <w:basedOn w:val="Normal"/>
    <w:qFormat/>
    <w:pPr>
      <w:suppressLineNumbers/>
      <w:spacing w:before="120" w:after="120"/>
    </w:pPr>
    <w:rPr>
      <w:rFonts w:ascii="PT Astra Serif" w:hAnsi="PT Astra Serif" w:cs="FreeSans"/>
      <w:i/>
      <w:iCs/>
      <w:sz w:val="24"/>
      <w:szCs w:val="24"/>
    </w:rPr>
  </w:style>
  <w:style w:type="paragraph" w:styleId="caption1111111111">
    <w:name w:val="caption1111111111"/>
    <w:basedOn w:val="Normal"/>
    <w:qFormat/>
    <w:pPr>
      <w:suppressLineNumbers/>
      <w:spacing w:before="120" w:after="120"/>
    </w:pPr>
    <w:rPr>
      <w:rFonts w:ascii="PT Astra Serif" w:hAnsi="PT Astra Serif" w:cs="FreeSans"/>
      <w:i/>
      <w:iCs/>
      <w:sz w:val="24"/>
      <w:szCs w:val="24"/>
    </w:rPr>
  </w:style>
  <w:style w:type="paragraph" w:styleId="caption11111111111">
    <w:name w:val="caption11111111111"/>
    <w:basedOn w:val="Normal"/>
    <w:qFormat/>
    <w:pPr>
      <w:suppressLineNumbers/>
      <w:spacing w:before="120" w:after="120"/>
    </w:pPr>
    <w:rPr>
      <w:rFonts w:ascii="PT Astra Serif" w:hAnsi="PT Astra Serif" w:cs="FreeSans"/>
      <w:i/>
      <w:iCs/>
      <w:sz w:val="24"/>
      <w:szCs w:val="24"/>
    </w:rPr>
  </w:style>
  <w:style w:type="paragraph" w:styleId="caption111111111111">
    <w:name w:val="caption111111111111"/>
    <w:basedOn w:val="Normal"/>
    <w:qFormat/>
    <w:pPr>
      <w:suppressLineNumbers/>
      <w:spacing w:before="120" w:after="120"/>
    </w:pPr>
    <w:rPr>
      <w:rFonts w:ascii="PT Astra Serif" w:hAnsi="PT Astra Serif" w:cs="FreeSans"/>
      <w:i/>
      <w:iCs/>
      <w:sz w:val="24"/>
      <w:szCs w:val="24"/>
    </w:rPr>
  </w:style>
  <w:style w:type="paragraph" w:styleId="caption1111111111111">
    <w:name w:val="caption1111111111111"/>
    <w:basedOn w:val="Normal"/>
    <w:qFormat/>
    <w:pPr>
      <w:suppressLineNumbers/>
      <w:spacing w:before="120" w:after="120"/>
    </w:pPr>
    <w:rPr>
      <w:rFonts w:ascii="PT Astra Serif" w:hAnsi="PT Astra Serif" w:cs="FreeSans"/>
      <w:i/>
      <w:iCs/>
      <w:sz w:val="24"/>
      <w:szCs w:val="24"/>
    </w:rPr>
  </w:style>
  <w:style w:type="paragraph" w:styleId="caption11111111111111">
    <w:name w:val="caption11111111111111"/>
    <w:basedOn w:val="Normal"/>
    <w:qFormat/>
    <w:pPr>
      <w:suppressLineNumbers/>
      <w:spacing w:before="120" w:after="120"/>
    </w:pPr>
    <w:rPr>
      <w:rFonts w:ascii="PT Astra Serif" w:hAnsi="PT Astra Serif" w:cs="FreeSans"/>
      <w:i/>
      <w:iCs/>
      <w:sz w:val="24"/>
      <w:szCs w:val="24"/>
    </w:rPr>
  </w:style>
  <w:style w:type="paragraph" w:styleId="caption111111111111111">
    <w:name w:val="caption111111111111111"/>
    <w:basedOn w:val="Normal"/>
    <w:qFormat/>
    <w:pPr>
      <w:suppressLineNumbers/>
      <w:spacing w:before="120" w:after="120"/>
    </w:pPr>
    <w:rPr>
      <w:rFonts w:ascii="PT Astra Serif" w:hAnsi="PT Astra Serif" w:cs="FreeSans"/>
      <w:i/>
      <w:iCs/>
      <w:sz w:val="24"/>
      <w:szCs w:val="24"/>
    </w:rPr>
  </w:style>
  <w:style w:type="paragraph" w:styleId="caption1111111111111111">
    <w:name w:val="caption1111111111111111"/>
    <w:basedOn w:val="Normal"/>
    <w:qFormat/>
    <w:pPr>
      <w:suppressLineNumbers/>
      <w:spacing w:before="120" w:after="120"/>
    </w:pPr>
    <w:rPr>
      <w:rFonts w:ascii="PT Astra Serif" w:hAnsi="PT Astra Serif" w:cs="Noto Sans Devanagari"/>
      <w:i/>
      <w:iCs/>
      <w:sz w:val="24"/>
      <w:szCs w:val="24"/>
    </w:rPr>
  </w:style>
  <w:style w:type="paragraph" w:styleId="Title">
    <w:name w:val="Title"/>
    <w:basedOn w:val="Normal"/>
    <w:next w:val="BodyText"/>
    <w:qFormat/>
    <w:pPr>
      <w:spacing w:before="300" w:after="200"/>
      <w:contextualSpacing/>
    </w:pPr>
    <w:rPr>
      <w:sz w:val="48"/>
      <w:szCs w:val="48"/>
    </w:rPr>
  </w:style>
  <w:style w:type="paragraph" w:styleId="caption11111111111111111">
    <w:name w:val="caption11111111111111111"/>
    <w:basedOn w:val="Normal"/>
    <w:next w:val="Normal"/>
    <w:qFormat/>
    <w:pPr>
      <w:spacing w:lineRule="auto" w:line="276"/>
    </w:pPr>
    <w:rPr>
      <w:b/>
      <w:bCs/>
      <w:color w:val="4F81BD"/>
      <w:sz w:val="18"/>
      <w:szCs w:val="1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qFormat/>
    <w:pPr>
      <w:spacing w:before="0" w:after="0"/>
      <w:ind w:hanging="0" w:left="720" w:right="0"/>
      <w:contextualSpacing/>
    </w:pPr>
    <w:rPr/>
  </w:style>
  <w:style w:type="paragraph" w:styleId="Subtitle">
    <w:name w:val="Subtitle"/>
    <w:basedOn w:val="Normal"/>
    <w:next w:val="Normal"/>
    <w:qFormat/>
    <w:pPr>
      <w:spacing w:before="200" w:after="200"/>
    </w:pPr>
    <w:rPr>
      <w:sz w:val="24"/>
      <w:szCs w:val="24"/>
    </w:rPr>
  </w:style>
  <w:style w:type="paragraph" w:styleId="Quote">
    <w:name w:val="Quote"/>
    <w:basedOn w:val="Normal"/>
    <w:next w:val="Normal"/>
    <w:qFormat/>
    <w:pPr>
      <w:ind w:hanging="0" w:left="720" w:right="720"/>
    </w:pPr>
    <w:rPr>
      <w:i/>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fill="F2F2F2"/>
      <w:ind w:hanging="0" w:left="720" w:right="720"/>
    </w:pPr>
    <w:rPr>
      <w:i/>
    </w:rPr>
  </w:style>
  <w:style w:type="paragraph" w:styleId="FootnoteText">
    <w:name w:val="footnote text"/>
    <w:basedOn w:val="Normal"/>
    <w:pPr>
      <w:spacing w:before="0" w:after="40"/>
    </w:pPr>
    <w:rPr>
      <w:sz w:val="18"/>
    </w:rPr>
  </w:style>
  <w:style w:type="paragraph" w:styleId="EndnoteText">
    <w:name w:val="endnote text"/>
    <w:basedOn w:val="Normal"/>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hanging="0" w:left="283" w:right="0"/>
    </w:pPr>
    <w:rPr/>
  </w:style>
  <w:style w:type="paragraph" w:styleId="TOC3">
    <w:name w:val="toc 3"/>
    <w:basedOn w:val="Normal"/>
    <w:next w:val="Normal"/>
    <w:pPr>
      <w:spacing w:before="0" w:after="57"/>
      <w:ind w:hanging="0" w:left="567" w:right="0"/>
    </w:pPr>
    <w:rPr/>
  </w:style>
  <w:style w:type="paragraph" w:styleId="TOC4">
    <w:name w:val="toc 4"/>
    <w:basedOn w:val="Normal"/>
    <w:next w:val="Normal"/>
    <w:pPr>
      <w:spacing w:before="0" w:after="57"/>
      <w:ind w:hanging="0" w:left="850" w:right="0"/>
    </w:pPr>
    <w:rPr/>
  </w:style>
  <w:style w:type="paragraph" w:styleId="TOC5">
    <w:name w:val="toc 5"/>
    <w:basedOn w:val="Normal"/>
    <w:next w:val="Normal"/>
    <w:pPr>
      <w:spacing w:before="0" w:after="57"/>
      <w:ind w:hanging="0" w:left="1134" w:right="0"/>
    </w:pPr>
    <w:rPr/>
  </w:style>
  <w:style w:type="paragraph" w:styleId="TOC6">
    <w:name w:val="toc 6"/>
    <w:basedOn w:val="Normal"/>
    <w:next w:val="Normal"/>
    <w:pPr>
      <w:spacing w:before="0" w:after="57"/>
      <w:ind w:hanging="0" w:left="1417" w:right="0"/>
    </w:pPr>
    <w:rPr/>
  </w:style>
  <w:style w:type="paragraph" w:styleId="TOC7">
    <w:name w:val="toc 7"/>
    <w:basedOn w:val="Normal"/>
    <w:next w:val="Normal"/>
    <w:pPr>
      <w:spacing w:before="0" w:after="57"/>
      <w:ind w:hanging="0" w:left="1701" w:right="0"/>
    </w:pPr>
    <w:rPr/>
  </w:style>
  <w:style w:type="paragraph" w:styleId="TOC8">
    <w:name w:val="toc 8"/>
    <w:basedOn w:val="Normal"/>
    <w:next w:val="Normal"/>
    <w:pPr>
      <w:spacing w:before="0" w:after="57"/>
      <w:ind w:hanging="0" w:left="1984" w:right="0"/>
    </w:pPr>
    <w:rPr/>
  </w:style>
  <w:style w:type="paragraph" w:styleId="TOC9">
    <w:name w:val="toc 9"/>
    <w:basedOn w:val="Normal"/>
    <w:next w:val="Normal"/>
    <w:pPr>
      <w:spacing w:before="0" w:after="57"/>
      <w:ind w:hanging="0" w:left="2268" w:right="0"/>
    </w:pPr>
    <w:rPr/>
  </w:style>
  <w:style w:type="paragraph" w:styleId="TOCHeading">
    <w:name w:val="TOC Heading"/>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qFormat/>
    <w:pPr/>
    <w:rPr/>
  </w:style>
  <w:style w:type="paragraph" w:styleId="BodyTextIndent">
    <w:name w:val="Body Text Indent"/>
    <w:basedOn w:val="Normal"/>
    <w:pPr>
      <w:ind w:firstLine="709" w:left="0" w:right="0"/>
      <w:jc w:val="both"/>
    </w:pPr>
    <w:rPr>
      <w:rFonts w:eastAsia="Calibri"/>
      <w:lang w:val="en-US"/>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19">
    <w:name w:val="Верхний и нижний колонтитулы"/>
    <w:basedOn w:val="Normal"/>
    <w:qFormat/>
    <w:pPr/>
    <w:rPr/>
  </w:style>
  <w:style w:type="paragraph" w:styleId="user4">
    <w:name w:val="Колонтитулы (user)"/>
    <w:basedOn w:val="Normal"/>
    <w:qFormat/>
    <w:pPr>
      <w:suppressLineNumbers/>
      <w:tabs>
        <w:tab w:val="clear" w:pos="531"/>
        <w:tab w:val="center" w:pos="4819" w:leader="none"/>
        <w:tab w:val="right" w:pos="9638" w:leader="none"/>
      </w:tabs>
    </w:pPr>
    <w:rPr/>
  </w:style>
  <w:style w:type="paragraph" w:styleId="Style20">
    <w:name w:val="Колонтитулы"/>
    <w:basedOn w:val="Normal"/>
    <w:qFormat/>
    <w:pPr/>
    <w:rPr/>
  </w:style>
  <w:style w:type="paragraph" w:styleId="Header">
    <w:name w:val="header"/>
    <w:basedOn w:val="Normal"/>
    <w:pPr>
      <w:tabs>
        <w:tab w:val="clear" w:pos="531"/>
        <w:tab w:val="center" w:pos="4677" w:leader="none"/>
        <w:tab w:val="right" w:pos="9355" w:leader="none"/>
      </w:tabs>
    </w:pPr>
    <w:rPr/>
  </w:style>
  <w:style w:type="paragraph" w:styleId="Footer">
    <w:name w:val="footer"/>
    <w:basedOn w:val="Normal"/>
    <w:pPr>
      <w:tabs>
        <w:tab w:val="clear" w:pos="531"/>
        <w:tab w:val="center" w:pos="4677" w:leader="none"/>
        <w:tab w:val="right" w:pos="9355" w:leader="none"/>
      </w:tabs>
    </w:pPr>
    <w:rPr/>
  </w:style>
  <w:style w:type="paragraph" w:styleId="CommentText">
    <w:name w:val="annotation text"/>
    <w:basedOn w:val="Normal"/>
    <w:qFormat/>
    <w:pPr/>
    <w:rPr/>
  </w:style>
  <w:style w:type="paragraph" w:styleId="annotationsubject">
    <w:name w:val="annotation subject"/>
    <w:basedOn w:val="CommentText"/>
    <w:next w:val="CommentText"/>
    <w:qFormat/>
    <w:pPr/>
    <w:rPr>
      <w:b/>
      <w:bCs/>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5">
    <w:name w:val="Содержимое таблицы (user)"/>
    <w:basedOn w:val="Normal"/>
    <w:qFormat/>
    <w:pPr>
      <w:suppressLineNumbers/>
    </w:pPr>
    <w:rPr/>
  </w:style>
  <w:style w:type="paragraph" w:styleId="user6">
    <w:name w:val="Заголовок таблицы (user)"/>
    <w:basedOn w:val="user5"/>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173</TotalTime>
  <Application>LibreOffice/25.8.3.2$Linux_X86_64 LibreOffice_project/580$Build-2</Application>
  <AppVersion>15.0000</AppVersion>
  <Pages>7</Pages>
  <Words>3194</Words>
  <Characters>23135</Characters>
  <CharactersWithSpaces>26882</CharactersWithSpaces>
  <Paragraphs>175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2025-06-04T02:35:00Z</dcterms:created>
  <dc:creator>Захаров Никита Сергеевич</dc:creator>
  <dc:description/>
  <dc:language>ru-RU</dc:language>
  <cp:lastModifiedBy/>
  <dcterms:modified xsi:type="dcterms:W3CDTF">2026-07-29T11:44:33Z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