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center"/>
        <w:spacing w:after="150" w:line="240" w:lineRule="auto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ТЕХНИЧЕСКОЕ ЗАДАНИЕ</w:t>
      </w:r>
      <w:r>
        <w:rPr>
          <w:b/>
          <w:bCs/>
          <w:sz w:val="24"/>
          <w:szCs w:val="24"/>
        </w:rPr>
      </w:r>
    </w:p>
    <w:p>
      <w:pPr>
        <w:ind w:left="0" w:firstLine="0"/>
        <w:jc w:val="center"/>
        <w:spacing w:after="0" w:line="24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Поставка </w:t>
      </w:r>
      <w:r>
        <w:rPr>
          <w:b/>
          <w:bCs/>
          <w:sz w:val="24"/>
          <w:szCs w:val="24"/>
        </w:rPr>
        <w:t xml:space="preserve">садовых препаратов и субстратов</w:t>
      </w:r>
      <w:r>
        <w:rPr>
          <w:b/>
          <w:bCs/>
          <w:color w:val="auto"/>
          <w:sz w:val="24"/>
          <w:szCs w:val="24"/>
        </w:rPr>
      </w:r>
    </w:p>
    <w:p>
      <w:pPr>
        <w:ind w:left="0" w:firstLine="0"/>
        <w:jc w:val="center"/>
        <w:spacing w:after="0" w:line="24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>
        <w:rPr>
          <w:b/>
          <w:bCs/>
          <w:color w:val="auto"/>
          <w:sz w:val="24"/>
          <w:szCs w:val="24"/>
        </w:rPr>
      </w:r>
    </w:p>
    <w:p>
      <w:pPr>
        <w:ind w:left="0" w:firstLine="0"/>
        <w:spacing w:after="0" w:line="240" w:lineRule="auto"/>
        <w:widowControl w:val="off"/>
        <w:rPr>
          <w:rFonts w:eastAsiaTheme="minorEastAsia"/>
          <w:b/>
          <w:bCs/>
          <w:color w:val="auto"/>
          <w:sz w:val="24"/>
          <w:szCs w:val="24"/>
        </w:rPr>
      </w:pPr>
      <w:r>
        <w:rPr>
          <w:rFonts w:eastAsiaTheme="minorEastAsia"/>
          <w:b/>
          <w:bCs/>
          <w:color w:val="auto"/>
          <w:sz w:val="24"/>
          <w:szCs w:val="24"/>
        </w:rPr>
        <w:t xml:space="preserve">1 Общая информация об объекте закупки </w:t>
      </w:r>
      <w:r>
        <w:rPr>
          <w:rFonts w:eastAsiaTheme="minorEastAsia"/>
          <w:b/>
          <w:bCs/>
          <w:color w:val="auto"/>
          <w:sz w:val="24"/>
          <w:szCs w:val="24"/>
        </w:rPr>
      </w:r>
    </w:p>
    <w:p>
      <w:pPr>
        <w:pStyle w:val="906"/>
        <w:numPr>
          <w:ilvl w:val="1"/>
          <w:numId w:val="6"/>
        </w:numPr>
        <w:ind w:left="0" w:firstLine="0"/>
        <w:spacing w:after="0" w:line="240" w:lineRule="auto"/>
        <w:rPr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Объект закупки: </w:t>
      </w:r>
      <w:r>
        <w:rPr>
          <w:rFonts w:eastAsiaTheme="minorEastAsia"/>
          <w:color w:val="auto"/>
          <w:sz w:val="24"/>
          <w:szCs w:val="24"/>
        </w:rPr>
        <w:t xml:space="preserve">поставка </w:t>
      </w:r>
      <w:r>
        <w:rPr>
          <w:sz w:val="24"/>
          <w:szCs w:val="24"/>
        </w:rPr>
        <w:t xml:space="preserve"> садовых</w:t>
      </w:r>
      <w:r>
        <w:rPr>
          <w:sz w:val="24"/>
          <w:szCs w:val="24"/>
        </w:rPr>
        <w:t xml:space="preserve"> препаратов и субстратов</w:t>
      </w:r>
      <w:r>
        <w:rPr>
          <w:rFonts w:eastAsiaTheme="minorEastAsia"/>
          <w:color w:val="auto"/>
          <w:sz w:val="24"/>
          <w:szCs w:val="24"/>
        </w:rPr>
        <w:t xml:space="preserve">.</w:t>
      </w:r>
      <w:r>
        <w:rPr>
          <w:color w:val="auto"/>
          <w:sz w:val="24"/>
          <w:szCs w:val="24"/>
        </w:rPr>
      </w:r>
    </w:p>
    <w:p>
      <w:pPr>
        <w:pStyle w:val="906"/>
        <w:numPr>
          <w:ilvl w:val="1"/>
          <w:numId w:val="6"/>
        </w:numPr>
        <w:ind w:left="0" w:firstLine="0"/>
        <w:spacing w:after="0" w:line="240" w:lineRule="auto"/>
        <w:widowControl w:val="off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Место поставки Товара: г. Москва, улица Люсиновская, д. 51.</w:t>
      </w:r>
      <w:r>
        <w:rPr>
          <w:rFonts w:eastAsiaTheme="minorEastAsia"/>
          <w:color w:val="auto"/>
          <w:sz w:val="24"/>
          <w:szCs w:val="24"/>
        </w:rPr>
      </w:r>
    </w:p>
    <w:p>
      <w:pPr>
        <w:pStyle w:val="906"/>
        <w:numPr>
          <w:ilvl w:val="1"/>
          <w:numId w:val="6"/>
        </w:numPr>
        <w:ind w:left="0" w:firstLine="0"/>
        <w:spacing w:after="0" w:line="240" w:lineRule="auto"/>
        <w:widowControl w:val="off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Количество Товара: согласно Приложению 1 к Техническому заданию. </w:t>
      </w:r>
      <w:r>
        <w:rPr>
          <w:rFonts w:eastAsiaTheme="minorEastAsia"/>
          <w:color w:val="auto"/>
          <w:sz w:val="24"/>
          <w:szCs w:val="24"/>
        </w:rPr>
      </w:r>
    </w:p>
    <w:p>
      <w:pPr>
        <w:pStyle w:val="906"/>
        <w:numPr>
          <w:ilvl w:val="1"/>
          <w:numId w:val="6"/>
        </w:numPr>
        <w:ind w:left="0" w:firstLine="0"/>
        <w:spacing w:after="0" w:line="240" w:lineRule="auto"/>
        <w:widowControl w:val="off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Срок поставки Товара: в течении 10 (десяти) рабочих дней с момента заключения Контракта.</w:t>
      </w:r>
      <w:r>
        <w:rPr>
          <w:rFonts w:eastAsiaTheme="minorEastAsia"/>
          <w:color w:val="auto"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Стандарт товаров</w:t>
      </w:r>
      <w:r>
        <w:rPr>
          <w:b/>
          <w:bCs/>
          <w:sz w:val="24"/>
          <w:szCs w:val="24"/>
        </w:rPr>
      </w:r>
    </w:p>
    <w:p>
      <w:pPr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2.1. В соответствии со сведениями о качестве, технических характеристиках, функциональных характеристиках (потребительских свойствах) товара, (Характеристика товара) Приложение №1 к Техническому заданию.</w:t>
      </w:r>
      <w:r>
        <w:rPr>
          <w:bCs/>
          <w:color w:val="auto"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2.2. Товар, поставляемый Поставщиком Заказчику, должен соответствовать: требованиям действующих государственных и международных стандартов и других нормативных актов Российской Федерации, требованиям безопасности, функциональным и качественным характеристи</w:t>
      </w:r>
      <w:r>
        <w:rPr>
          <w:bCs/>
          <w:sz w:val="24"/>
          <w:szCs w:val="24"/>
        </w:rPr>
        <w:t xml:space="preserve">кам для данной группы товаров, согласно актам, указанным в пунктах 6.1 - 6.3, настоящего Технического задания; функциональным, техническим, качественным и эксплуатационным характеристикам, указанным в Приложении 1 к настоящему Техническому заданию и опреде</w:t>
      </w:r>
      <w:r>
        <w:rPr>
          <w:bCs/>
          <w:sz w:val="24"/>
          <w:szCs w:val="24"/>
        </w:rPr>
        <w:t xml:space="preserve">ленным производителями Товаров.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2.3. 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адрес электронной почты для приема данных (запросов, заявок) в электронной форме, номер фа</w:t>
      </w:r>
      <w:r>
        <w:rPr>
          <w:bCs/>
          <w:sz w:val="24"/>
          <w:szCs w:val="24"/>
        </w:rPr>
        <w:t xml:space="preserve">кса, номер телефона и уведомить об этом Заказчика согласно требованиям статьи «Прочие условия» Контракта. Об изменении контактной информации ответственного лица Поставщик обязан уведомить в течение 1(одного) рабочего дня со дня возникновения таких изменени</w:t>
      </w:r>
      <w:r>
        <w:rPr>
          <w:bCs/>
          <w:sz w:val="24"/>
          <w:szCs w:val="24"/>
        </w:rPr>
        <w:t xml:space="preserve">й.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2.4. Письма, запросы, заявки направляю</w:t>
      </w:r>
      <w:r>
        <w:rPr>
          <w:bCs/>
          <w:sz w:val="24"/>
          <w:szCs w:val="24"/>
        </w:rPr>
        <w:t xml:space="preserve">тся Заказчиком в одном экземпляре любым способом, обеспечивающим получение информации Поставщиком (посредством факсимильной связи, по электронной почте в соответствии с контактными данными Поставщика) согласно требованиям статьи «Прочие условия» Контракта.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2.5. Товар должен быть поставлен Заказчику в период действия Контракта в рабочие часы Заказчика в строгом соответствии с перечнем поставляемого Товара.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2.6. Поставщиком оформляется комплект отчетных документов на русском языке в составе: </w:t>
      </w:r>
      <w:r>
        <w:rPr>
          <w:bCs/>
          <w:sz w:val="24"/>
          <w:szCs w:val="24"/>
        </w:rPr>
      </w:r>
    </w:p>
    <w:p>
      <w:pPr>
        <w:ind w:right="158"/>
        <w:spacing w:after="0" w:line="240" w:lineRule="auto"/>
        <w:widowControl w:val="off"/>
        <w:tabs>
          <w:tab w:val="left" w:pos="414" w:leader="none"/>
        </w:tabs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- обязательные для данной группы товаров сертификаты соответствия (декларации о соответствии) Товара;</w:t>
      </w:r>
      <w:r>
        <w:rPr>
          <w:bCs/>
          <w:color w:val="auto"/>
          <w:sz w:val="24"/>
          <w:szCs w:val="24"/>
        </w:rPr>
      </w:r>
    </w:p>
    <w:p>
      <w:pPr>
        <w:ind w:right="154"/>
        <w:spacing w:after="0" w:line="240" w:lineRule="auto"/>
        <w:widowControl w:val="off"/>
        <w:tabs>
          <w:tab w:val="left" w:pos="414" w:leader="none"/>
        </w:tabs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- иные документы, подтверждающие качество Товара, оформленные в соответствии с законодательством Российской Федерации, в том числе с требованиями актов, указанных в разделе 6 настоящего Технического задания.</w:t>
      </w:r>
      <w:r>
        <w:rPr>
          <w:bCs/>
          <w:color w:val="auto"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2.7. Не допускается поставка Товара, имеющего механические и иные виды повреждений и (или) условия хранения, которого были нарушены.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2.8. Заказчик вправе отказаться от приемки Товара, поставляемого с нарушением условий, установленных пунктом 2.7 настоящего Технического задания.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2.9. Уборка и вывоз тары, упаковки, вспомогательных упаковочных средств (обвязочное средство, упаковочная лента, фиксатор, вкладыш и т.д.) производятся силами Поставщика в соответствии с условиями Контракта.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2.10. Приемка Товара по качеству и количеству осуществляется в соответствии с требованиями Инструкции о порядке приемки продукции производственно-технического </w:t>
      </w:r>
      <w:r>
        <w:rPr>
          <w:bCs/>
          <w:sz w:val="24"/>
          <w:szCs w:val="24"/>
        </w:rPr>
        <w:t xml:space="preserve">назначения и товаров народного потребления по качеству и Инструкции о порядке приемки продукции производственно-технического назначения и товаров народного потребления по количеству соответственно согласно пунктам 6.5 и 6.6 настоящего Технического задания.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2.11. Поставляемый товар должен быть свободен от прав третьих лиц.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2.12. Все риски гибели, утраты, порчи, хищения, повреждения Товара, вызванные неправильной </w:t>
      </w:r>
      <w:r>
        <w:rPr>
          <w:bCs/>
          <w:sz w:val="24"/>
          <w:szCs w:val="24"/>
        </w:rPr>
        <w:t xml:space="preserve">упаковкой или транспортировкой поставляемого Товара до его приемки Заказчиком, несет Поставщик.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Объем и сроки гарантий качества</w:t>
      </w:r>
      <w:r>
        <w:rPr>
          <w:b/>
          <w:bCs/>
          <w:sz w:val="24"/>
          <w:szCs w:val="24"/>
        </w:rPr>
      </w:r>
    </w:p>
    <w:p>
      <w:pPr>
        <w:pStyle w:val="906"/>
        <w:numPr>
          <w:ilvl w:val="1"/>
          <w:numId w:val="2"/>
        </w:numPr>
        <w:ind w:left="0" w:right="156" w:firstLine="0"/>
        <w:spacing w:after="0" w:line="247" w:lineRule="auto"/>
        <w:widowControl w:val="off"/>
        <w:tabs>
          <w:tab w:val="left" w:pos="426" w:leader="none"/>
        </w:tabs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Срок гарантии качества на Товар должен быть не менее срока, установленного производителем Товара.</w:t>
      </w:r>
      <w:r>
        <w:rPr>
          <w:bCs/>
          <w:color w:val="auto"/>
          <w:sz w:val="24"/>
          <w:szCs w:val="24"/>
        </w:rPr>
      </w:r>
    </w:p>
    <w:p>
      <w:pPr>
        <w:pStyle w:val="906"/>
        <w:numPr>
          <w:ilvl w:val="1"/>
          <w:numId w:val="2"/>
        </w:numPr>
        <w:ind w:left="0" w:right="156" w:firstLine="0"/>
        <w:spacing w:after="0" w:line="247" w:lineRule="auto"/>
        <w:widowControl w:val="off"/>
        <w:tabs>
          <w:tab w:val="left" w:pos="426" w:leader="none"/>
        </w:tabs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Качество поставляемого Товара долж</w:t>
      </w:r>
      <w:r>
        <w:rPr>
          <w:bCs/>
          <w:color w:val="auto"/>
          <w:sz w:val="24"/>
          <w:szCs w:val="24"/>
        </w:rPr>
        <w:t xml:space="preserve">но соответствовать установленным в Российской Федерации государственным стандартам или техническим условиям производителей Товара и требованиям настоящего Технического задания, в соответствии с актами, указанными в разделе 6настоящего Технического задания.</w:t>
      </w:r>
      <w:r>
        <w:rPr>
          <w:bCs/>
          <w:color w:val="auto"/>
          <w:sz w:val="24"/>
          <w:szCs w:val="24"/>
        </w:rPr>
      </w:r>
    </w:p>
    <w:p>
      <w:pPr>
        <w:pStyle w:val="906"/>
        <w:numPr>
          <w:ilvl w:val="1"/>
          <w:numId w:val="2"/>
        </w:numPr>
        <w:ind w:left="0" w:right="156" w:firstLine="0"/>
        <w:spacing w:after="0" w:line="247" w:lineRule="auto"/>
        <w:widowControl w:val="off"/>
        <w:tabs>
          <w:tab w:val="left" w:pos="426" w:leader="none"/>
        </w:tabs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Поставляемый Товар, имеющий ограниченный срок хранения и использования, должен иметь остаточный срок годности (или службы) не менее 1 (одного) года с момента поставки (подписания обеими сторонами документа о приемке)</w:t>
      </w:r>
      <w:r>
        <w:rPr>
          <w:bCs/>
          <w:color w:val="auto"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 Требования к безопасности товара</w:t>
      </w:r>
      <w:r>
        <w:rPr>
          <w:b/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4.1. 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 документами: сертифик</w:t>
      </w:r>
      <w:r>
        <w:rPr>
          <w:bCs/>
          <w:sz w:val="24"/>
          <w:szCs w:val="24"/>
        </w:rPr>
        <w:t xml:space="preserve">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 свидетельством о государственной регистрации (при необходимости); сертификатом (паспортом) качества п</w:t>
      </w:r>
      <w:r>
        <w:rPr>
          <w:bCs/>
          <w:sz w:val="24"/>
          <w:szCs w:val="24"/>
        </w:rPr>
        <w:t xml:space="preserve">роизводителя (изготовителя) Товара.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4.2. Товар должен быть разрешен к применению на территории Российской Федерации.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4.3. Упаковка Товара должна соответствовать нормативной правовой документации на продукцию, на конкретные виды (типы) тары и упаковки, а также обеспечивать сохранность Товара при погрузке, разгрузке, транспортировании и хранении.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4.4. В сопроводительной документации на Товар, на этикетке, маркировкой или иным способом должны быть указаны специальные правила, если для безопасного использования Товара, его хранения, транспортировки и утилизации их необходимо соблюдать.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 Требования к используемым материалам </w:t>
      </w:r>
      <w:r>
        <w:rPr>
          <w:b/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5.1.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</w:t>
      </w:r>
      <w:r>
        <w:rPr>
          <w:bCs/>
          <w:sz w:val="24"/>
          <w:szCs w:val="24"/>
        </w:rPr>
        <w:t xml:space="preserve">ах. Упаковка товара должна быть без посторонних запахов, механических повреждений и следов воздействия влаги, а также предохранять Товар от порчи во время транспортировки, хранения, погрузочно-разгрузочных работах к месту эксплуатации или складу Заказчика.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5.2. К каждой упаковке с Товаром должна быть приложена опись с наименованием и количеством содержащегося в упаковке Товара.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5.3.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5.4. Тара должна обеспечивать сохранность внешнего вида и качества Товара во время транспортировки и проведения погрузо-разгрузочных работ.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5.5. Маркировка упаковки должна строго соответствовать маркировке Товара.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5.6. Упаковка и</w:t>
      </w:r>
      <w:r>
        <w:rPr>
          <w:bCs/>
          <w:sz w:val="24"/>
          <w:szCs w:val="24"/>
        </w:rPr>
        <w:t xml:space="preserve"> маркировка Товара должны соответствовать требованиям актов, предъявляемых к упаковке и маркировке данной продукции, а упаковка и маркировка импортного товара – международным стандартам упаковки в соответствии с пунктом 6.1 настоящего Технического задания.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 Перечень нормативных правовых и нормативных технических актов</w:t>
      </w:r>
      <w:r>
        <w:rPr>
          <w:b/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6.1. Решение Комиссии Таможенного союза от 16.08.2011 № 769 «О принятии технического регламента Таможенного союза «О безопасности упаковки».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6.2. Решение Комиссии Таможенного союза от 28.05.2010 № 299 «О применении санитарных мер в Евразийском экономическом союзе».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6.3. Федеральный закон от 27.12.2002 № 184-ФЗ «О техническом регулировании».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6.4. Постановление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</w:t>
      </w:r>
      <w:r>
        <w:rPr>
          <w:bCs/>
          <w:sz w:val="24"/>
          <w:szCs w:val="24"/>
        </w:rPr>
        <w:t xml:space="preserve">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6.5 "Инструкция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П6). </w:t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6.6 "Инструкция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П7).</w:t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Приложения к техническому заданию:</w:t>
      </w:r>
      <w:r>
        <w:rPr>
          <w:bCs/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Приложение 1 - «Требования к техническим и функциональным (потребительским характеристикам) товаров».</w:t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right="-1"/>
        <w:jc w:val="both"/>
        <w:tabs>
          <w:tab w:val="left" w:pos="1034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b/>
          <w:bCs/>
          <w:color w:val="auto"/>
          <w:sz w:val="24"/>
          <w:szCs w:val="24"/>
        </w:rPr>
      </w:pPr>
      <w:r>
        <w:rPr>
          <w:b/>
          <w:iCs/>
          <w:color w:val="auto"/>
          <w:sz w:val="24"/>
          <w:szCs w:val="24"/>
        </w:rPr>
        <w:br w:type="page" w:clear="all"/>
      </w:r>
      <w:r>
        <w:rPr>
          <w:b/>
          <w:bCs/>
          <w:color w:val="auto"/>
          <w:sz w:val="24"/>
          <w:szCs w:val="24"/>
        </w:rPr>
      </w:r>
    </w:p>
    <w:p>
      <w:pPr>
        <w:ind w:left="0" w:right="30" w:firstLine="0"/>
        <w:jc w:val="right"/>
        <w:spacing w:before="20" w:after="20"/>
        <w:rPr>
          <w:b/>
          <w:bCs/>
          <w:iCs/>
          <w:color w:val="auto"/>
          <w:sz w:val="24"/>
          <w:szCs w:val="24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709" w:bottom="1134" w:left="992" w:header="709" w:footer="709" w:gutter="0"/>
          <w:cols w:num="1" w:sep="0" w:space="1701" w:equalWidth="1"/>
          <w:docGrid w:linePitch="360"/>
        </w:sectPr>
      </w:pPr>
      <w:r>
        <w:rPr>
          <w:b/>
          <w:bCs/>
          <w:iCs/>
          <w:color w:val="auto"/>
          <w:sz w:val="24"/>
          <w:szCs w:val="24"/>
        </w:rPr>
      </w:r>
      <w:r>
        <w:rPr>
          <w:b/>
          <w:bCs/>
          <w:iCs/>
          <w:color w:val="auto"/>
          <w:sz w:val="24"/>
          <w:szCs w:val="24"/>
        </w:rPr>
      </w:r>
    </w:p>
    <w:p>
      <w:pPr>
        <w:ind w:left="0" w:right="30" w:firstLine="0"/>
        <w:jc w:val="right"/>
        <w:spacing w:before="20" w:after="20"/>
        <w:rPr>
          <w:b/>
          <w:bCs/>
          <w:color w:val="auto"/>
          <w:sz w:val="24"/>
          <w:szCs w:val="24"/>
        </w:rPr>
      </w:pPr>
      <w:r>
        <w:rPr>
          <w:b/>
          <w:iCs/>
          <w:color w:val="auto"/>
          <w:sz w:val="24"/>
          <w:szCs w:val="24"/>
        </w:rPr>
        <w:t xml:space="preserve">Приложение 1</w:t>
      </w:r>
      <w:r>
        <w:rPr>
          <w:b/>
          <w:bCs/>
          <w:color w:val="auto"/>
          <w:sz w:val="24"/>
          <w:szCs w:val="24"/>
        </w:rPr>
      </w:r>
    </w:p>
    <w:p>
      <w:pPr>
        <w:ind w:right="30"/>
        <w:jc w:val="right"/>
        <w:spacing w:before="20" w:after="20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к Техническому заданию</w:t>
      </w:r>
      <w:r>
        <w:rPr>
          <w:b/>
          <w:bCs/>
          <w:color w:val="auto"/>
          <w:sz w:val="24"/>
          <w:szCs w:val="24"/>
        </w:rPr>
      </w:r>
    </w:p>
    <w:p>
      <w:pPr>
        <w:ind w:right="30"/>
        <w:jc w:val="right"/>
        <w:spacing w:before="20" w:after="20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>
        <w:rPr>
          <w:b/>
          <w:bCs/>
          <w:color w:val="auto"/>
          <w:sz w:val="24"/>
          <w:szCs w:val="24"/>
        </w:rPr>
      </w:r>
    </w:p>
    <w:p>
      <w:pPr>
        <w:ind w:left="0" w:firstLine="0"/>
        <w:jc w:val="center"/>
        <w:rPr>
          <w:b/>
          <w:bCs/>
          <w:iCs/>
          <w:color w:val="auto"/>
          <w:sz w:val="24"/>
          <w:szCs w:val="24"/>
        </w:rPr>
      </w:pPr>
      <w:r>
        <w:rPr>
          <w:b/>
          <w:iCs/>
          <w:color w:val="auto"/>
          <w:sz w:val="24"/>
          <w:szCs w:val="24"/>
        </w:rPr>
        <w:t xml:space="preserve">Требования к техническим и функциональным (потребительским характеристикам) товаров.</w:t>
      </w:r>
      <w:r>
        <w:rPr>
          <w:b/>
          <w:bCs/>
          <w:iCs/>
          <w:color w:val="auto"/>
          <w:sz w:val="24"/>
          <w:szCs w:val="24"/>
        </w:rPr>
      </w:r>
    </w:p>
    <w:p>
      <w:pPr>
        <w:ind w:left="170"/>
        <w:jc w:val="left"/>
        <w:spacing w:before="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13"/>
        <w:tblW w:w="15535" w:type="dxa"/>
        <w:tblInd w:w="-209" w:type="dxa"/>
        <w:tblLayout w:type="fixed"/>
        <w:tblLook w:val="04A0" w:firstRow="1" w:lastRow="0" w:firstColumn="1" w:lastColumn="0" w:noHBand="0" w:noVBand="1"/>
      </w:tblPr>
      <w:tblGrid>
        <w:gridCol w:w="544"/>
        <w:gridCol w:w="2310"/>
        <w:gridCol w:w="3088"/>
        <w:gridCol w:w="3027"/>
        <w:gridCol w:w="4089"/>
        <w:gridCol w:w="1000"/>
        <w:gridCol w:w="1477"/>
      </w:tblGrid>
      <w:tr>
        <w:tblPrEx/>
        <w:trPr>
          <w:trHeight w:val="718"/>
        </w:trPr>
        <w:tc>
          <w:tcPr>
            <w:tcW w:w="544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№ п/п</w:t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/>
          </w:tcPr>
          <w:p>
            <w:pPr>
              <w:ind w:left="0" w:firstLine="0"/>
              <w:jc w:val="left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товара</w:t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/>
          </w:tcPr>
          <w:p>
            <w:pPr>
              <w:ind w:left="0" w:firstLine="0"/>
              <w:jc w:val="left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позиции ОКПД2</w:t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gridSpan w:val="2"/>
            <w:tcW w:w="7116" w:type="dxa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Требования, установленные к техническим, качественным характеристикам товара, входящего в объект закупки (показатели, в соответствии с которыми будет устанавливаться эквивалентность/соответствие)</w:t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912" w:type="dxa"/>
            <w:vMerge w:val="restart"/>
            <w:textDirection w:val="lrTb"/>
            <w:noWrap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Количество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1348" w:type="dxa"/>
            <w:vMerge w:val="restart"/>
            <w:textDirection w:val="lrTb"/>
            <w:noWrap/>
          </w:tcPr>
          <w:p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Единица измерения</w:t>
            </w:r>
            <w:r>
              <w:rPr>
                <w:b/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544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</w:r>
            <w:r>
              <w:rPr>
                <w:b/>
                <w:bCs/>
                <w:color w:val="auto"/>
                <w:sz w:val="20"/>
              </w:rPr>
            </w:r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</w:r>
            <w:r>
              <w:rPr>
                <w:b/>
                <w:bCs/>
                <w:color w:val="auto"/>
                <w:sz w:val="20"/>
              </w:rPr>
            </w:r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</w:r>
            <w:r>
              <w:rPr>
                <w:b/>
                <w:bCs/>
                <w:color w:val="ff0000"/>
                <w:sz w:val="20"/>
              </w:rPr>
            </w:r>
          </w:p>
        </w:tc>
        <w:tc>
          <w:tcPr>
            <w:tcW w:w="3027" w:type="dxa"/>
            <w:textDirection w:val="lrTb"/>
            <w:noWrap/>
          </w:tcPr>
          <w:p>
            <w:pPr>
              <w:contextualSpacing/>
              <w:jc w:val="left"/>
              <w:keepLines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  <w:lang w:val="en-US"/>
              </w:rPr>
              <w:t xml:space="preserve">Наименование</w:t>
            </w:r>
            <w:r>
              <w:rPr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left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  <w:lang w:val="en-US"/>
              </w:rPr>
              <w:t xml:space="preserve">характеристики</w:t>
            </w:r>
            <w:r>
              <w:rPr>
                <w:b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r>
              <w:rPr>
                <w:b/>
                <w:bCs/>
                <w:color w:val="auto"/>
                <w:sz w:val="24"/>
                <w:szCs w:val="24"/>
                <w:lang w:val="en-US"/>
              </w:rPr>
              <w:t xml:space="preserve">единица</w:t>
            </w:r>
            <w:r>
              <w:rPr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auto"/>
                <w:sz w:val="24"/>
                <w:szCs w:val="24"/>
                <w:lang w:val="en-US"/>
              </w:rPr>
              <w:t xml:space="preserve">измерения</w:t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  <w:lang w:val="en-US"/>
              </w:rPr>
              <w:t xml:space="preserve">Значение</w:t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left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характеристики</w:t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</w:r>
            <w:r>
              <w:rPr>
                <w:b/>
                <w:bCs/>
                <w:color w:val="ff0000"/>
                <w:sz w:val="20"/>
              </w:rPr>
            </w:r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</w:r>
            <w:r>
              <w:rPr>
                <w:b/>
                <w:bCs/>
                <w:color w:val="ff0000"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544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Агроперлит </w:t>
            </w:r>
            <w:r>
              <w:rPr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08.99.29.240 -</w:t>
            </w:r>
            <w:r>
              <w:rPr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Перлит (сырье перлитовое).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27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Тип изделия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ind w:left="0" w:firstLine="0"/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Агроперлит 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348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Штука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4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3027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Упаковка 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ind w:left="0" w:firstLine="0"/>
              <w:jc w:val="left"/>
              <w:spacing w:after="0" w:line="240" w:lineRule="auto"/>
              <w:rPr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Мешок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</w:r>
          </w:p>
        </w:tc>
        <w:tc>
          <w:tcPr>
            <w:tcW w:w="91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290"/>
        </w:trPr>
        <w:tc>
          <w:tcPr>
            <w:tcW w:w="544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</w:r>
            <w:r>
              <w:rPr>
                <w:b/>
                <w:bCs/>
                <w:color w:val="ff0000"/>
                <w:sz w:val="20"/>
              </w:rPr>
            </w:r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tcW w:w="3027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Обьем</w:t>
            </w:r>
            <w:r>
              <w:rPr>
                <w:sz w:val="24"/>
                <w:szCs w:val="24"/>
              </w:rPr>
              <w:t xml:space="preserve">, л.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ind w:left="0" w:firstLine="0"/>
              <w:jc w:val="left"/>
              <w:spacing w:after="0" w:line="240" w:lineRule="auto"/>
              <w:rPr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50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tcW w:w="544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</w:t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/>
          </w:tcPr>
          <w:p>
            <w:pPr>
              <w:ind w:left="0" w:firstLine="0"/>
              <w:jc w:val="left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Вермикулит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/>
          </w:tcPr>
          <w:p>
            <w:pPr>
              <w:ind w:left="13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08.99.29.250 -</w:t>
            </w:r>
            <w:r>
              <w:rPr>
                <w:color w:val="000000" w:themeColor="text1"/>
                <w:sz w:val="24"/>
                <w:szCs w:val="24"/>
              </w:rPr>
              <w:t xml:space="preserve"> Вермикулит.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27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Тип изделия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Вермикулит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348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Штука</w:t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243"/>
        </w:trPr>
        <w:tc>
          <w:tcPr>
            <w:tcW w:w="544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</w:r>
            <w:r>
              <w:rPr>
                <w:b/>
                <w:bCs/>
                <w:color w:val="auto"/>
                <w:sz w:val="20"/>
              </w:rPr>
            </w:r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27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Объем, л. 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ind w:left="0" w:firstLine="0"/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  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94"/>
        </w:trPr>
        <w:tc>
          <w:tcPr>
            <w:tcW w:w="544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</w:r>
            <w:r>
              <w:rPr>
                <w:b/>
                <w:bCs/>
                <w:color w:val="auto"/>
                <w:sz w:val="20"/>
              </w:rPr>
            </w:r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27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Фракция, мм.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 до 6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92"/>
        </w:trPr>
        <w:tc>
          <w:tcPr>
            <w:tcW w:w="544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</w:r>
            <w:r>
              <w:rPr>
                <w:b/>
                <w:bCs/>
                <w:color w:val="auto"/>
                <w:sz w:val="20"/>
              </w:rPr>
            </w:r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27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Упаковка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Мешок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23"/>
        </w:trPr>
        <w:tc>
          <w:tcPr>
            <w:tcW w:w="544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3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Удобрение </w:t>
            </w:r>
            <w:r>
              <w:rPr>
                <w:sz w:val="24"/>
                <w:szCs w:val="24"/>
                <w:highlight w:val="white"/>
              </w:rPr>
              <w:t xml:space="preserve">Bona</w:t>
            </w:r>
            <w:r>
              <w:rPr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</w:rPr>
              <w:t xml:space="preserve">Forte</w:t>
            </w:r>
            <w:r>
              <w:rPr>
                <w:sz w:val="24"/>
                <w:szCs w:val="24"/>
                <w:highlight w:val="white"/>
              </w:rPr>
              <w:t xml:space="preserve"> для фикусов и пальм (или эквивалент)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20.15.79.000 -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Удобрения минеральные или химические, содержащие два или три питательных элемента (азот, фосфор и калий), не включенные в другие группировки.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27" w:type="dxa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удобрения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Концентрированное минеральное удобрение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20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8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Штука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1"/>
        </w:trPr>
        <w:tc>
          <w:tcPr>
            <w:tcW w:w="544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</w:r>
            <w:r>
              <w:rPr>
                <w:b/>
                <w:bCs/>
                <w:color w:val="auto"/>
                <w:sz w:val="20"/>
              </w:rPr>
            </w:r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27" w:type="dxa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Форма выпуска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Жидкость 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26"/>
        </w:trPr>
        <w:tc>
          <w:tcPr>
            <w:tcW w:w="544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</w:r>
            <w:r>
              <w:rPr>
                <w:b/>
                <w:bCs/>
                <w:color w:val="auto"/>
                <w:sz w:val="20"/>
              </w:rPr>
            </w:r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27" w:type="dxa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упаковки, мл.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285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239"/>
        </w:trPr>
        <w:tc>
          <w:tcPr>
            <w:tcW w:w="544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</w:r>
            <w:r>
              <w:rPr>
                <w:b/>
                <w:bCs/>
                <w:color w:val="auto"/>
                <w:sz w:val="20"/>
              </w:rPr>
            </w:r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27" w:type="dxa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Основные макроэлементы NPK</w:t>
            </w:r>
            <w:r>
              <w:rPr>
                <w:sz w:val="24"/>
                <w:szCs w:val="24"/>
              </w:rPr>
              <w:t xml:space="preserve"> (</w:t>
            </w:r>
            <w:r>
              <w:rPr>
                <w:sz w:val="24"/>
                <w:szCs w:val="24"/>
              </w:rPr>
              <w:t xml:space="preserve">азот :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фосфор :</w:t>
            </w:r>
            <w:r>
              <w:rPr>
                <w:sz w:val="24"/>
                <w:szCs w:val="24"/>
              </w:rPr>
              <w:t xml:space="preserve"> калий), %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6:4:5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294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Назначение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Для фикусов и пальм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94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Упаковка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Флакон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544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Гранулированное удобрение </w:t>
            </w:r>
            <w:r>
              <w:rPr>
                <w:sz w:val="24"/>
                <w:szCs w:val="24"/>
                <w:highlight w:val="white"/>
              </w:rPr>
              <w:t xml:space="preserve">Bona</w:t>
            </w:r>
            <w:r>
              <w:rPr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</w:rPr>
              <w:t xml:space="preserve">Forte</w:t>
            </w:r>
            <w:r>
              <w:rPr>
                <w:sz w:val="24"/>
                <w:szCs w:val="24"/>
                <w:highlight w:val="white"/>
              </w:rPr>
              <w:t xml:space="preserve"> для петуний и бегоний (или эквивалент)</w:t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20.15.79.000 -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Удобрения минеральные или химические, содержащие два или три питательных элемента (азот, фосфор и калий), не включенные в другие группировки.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27" w:type="dxa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удобрения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Минеральное, пролонгированного действия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3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8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Штука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4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Форма выпуска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Гранулы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упаковки, л.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94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Основные макроэлементы </w:t>
            </w:r>
            <w:r>
              <w:rPr>
                <w:sz w:val="24"/>
                <w:szCs w:val="24"/>
              </w:rPr>
              <w:t xml:space="preserve">NPK (</w:t>
            </w:r>
            <w:r>
              <w:rPr>
                <w:sz w:val="24"/>
                <w:szCs w:val="24"/>
              </w:rPr>
              <w:t xml:space="preserve">азот :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фосфор :</w:t>
            </w:r>
            <w:r>
              <w:rPr>
                <w:sz w:val="24"/>
                <w:szCs w:val="24"/>
              </w:rPr>
              <w:t xml:space="preserve"> калий), %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7,</w:t>
            </w:r>
            <w:r>
              <w:rPr>
                <w:sz w:val="24"/>
                <w:szCs w:val="24"/>
                <w:highlight w:val="white"/>
              </w:rPr>
              <w:t xml:space="preserve">5 :</w:t>
            </w:r>
            <w:r>
              <w:rPr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  <w:highlight w:val="white"/>
              </w:rPr>
              <w:t xml:space="preserve">7 :</w:t>
            </w:r>
            <w:r>
              <w:rPr>
                <w:sz w:val="24"/>
                <w:szCs w:val="24"/>
                <w:highlight w:val="white"/>
              </w:rPr>
              <w:t xml:space="preserve"> 7,5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Назначение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Для петуний, бегоний и других </w:t>
            </w:r>
            <w:r>
              <w:rPr>
                <w:sz w:val="24"/>
                <w:szCs w:val="24"/>
                <w:highlight w:val="white"/>
              </w:rPr>
              <w:t xml:space="preserve">цветочно</w:t>
            </w:r>
            <w:r>
              <w:rPr>
                <w:sz w:val="24"/>
                <w:szCs w:val="24"/>
                <w:highlight w:val="white"/>
              </w:rPr>
              <w:t xml:space="preserve"> ‑ декоративных культур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81"/>
        </w:trPr>
        <w:tc>
          <w:tcPr>
            <w:tcW w:w="544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5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left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ind w:left="34" w:hanging="34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Виталайзер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left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20.15.79.000 -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Удобрения минеральные или химические, содержащие два или три питательных элемента (азот, фосфор и калий), не включенные в другие группировки.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Тип удобрения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Органоминеральное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</w:r>
          </w:p>
        </w:tc>
        <w:tc>
          <w:tcPr>
            <w:tcW w:w="91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20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348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Штука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Назначение 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Стимуляция роста и питание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Тип упаковки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Полипропилен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Обьем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, мл.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6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Сезон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Весна, зима, лето, осень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94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Форма выпуска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Жидкость (раствор)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6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Радифарм</w:t>
            </w:r>
            <w:r>
              <w:rPr>
                <w:sz w:val="24"/>
                <w:szCs w:val="24"/>
              </w:rPr>
              <w:t xml:space="preserve"> (или эквивалент)</w:t>
            </w:r>
            <w:r>
              <w:rPr>
                <w:sz w:val="24"/>
                <w:szCs w:val="24"/>
              </w:rPr>
            </w:r>
          </w:p>
          <w:p>
            <w:pPr>
              <w:ind w:left="34" w:hanging="34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highlight w:val="white"/>
              </w:rPr>
              <w:t xml:space="preserve">20.20.13.120</w:t>
            </w:r>
            <w:r>
              <w:rPr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sz w:val="24"/>
                <w:highlight w:val="white"/>
              </w:rPr>
              <w:t xml:space="preserve">регуляторы роста растений.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  <w:p>
            <w:pPr>
              <w:jc w:val="lef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  <w:p>
            <w:pPr>
              <w:jc w:val="lef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Тип удобрения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ind w:left="0" w:firstLine="0"/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Стимулятор корнеобразования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18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348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Штука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Назначение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ind w:left="0" w:firstLine="0"/>
              <w:jc w:val="left"/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Стимуляция развития корневой системы, снятие стресса у растений при пересадке, черенковании, пикировке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Обьем</w:t>
            </w:r>
            <w:r>
              <w:rPr>
                <w:color w:val="000000" w:themeColor="text1"/>
                <w:sz w:val="24"/>
                <w:szCs w:val="24"/>
              </w:rPr>
              <w:t xml:space="preserve">, мл.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ind w:left="0" w:firstLine="0"/>
              <w:jc w:val="left"/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Не менее 100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Упаковка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ind w:left="0" w:firstLine="0"/>
              <w:jc w:val="left"/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Флакон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94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ind w:left="0" w:firstLine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Форма выпуска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ind w:left="0" w:firstLine="0"/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Концентрат (жидкий)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7</w:t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Фунгицид против бактериальных болезней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20.20.15.000 -</w:t>
            </w:r>
            <w:r>
              <w:rPr>
                <w:color w:val="000000" w:themeColor="text1"/>
                <w:sz w:val="24"/>
                <w:szCs w:val="24"/>
              </w:rPr>
              <w:t xml:space="preserve"> Фунгициды.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Тип удобрения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Против бактериальных и грибных болезней растений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10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8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Штука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9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Назначение 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Против бактериальных и грибных болезней растений</w:t>
            </w:r>
            <w:r>
              <w:rPr>
                <w:sz w:val="24"/>
                <w:szCs w:val="24"/>
              </w:rPr>
            </w:r>
            <w:r/>
            <w:r/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Объём упаковки, мл.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2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Действующее вещество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ind w:left="13" w:firstLine="0"/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Фитобактериомицин</w:t>
            </w:r>
            <w:r>
              <w:rPr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color w:val="auto"/>
                <w:sz w:val="24"/>
                <w:szCs w:val="24"/>
                <w:shd w:val="clear" w:color="auto" w:fill="ffffff"/>
              </w:rPr>
              <w:t xml:space="preserve">Дата выпуска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ind w:left="13" w:firstLine="0"/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Фитоверм </w:t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20.20.11.000 -</w:t>
            </w:r>
            <w:hyperlink r:id="rId11" w:tooltip="https://classifikators.ru/okpd/20.20.11.000" w:history="1">
              <w:r>
                <w:rPr>
                  <w:rStyle w:val="897"/>
                  <w:color w:val="000000" w:themeColor="text1"/>
                  <w:sz w:val="24"/>
                  <w:szCs w:val="24"/>
                  <w:u w:val="none"/>
                </w:rPr>
                <w:t xml:space="preserve">Инсектициды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  <w:p>
            <w:pPr>
              <w:jc w:val="lef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  <w:p>
            <w:pPr>
              <w:jc w:val="lef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</w:r>
            <w:r>
              <w:rPr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Инсектоакарицид</w:t>
            </w:r>
            <w:r>
              <w:rPr>
                <w:sz w:val="24"/>
                <w:szCs w:val="24"/>
                <w:highlight w:val="white"/>
              </w:rPr>
              <w:t xml:space="preserve"> биологического происхождения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3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Штука</w:t>
            </w:r>
            <w:r>
              <w:rPr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Назначение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Защита растений от насекомых-вредителей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94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ind w:left="13" w:firstLine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Форма выпуска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Концентрат эмульсии 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ind w:left="0" w:firstLine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мл.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ind w:left="0" w:firstLine="0"/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100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9</w:t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Фитоспорин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20.20.15.000 -</w:t>
            </w:r>
            <w:r>
              <w:rPr>
                <w:color w:val="000000" w:themeColor="text1"/>
                <w:sz w:val="24"/>
                <w:szCs w:val="24"/>
              </w:rPr>
              <w:t xml:space="preserve"> Фунгициды.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Тип 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Биологический фунгицид</w:t>
            </w:r>
            <w:r>
              <w:rPr>
                <w:sz w:val="24"/>
                <w:szCs w:val="24"/>
              </w:rPr>
            </w:r>
          </w:p>
        </w:tc>
        <w:tc>
          <w:tcPr>
            <w:tcW w:w="1000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5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47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Штука</w:t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after="0" w:line="240" w:lineRule="auto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Назначение 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ind w:left="0" w:firstLine="0"/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Защита растений от комплекса грибных и бактериальных болезней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ind w:left="13" w:firstLine="0"/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Форма выпуска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Жидкость (концентрат)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Объём упаковки, мл.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Не менее 100 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2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Тип упаковки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ind w:left="13" w:firstLine="0"/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Флакон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ind w:left="13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Инсектицид защита хвойных от вредителей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20.20.11.000 - </w:t>
            </w:r>
            <w:hyperlink r:id="rId12" w:tooltip="https://classifikators.ru/okpd/20.20.11.000" w:history="1">
              <w:r>
                <w:rPr>
                  <w:rStyle w:val="897"/>
                  <w:color w:val="000000" w:themeColor="text1"/>
                  <w:sz w:val="24"/>
                  <w:szCs w:val="24"/>
                  <w:u w:val="none"/>
                </w:rPr>
                <w:t xml:space="preserve">Инсектициды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Тип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Инсектоакарицид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 (инсектицид)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Назначение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Защита хвойных растений от комплекса вредителей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Форма выпуска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Концентрат эмульсии 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Объём, мл.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 менее 2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Упаковка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Пакет (ампула/саше)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Действующее вещество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Имидаклоприд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 альфа‑циперметрин, 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клотианидин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Фунгицид защита хвойных от болезней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20.20.15.000 -</w:t>
            </w:r>
            <w:r>
              <w:rPr>
                <w:color w:val="000000" w:themeColor="text1"/>
                <w:sz w:val="24"/>
                <w:szCs w:val="24"/>
              </w:rPr>
              <w:t xml:space="preserve"> Фунгициды.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Тип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Фунгицид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Назначение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Защита хвойных растений от болезней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Форма выпуска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Суспензионный концентрат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Объем,мл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Не менее 10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Упаковка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Пакет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Действующее вещество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Эпоксиконазол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ципроконазол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54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Блеск для листьев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20.15.79.000 -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Удобрения минеральные или химические, содержащие два или три питательных элемента (азот, фосфор и калий), не включенные в другие группировки.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удобрения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Многофункциональное средство </w:t>
            </w:r>
            <w:r>
              <w:rPr>
                <w:sz w:val="24"/>
                <w:szCs w:val="24"/>
              </w:rPr>
            </w:r>
          </w:p>
        </w:tc>
        <w:tc>
          <w:tcPr>
            <w:tcW w:w="10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Область применения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Для декоративно - лиственных комнатных растений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Препаративная форма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Жидкость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Периоды применения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Круглогодично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Объём, мл.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300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Действие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Придаёт глянцевый блеск листьям, препятствует осаждению пыли, защищает от насекомых-вредителей (благодаря зелёному мылу в составе)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Рекомендуемые растения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Растения с жёсткой листовой пластиной: фикусы, антуриумы, кротоны, пальмы, </w:t>
            </w:r>
            <w:r>
              <w:rPr>
                <w:sz w:val="24"/>
                <w:szCs w:val="24"/>
                <w:highlight w:val="white"/>
              </w:rPr>
              <w:t xml:space="preserve">алоказии</w:t>
            </w:r>
            <w:r>
              <w:rPr>
                <w:sz w:val="24"/>
                <w:szCs w:val="24"/>
                <w:highlight w:val="white"/>
              </w:rPr>
              <w:t xml:space="preserve">, диффенбахии и другие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Зелёное мыло, для мытья листьев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20.20.11.000 - </w:t>
            </w:r>
            <w:hyperlink r:id="rId13" w:tooltip="https://classifikators.ru/okpd/20.20.11.000" w:history="1">
              <w:r>
                <w:rPr>
                  <w:rStyle w:val="897"/>
                  <w:color w:val="000000" w:themeColor="text1"/>
                  <w:sz w:val="24"/>
                  <w:szCs w:val="24"/>
                  <w:u w:val="none"/>
                </w:rPr>
                <w:t xml:space="preserve">Инсектициды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Органический инсектицид и фунгицид</w:t>
            </w:r>
            <w:r>
              <w:rPr>
                <w:sz w:val="24"/>
                <w:szCs w:val="24"/>
              </w:rPr>
            </w:r>
          </w:p>
        </w:tc>
        <w:tc>
          <w:tcPr>
            <w:tcW w:w="10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Защита растений от вредителей и болезней, использование в качестве </w:t>
            </w:r>
            <w:r>
              <w:rPr>
                <w:sz w:val="24"/>
                <w:szCs w:val="24"/>
                <w:highlight w:val="white"/>
              </w:rPr>
              <w:t xml:space="preserve">прилипателя</w:t>
            </w:r>
            <w:r>
              <w:rPr>
                <w:sz w:val="24"/>
                <w:szCs w:val="24"/>
                <w:highlight w:val="white"/>
              </w:rPr>
              <w:t xml:space="preserve"> для других препаратов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Форма выпуска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Жидкость зеленоватого или тёмно-бурого цвета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мл.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250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Упаковка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Флакон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Минеральное удобрение для цветущих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/>
            <w:hyperlink r:id="rId14" w:tooltip="https://classifikators.ru/okpd/20.15.39" w:history="1">
              <w:r>
                <w:rPr>
                  <w:rStyle w:val="897"/>
                  <w:color w:val="000000" w:themeColor="text1"/>
                  <w:sz w:val="24"/>
                  <w:szCs w:val="24"/>
                  <w:u w:val="none"/>
                </w:rPr>
                <w:t xml:space="preserve">20.15.39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.000 - </w:t>
            </w:r>
            <w:hyperlink r:id="rId15" w:tooltip="https://classifikators.ru/okpd/20.15.39" w:history="1">
              <w:r>
                <w:rPr>
                  <w:rStyle w:val="897"/>
                  <w:color w:val="000000" w:themeColor="text1"/>
                  <w:sz w:val="24"/>
                  <w:szCs w:val="24"/>
                  <w:u w:val="none"/>
                </w:rPr>
                <w:t xml:space="preserve">Удобрения азотные и смеси прочие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Тип удобрения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Комплексное азотно‑фосфорно‑калийное с микроэлементами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0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7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Штука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Форма выпуска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Водорастворимый порошок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3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Назначение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Для всех овощных и цветочных культур, в т. ч. комнатных растений, рассады, культур открытого и защищённого грунта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Вес упаковки, гр.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 менее 100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Упаковка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Пакет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Удобрение для декоративно-лиственных и комнатных растений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20.15.71.000 - </w:t>
            </w:r>
            <w:hyperlink r:id="rId16" w:tooltip="https://classifikators.ru/okpd/20.15.71" w:history="1">
              <w:r>
                <w:rPr>
                  <w:rStyle w:val="897"/>
                  <w:color w:val="000000" w:themeColor="text1"/>
                  <w:sz w:val="24"/>
                  <w:szCs w:val="24"/>
                  <w:u w:val="none"/>
                </w:rPr>
                <w:t xml:space="preserve">Удобрения, содержащие три питательных элемента: азот, фосфор и калий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Тип удобрения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Минеральное, азотно-фосфорно-калийное с микроэлементами</w:t>
            </w:r>
            <w:r>
              <w:rPr>
                <w:sz w:val="24"/>
                <w:szCs w:val="24"/>
              </w:rPr>
            </w:r>
          </w:p>
        </w:tc>
        <w:tc>
          <w:tcPr>
            <w:tcW w:w="10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6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Форма выпуска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Жидкость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Объем, мл.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800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Для декоративно-лиственных растений в горшках, на балконе, террасе и в открытом грунте 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Стимуляция роста и питание, укрепление иммунитета растений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Упаковка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Бутыль (флакон)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Иммуностимулятор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20.15.79.000 - </w:t>
            </w:r>
            <w:r>
              <w:rPr>
                <w:color w:val="000000" w:themeColor="text1"/>
                <w:sz w:val="24"/>
                <w:szCs w:val="24"/>
              </w:rPr>
              <w:t xml:space="preserve"> </w:t>
            </w:r>
            <w:hyperlink r:id="rId17" w:tooltip="https://classifikators.ru/okpd/20.15.79.000" w:history="1">
              <w:r>
                <w:rPr>
                  <w:rStyle w:val="897"/>
                  <w:color w:val="000000" w:themeColor="text1"/>
                  <w:sz w:val="24"/>
                  <w:szCs w:val="24"/>
                  <w:u w:val="none"/>
                </w:rPr>
                <w:t xml:space="preserve">Удобрения минеральные или химические, содержащие два или три питательных элемента (азот, фосфор и калий), не включенные в другие группировки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Тип препарата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Регулятор роста, адаптоген</w:t>
            </w:r>
            <w:r>
              <w:rPr>
                <w:sz w:val="24"/>
                <w:szCs w:val="24"/>
              </w:rPr>
            </w:r>
          </w:p>
        </w:tc>
        <w:tc>
          <w:tcPr>
            <w:tcW w:w="10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4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Штука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Назначение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Стимуляция, регуляция роста растений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Форма выпуска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Жидкость 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06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Объём, мл.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50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Регулятор роста растений, защита от </w:t>
            </w:r>
            <w:r>
              <w:rPr>
                <w:sz w:val="24"/>
                <w:szCs w:val="24"/>
              </w:rPr>
              <w:t xml:space="preserve">ожогов Циркон (или эквивалент)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highlight w:val="white"/>
              </w:rPr>
              <w:t xml:space="preserve">20.20.13.120</w:t>
            </w:r>
            <w:r>
              <w:rPr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sz w:val="24"/>
                <w:highlight w:val="white"/>
              </w:rPr>
              <w:t xml:space="preserve">регуляторы роста растений.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Тип препарата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Негормональный регулятор роста, иммуномодулятор, </w:t>
            </w:r>
            <w:r>
              <w:rPr>
                <w:spacing w:val="3"/>
                <w:sz w:val="24"/>
                <w:szCs w:val="24"/>
                <w:highlight w:val="white"/>
              </w:rPr>
              <w:t xml:space="preserve">корнеобразователь</w:t>
            </w:r>
            <w:r>
              <w:rPr>
                <w:spacing w:val="3"/>
                <w:sz w:val="24"/>
                <w:szCs w:val="24"/>
                <w:highlight w:val="white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  <w:tc>
          <w:tcPr>
            <w:tcW w:w="10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Штука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Назначение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засушливой погоды, нехватки влаги, солнечных ожогов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Форма выпуска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Жидкость 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Объём, мл.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50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Период применения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В течение роста и развития растений. Возможно круглогодичное использование 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Керамзит средний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23.32.12.190 - </w:t>
            </w:r>
            <w:hyperlink r:id="rId18" w:tooltip="https://classifikators.ru/okpd/23.32.12.190" w:history="1">
              <w:r>
                <w:rPr>
                  <w:rStyle w:val="897"/>
                  <w:color w:val="000000" w:themeColor="text1"/>
                  <w:sz w:val="24"/>
                  <w:szCs w:val="24"/>
                  <w:u w:val="none"/>
                </w:rPr>
                <w:t xml:space="preserve">Изделия строительные керамические прочие, не включенные в другие группировки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Фракция, мм.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 менее 10 и не более 20</w:t>
            </w:r>
            <w:r>
              <w:rPr>
                <w:sz w:val="24"/>
                <w:szCs w:val="24"/>
              </w:rPr>
            </w:r>
          </w:p>
        </w:tc>
        <w:tc>
          <w:tcPr>
            <w:tcW w:w="10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</w:p>
        </w:tc>
        <w:tc>
          <w:tcPr>
            <w:tcW w:w="14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Тип упаковки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Мешок 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3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Объём упаковки, л.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20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Уголь древесный гранулированный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8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20.14.72.000 – уголь древесный.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Древесный уголь для растений</w:t>
            </w:r>
            <w:r>
              <w:rPr>
                <w:sz w:val="24"/>
                <w:szCs w:val="24"/>
              </w:rPr>
            </w:r>
          </w:p>
        </w:tc>
        <w:tc>
          <w:tcPr>
            <w:tcW w:w="10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Назначение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стимуляции корнеобразования, от болезней, от неприятного запаха.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выпуска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Гранулы 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Обьем</w:t>
            </w:r>
            <w:r>
              <w:rPr>
                <w:sz w:val="24"/>
                <w:szCs w:val="24"/>
              </w:rPr>
              <w:t xml:space="preserve"> упаковки, л.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jc w:val="lef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5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7"/>
        </w:trPr>
        <w:tc>
          <w:tcPr>
            <w:tcW w:w="5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7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highlight w:val="white"/>
              </w:rPr>
              <w:t xml:space="preserve">Тип упаковки</w:t>
            </w:r>
            <w:r>
              <w:rPr>
                <w:sz w:val="24"/>
                <w:szCs w:val="24"/>
              </w:rPr>
            </w:r>
          </w:p>
        </w:tc>
        <w:tc>
          <w:tcPr>
            <w:tcW w:w="4089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 / мешок </w:t>
            </w: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48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continuous"/>
      <w:pgSz w:w="16838" w:h="11906" w:orient="landscape"/>
      <w:pgMar w:top="851" w:right="1200" w:bottom="426" w:left="960" w:header="0" w:footer="76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NSimSun">
    <w:panose1 w:val="02010609030101010101"/>
  </w:font>
  <w:font w:name="Arial Unicode MS">
    <w:panose1 w:val="020B0604020202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spacing w:line="12" w:lineRule="auto"/>
      <w:rPr>
        <w:sz w:val="20"/>
        <w:szCs w:val="20"/>
      </w:rPr>
    </w:pPr>
    <w:r>
      <w:rPr>
        <w:sz w:val="20"/>
        <w:szCs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0" allowOverlap="1">
              <wp:simplePos x="0" y="0"/>
              <wp:positionH relativeFrom="page">
                <wp:posOffset>3670300</wp:posOffset>
              </wp:positionH>
              <wp:positionV relativeFrom="page">
                <wp:posOffset>10067290</wp:posOffset>
              </wp:positionV>
              <wp:extent cx="228600" cy="18034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286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02"/>
                            <w:ind w:left="60"/>
                            <w:spacing w:before="1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</w:r>
                        </w:p>
                      </w:txbxContent>
                    </wps:txbx>
                    <wps:bodyPr lIns="36000" tIns="36000" rIns="36000" bIns="3600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51659264;o:allowoverlap:true;o:allowincell:false;mso-position-horizontal-relative:page;margin-left:289.00pt;mso-position-horizontal:absolute;mso-position-vertical-relative:page;margin-top:792.70pt;mso-position-vertical:absolute;width:18.00pt;height:14.20pt;mso-wrap-distance-left:0.00pt;mso-wrap-distance-top:0.00pt;mso-wrap-distance-right:0.00pt;mso-wrap-distance-bottom:0.00pt;v-text-anchor:top;visibility:visible;" filled="f" stroked="f" strokeweight="0.00pt">
              <v:textbox inset="0,0,0,0">
                <w:txbxContent>
                  <w:p>
                    <w:pPr>
                      <w:pStyle w:val="902"/>
                      <w:ind w:left="60"/>
                      <w:spacing w:before="1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 xml:space="preserve"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33" w:hanging="720"/>
        <w:tabs>
          <w:tab w:val="num" w:pos="0" w:leader="none"/>
        </w:tabs>
      </w:pPr>
      <w:rPr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46" w:hanging="720"/>
        <w:tabs>
          <w:tab w:val="num" w:pos="0" w:leader="none"/>
        </w:tabs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19" w:hanging="1080"/>
        <w:tabs>
          <w:tab w:val="num" w:pos="0" w:leader="none"/>
        </w:tabs>
      </w:pPr>
      <w:rPr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32" w:hanging="1080"/>
        <w:tabs>
          <w:tab w:val="num" w:pos="0" w:leader="none"/>
        </w:tabs>
      </w:pPr>
      <w:rPr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05" w:hanging="1440"/>
        <w:tabs>
          <w:tab w:val="num" w:pos="0" w:leader="none"/>
        </w:tabs>
      </w:pPr>
      <w:rPr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78" w:hanging="1800"/>
        <w:tabs>
          <w:tab w:val="num" w:pos="0" w:leader="none"/>
        </w:tabs>
      </w:pPr>
      <w:rPr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91" w:hanging="1800"/>
        <w:tabs>
          <w:tab w:val="num" w:pos="0" w:leader="none"/>
        </w:tabs>
      </w:pPr>
      <w:rPr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64" w:hanging="2160"/>
        <w:tabs>
          <w:tab w:val="num" w:pos="0" w:leader="none"/>
        </w:tabs>
      </w:pPr>
      <w:rPr>
        <w:sz w:val="24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 w:default="1">
    <w:name w:val="Normal"/>
    <w:qFormat/>
    <w:pPr>
      <w:ind w:left="23" w:hanging="10"/>
      <w:jc w:val="both"/>
      <w:spacing w:after="2" w:line="218" w:lineRule="auto"/>
    </w:pPr>
    <w:rPr>
      <w:rFonts w:ascii="Times New Roman" w:hAnsi="Times New Roman" w:eastAsia="Times New Roman" w:cs="Times New Roman"/>
      <w:color w:val="000000"/>
      <w:sz w:val="28"/>
      <w:lang w:eastAsia="ru-RU"/>
    </w:rPr>
  </w:style>
  <w:style w:type="paragraph" w:styleId="702">
    <w:name w:val="Heading 1"/>
    <w:basedOn w:val="701"/>
    <w:next w:val="701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01"/>
    <w:next w:val="701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08">
    <w:name w:val="Heading 7"/>
    <w:basedOn w:val="701"/>
    <w:next w:val="701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09">
    <w:name w:val="Heading 8"/>
    <w:basedOn w:val="701"/>
    <w:next w:val="701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10">
    <w:name w:val="Heading 9"/>
    <w:basedOn w:val="701"/>
    <w:next w:val="701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11"/>
    <w:uiPriority w:val="9"/>
    <w:rPr>
      <w:rFonts w:ascii="Arial" w:hAnsi="Arial" w:eastAsia="Arial" w:cs="Arial"/>
      <w:sz w:val="34"/>
    </w:rPr>
  </w:style>
  <w:style w:type="character" w:styleId="716" w:customStyle="1">
    <w:name w:val="Heading 3 Char"/>
    <w:basedOn w:val="711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6 Char"/>
    <w:basedOn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Heading 7 Char"/>
    <w:basedOn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1"/>
    <w:uiPriority w:val="10"/>
    <w:rPr>
      <w:sz w:val="48"/>
      <w:szCs w:val="48"/>
    </w:rPr>
  </w:style>
  <w:style w:type="character" w:styleId="724" w:customStyle="1">
    <w:name w:val="Subtitle Char"/>
    <w:basedOn w:val="711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Header Char"/>
    <w:basedOn w:val="711"/>
    <w:uiPriority w:val="99"/>
  </w:style>
  <w:style w:type="character" w:styleId="728" w:customStyle="1">
    <w:name w:val="Footer Char"/>
    <w:basedOn w:val="711"/>
    <w:uiPriority w:val="99"/>
  </w:style>
  <w:style w:type="character" w:styleId="729" w:customStyle="1">
    <w:name w:val="Caption Char"/>
    <w:basedOn w:val="711"/>
    <w:uiPriority w:val="35"/>
    <w:rPr>
      <w:b/>
      <w:bCs/>
      <w:color w:val="5b9bd5" w:themeColor="accent1"/>
      <w:sz w:val="18"/>
      <w:szCs w:val="18"/>
    </w:rPr>
  </w:style>
  <w:style w:type="character" w:styleId="730" w:customStyle="1">
    <w:name w:val="Footnote Text Char"/>
    <w:uiPriority w:val="99"/>
    <w:rPr>
      <w:sz w:val="18"/>
    </w:rPr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1"/>
    <w:link w:val="703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1"/>
    <w:next w:val="902"/>
    <w:link w:val="742"/>
    <w:qFormat/>
    <w:pPr>
      <w:keepNext/>
      <w:spacing w:before="240" w:after="120"/>
    </w:pPr>
    <w:rPr>
      <w:rFonts w:ascii="Liberation Sans" w:hAnsi="Liberation Sans" w:eastAsia="Microsoft YaHei" w:cs="Arial"/>
      <w:szCs w:val="28"/>
    </w:rPr>
  </w:style>
  <w:style w:type="character" w:styleId="742" w:customStyle="1">
    <w:name w:val="Заголовок Знак"/>
    <w:basedOn w:val="711"/>
    <w:link w:val="741"/>
    <w:uiPriority w:val="10"/>
    <w:rPr>
      <w:sz w:val="48"/>
      <w:szCs w:val="48"/>
    </w:rPr>
  </w:style>
  <w:style w:type="paragraph" w:styleId="743">
    <w:name w:val="Subtitle"/>
    <w:basedOn w:val="701"/>
    <w:next w:val="701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1"/>
    <w:link w:val="743"/>
    <w:uiPriority w:val="11"/>
    <w:rPr>
      <w:sz w:val="24"/>
      <w:szCs w:val="24"/>
    </w:rPr>
  </w:style>
  <w:style w:type="paragraph" w:styleId="745">
    <w:name w:val="Quote"/>
    <w:basedOn w:val="701"/>
    <w:next w:val="701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1"/>
    <w:next w:val="701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1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1"/>
    <w:link w:val="749"/>
    <w:uiPriority w:val="99"/>
  </w:style>
  <w:style w:type="character" w:styleId="751" w:customStyle="1">
    <w:name w:val="Нижний колонтитул Знак"/>
    <w:basedOn w:val="711"/>
    <w:link w:val="911"/>
    <w:uiPriority w:val="99"/>
  </w:style>
  <w:style w:type="character" w:styleId="752" w:customStyle="1">
    <w:name w:val="Название объекта Знак"/>
    <w:basedOn w:val="711"/>
    <w:link w:val="904"/>
    <w:uiPriority w:val="35"/>
    <w:rPr>
      <w:b/>
      <w:bCs/>
      <w:color w:val="5b9bd5" w:themeColor="accent1"/>
      <w:sz w:val="18"/>
      <w:szCs w:val="18"/>
    </w:rPr>
  </w:style>
  <w:style w:type="table" w:styleId="753" w:customStyle="1">
    <w:name w:val="Table Grid Light"/>
    <w:basedOn w:val="7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7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1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1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1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1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1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1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1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1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1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2" w:customStyle="1">
    <w:name w:val="Grid Table 4 - Accent 2"/>
    <w:basedOn w:val="71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Grid Table 4 - Accent 3"/>
    <w:basedOn w:val="71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4" w:customStyle="1">
    <w:name w:val="Grid Table 4 - Accent 4"/>
    <w:basedOn w:val="71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Grid Table 4 - Accent 5"/>
    <w:basedOn w:val="71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6" w:customStyle="1">
    <w:name w:val="Grid Table 4 - Accent 6"/>
    <w:basedOn w:val="71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7">
    <w:name w:val="Grid Table 5 Dark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1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6" w:customStyle="1">
    <w:name w:val="Grid Table 6 Colorful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7" w:customStyle="1">
    <w:name w:val="Grid Table 6 Colorful - Accent 3"/>
    <w:basedOn w:val="71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8" w:customStyle="1">
    <w:name w:val="Grid Table 6 Colorful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9" w:customStyle="1">
    <w:name w:val="Grid Table 6 Colorful - Accent 5"/>
    <w:basedOn w:val="71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6 Colorful - Accent 6"/>
    <w:basedOn w:val="71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>
    <w:name w:val="Grid Table 7 Colorful"/>
    <w:basedOn w:val="71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1"/>
    <w:basedOn w:val="71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5"/>
    <w:basedOn w:val="71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6"/>
    <w:basedOn w:val="71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71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1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1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1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1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1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1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1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1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1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1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1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1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1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1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1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1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1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1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1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1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1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1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1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1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>
    <w:name w:val="List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1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5" w:customStyle="1">
    <w:name w:val="List Table 6 Colorful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List Table 6 Colorful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7" w:customStyle="1">
    <w:name w:val="List Table 6 Colorful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List Table 6 Colorful - Accent 5"/>
    <w:basedOn w:val="71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9" w:customStyle="1">
    <w:name w:val="List Table 6 Colorful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0">
    <w:name w:val="List Table 7 Colorful"/>
    <w:basedOn w:val="71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1"/>
    <w:basedOn w:val="71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2"/>
    <w:basedOn w:val="71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3"/>
    <w:basedOn w:val="71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4"/>
    <w:basedOn w:val="71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5"/>
    <w:basedOn w:val="71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6"/>
    <w:basedOn w:val="71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ned - Accent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Lined - Accent 2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Lined - Accent 3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Lined - Accent 4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Lined - Accent 5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Lined - Accent 6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 &amp; Lined - Accent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6" w:customStyle="1">
    <w:name w:val="Bordered &amp; Lined - Accent 2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Bordered &amp; Lined - Accent 3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Bordered &amp; Lined - Accent 4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Bordered &amp; Lined - Accent 5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0" w:customStyle="1">
    <w:name w:val="Bordered &amp; Lined - Accent 6"/>
    <w:basedOn w:val="71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"/>
    <w:basedOn w:val="71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1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3" w:customStyle="1">
    <w:name w:val="Bordered - Accent 2"/>
    <w:basedOn w:val="7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4" w:customStyle="1">
    <w:name w:val="Bordered - Accent 3"/>
    <w:basedOn w:val="7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5" w:customStyle="1">
    <w:name w:val="Bordered - Accent 4"/>
    <w:basedOn w:val="7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6" w:customStyle="1">
    <w:name w:val="Bordered - Accent 5"/>
    <w:basedOn w:val="71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7" w:customStyle="1">
    <w:name w:val="Bordered - Accent 6"/>
    <w:basedOn w:val="7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8">
    <w:name w:val="footnote text"/>
    <w:basedOn w:val="701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basedOn w:val="711"/>
    <w:uiPriority w:val="99"/>
    <w:unhideWhenUsed/>
    <w:rPr>
      <w:vertAlign w:val="superscript"/>
    </w:rPr>
  </w:style>
  <w:style w:type="paragraph" w:styleId="881">
    <w:name w:val="endnote text"/>
    <w:basedOn w:val="701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1"/>
    <w:uiPriority w:val="99"/>
    <w:semiHidden/>
    <w:unhideWhenUsed/>
    <w:rPr>
      <w:vertAlign w:val="superscript"/>
    </w:rPr>
  </w:style>
  <w:style w:type="paragraph" w:styleId="884">
    <w:name w:val="toc 1"/>
    <w:basedOn w:val="701"/>
    <w:next w:val="701"/>
    <w:uiPriority w:val="39"/>
    <w:unhideWhenUsed/>
    <w:pPr>
      <w:ind w:left="0" w:firstLine="0"/>
      <w:spacing w:after="57"/>
    </w:pPr>
  </w:style>
  <w:style w:type="paragraph" w:styleId="885">
    <w:name w:val="toc 2"/>
    <w:basedOn w:val="701"/>
    <w:next w:val="701"/>
    <w:uiPriority w:val="39"/>
    <w:unhideWhenUsed/>
    <w:pPr>
      <w:ind w:left="283" w:firstLine="0"/>
      <w:spacing w:after="57"/>
    </w:pPr>
  </w:style>
  <w:style w:type="paragraph" w:styleId="886">
    <w:name w:val="toc 3"/>
    <w:basedOn w:val="701"/>
    <w:next w:val="701"/>
    <w:uiPriority w:val="39"/>
    <w:unhideWhenUsed/>
    <w:pPr>
      <w:ind w:left="567" w:firstLine="0"/>
      <w:spacing w:after="57"/>
    </w:pPr>
  </w:style>
  <w:style w:type="paragraph" w:styleId="887">
    <w:name w:val="toc 4"/>
    <w:basedOn w:val="701"/>
    <w:next w:val="701"/>
    <w:uiPriority w:val="39"/>
    <w:unhideWhenUsed/>
    <w:pPr>
      <w:ind w:left="850" w:firstLine="0"/>
      <w:spacing w:after="57"/>
    </w:pPr>
  </w:style>
  <w:style w:type="paragraph" w:styleId="888">
    <w:name w:val="toc 5"/>
    <w:basedOn w:val="701"/>
    <w:next w:val="701"/>
    <w:uiPriority w:val="39"/>
    <w:unhideWhenUsed/>
    <w:pPr>
      <w:ind w:left="1134" w:firstLine="0"/>
      <w:spacing w:after="57"/>
    </w:pPr>
  </w:style>
  <w:style w:type="paragraph" w:styleId="889">
    <w:name w:val="toc 6"/>
    <w:basedOn w:val="701"/>
    <w:next w:val="701"/>
    <w:uiPriority w:val="39"/>
    <w:unhideWhenUsed/>
    <w:pPr>
      <w:ind w:left="1417" w:firstLine="0"/>
      <w:spacing w:after="57"/>
    </w:pPr>
  </w:style>
  <w:style w:type="paragraph" w:styleId="890">
    <w:name w:val="toc 7"/>
    <w:basedOn w:val="701"/>
    <w:next w:val="701"/>
    <w:uiPriority w:val="39"/>
    <w:unhideWhenUsed/>
    <w:pPr>
      <w:ind w:left="1701" w:firstLine="0"/>
      <w:spacing w:after="57"/>
    </w:pPr>
  </w:style>
  <w:style w:type="paragraph" w:styleId="891">
    <w:name w:val="toc 8"/>
    <w:basedOn w:val="701"/>
    <w:next w:val="701"/>
    <w:uiPriority w:val="39"/>
    <w:unhideWhenUsed/>
    <w:pPr>
      <w:ind w:left="1984" w:firstLine="0"/>
      <w:spacing w:after="57"/>
    </w:pPr>
  </w:style>
  <w:style w:type="paragraph" w:styleId="892">
    <w:name w:val="toc 9"/>
    <w:basedOn w:val="701"/>
    <w:next w:val="701"/>
    <w:uiPriority w:val="39"/>
    <w:unhideWhenUsed/>
    <w:pPr>
      <w:ind w:left="2268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1"/>
    <w:next w:val="701"/>
    <w:uiPriority w:val="99"/>
    <w:unhideWhenUsed/>
    <w:pPr>
      <w:spacing w:after="0"/>
    </w:pPr>
  </w:style>
  <w:style w:type="character" w:styleId="895" w:customStyle="1">
    <w:name w:val="Основной текст Знак"/>
    <w:basedOn w:val="711"/>
    <w:link w:val="902"/>
    <w:uiPriority w:val="1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96" w:customStyle="1">
    <w:name w:val="Абзац списка Знак"/>
    <w:link w:val="906"/>
    <w:uiPriority w:val="34"/>
    <w:qFormat/>
    <w:rPr>
      <w:rFonts w:ascii="Times New Roman" w:hAnsi="Times New Roman" w:eastAsia="Times New Roman" w:cs="Times New Roman"/>
      <w:color w:val="000000"/>
      <w:sz w:val="28"/>
      <w:lang w:eastAsia="ru-RU"/>
    </w:rPr>
  </w:style>
  <w:style w:type="character" w:styleId="897">
    <w:name w:val="Hyperlink"/>
    <w:basedOn w:val="711"/>
    <w:uiPriority w:val="99"/>
    <w:unhideWhenUsed/>
    <w:rPr>
      <w:color w:val="0000ff"/>
      <w:u w:val="single"/>
    </w:rPr>
  </w:style>
  <w:style w:type="character" w:styleId="898">
    <w:name w:val="annotation reference"/>
    <w:basedOn w:val="711"/>
    <w:uiPriority w:val="99"/>
    <w:semiHidden/>
    <w:unhideWhenUsed/>
    <w:qFormat/>
    <w:rPr>
      <w:sz w:val="16"/>
      <w:szCs w:val="16"/>
    </w:rPr>
  </w:style>
  <w:style w:type="character" w:styleId="899" w:customStyle="1">
    <w:name w:val="Текст примечания Знак"/>
    <w:basedOn w:val="711"/>
    <w:link w:val="908"/>
    <w:uiPriority w:val="99"/>
    <w:semiHidden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900" w:customStyle="1">
    <w:name w:val="Тема примечания Знак"/>
    <w:basedOn w:val="899"/>
    <w:link w:val="909"/>
    <w:uiPriority w:val="99"/>
    <w:semiHidden/>
    <w:qFormat/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character" w:styleId="901">
    <w:name w:val="Unresolved Mention"/>
    <w:basedOn w:val="711"/>
    <w:uiPriority w:val="99"/>
    <w:semiHidden/>
    <w:unhideWhenUsed/>
    <w:qFormat/>
    <w:rPr>
      <w:color w:val="605e5c"/>
      <w:shd w:val="clear" w:color="auto" w:fill="e1dfdd"/>
    </w:rPr>
  </w:style>
  <w:style w:type="paragraph" w:styleId="902">
    <w:name w:val="Body Text"/>
    <w:basedOn w:val="701"/>
    <w:link w:val="895"/>
    <w:uiPriority w:val="1"/>
    <w:qFormat/>
    <w:pPr>
      <w:ind w:left="0" w:firstLine="0"/>
      <w:jc w:val="left"/>
      <w:spacing w:after="0" w:line="240" w:lineRule="auto"/>
      <w:widowControl w:val="off"/>
    </w:pPr>
    <w:rPr>
      <w:color w:val="auto"/>
      <w:szCs w:val="28"/>
    </w:rPr>
  </w:style>
  <w:style w:type="paragraph" w:styleId="903">
    <w:name w:val="List"/>
    <w:basedOn w:val="902"/>
    <w:rPr>
      <w:rFonts w:cs="Arial"/>
    </w:rPr>
  </w:style>
  <w:style w:type="paragraph" w:styleId="904">
    <w:name w:val="Caption"/>
    <w:basedOn w:val="701"/>
    <w:link w:val="752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5">
    <w:name w:val="index heading"/>
    <w:basedOn w:val="701"/>
    <w:qFormat/>
    <w:pPr>
      <w:suppressLineNumbers/>
    </w:pPr>
    <w:rPr>
      <w:rFonts w:cs="Arial"/>
    </w:rPr>
  </w:style>
  <w:style w:type="paragraph" w:styleId="906">
    <w:name w:val="List Paragraph"/>
    <w:basedOn w:val="701"/>
    <w:link w:val="896"/>
    <w:uiPriority w:val="34"/>
    <w:qFormat/>
    <w:pPr>
      <w:contextualSpacing/>
      <w:ind w:left="720"/>
    </w:pPr>
  </w:style>
  <w:style w:type="paragraph" w:styleId="907">
    <w:name w:val="No Spacing"/>
    <w:uiPriority w:val="1"/>
    <w:qFormat/>
    <w:pPr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>
    <w:name w:val="annotation text"/>
    <w:basedOn w:val="701"/>
    <w:link w:val="89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909">
    <w:name w:val="annotation subject"/>
    <w:basedOn w:val="908"/>
    <w:next w:val="908"/>
    <w:link w:val="900"/>
    <w:uiPriority w:val="99"/>
    <w:semiHidden/>
    <w:unhideWhenUsed/>
    <w:qFormat/>
    <w:rPr>
      <w:b/>
      <w:bCs/>
    </w:rPr>
  </w:style>
  <w:style w:type="paragraph" w:styleId="910" w:customStyle="1">
    <w:name w:val="Колонтитул"/>
    <w:basedOn w:val="701"/>
    <w:qFormat/>
  </w:style>
  <w:style w:type="paragraph" w:styleId="911">
    <w:name w:val="Footer"/>
    <w:basedOn w:val="910"/>
    <w:link w:val="751"/>
  </w:style>
  <w:style w:type="paragraph" w:styleId="912" w:customStyle="1">
    <w:name w:val="Содержимое врезки"/>
    <w:basedOn w:val="701"/>
    <w:qFormat/>
  </w:style>
  <w:style w:type="table" w:styleId="913">
    <w:name w:val="Table Grid"/>
    <w:basedOn w:val="712"/>
    <w:uiPriority w:val="59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4" w:customStyle="1">
    <w:name w:val="Сетка таблицы3"/>
    <w:basedOn w:val="712"/>
    <w:uiPriority w:val="59"/>
    <w:rPr>
      <w:rFonts w:eastAsiaTheme="minorEastAsia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5" w:customStyle="1">
    <w:name w:val="Standard"/>
    <w:qFormat/>
    <w:pPr>
      <w:jc w:val="both"/>
      <w:spacing w:after="6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Liberation Serif" w:hAnsi="Liberation Serif" w:eastAsia="NSimSun" w:cs="Arial Unicode MS"/>
      <w:sz w:val="24"/>
      <w:szCs w:val="24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classifikators.ru/okpd/20.20.11.000" TargetMode="External"/><Relationship Id="rId12" Type="http://schemas.openxmlformats.org/officeDocument/2006/relationships/hyperlink" Target="https://classifikators.ru/okpd/20.20.11.000" TargetMode="External"/><Relationship Id="rId13" Type="http://schemas.openxmlformats.org/officeDocument/2006/relationships/hyperlink" Target="https://classifikators.ru/okpd/20.20.11.000" TargetMode="External"/><Relationship Id="rId14" Type="http://schemas.openxmlformats.org/officeDocument/2006/relationships/hyperlink" Target="https://classifikators.ru/okpd/20.15.39" TargetMode="External"/><Relationship Id="rId15" Type="http://schemas.openxmlformats.org/officeDocument/2006/relationships/hyperlink" Target="https://classifikators.ru/okpd/20.15.39" TargetMode="External"/><Relationship Id="rId16" Type="http://schemas.openxmlformats.org/officeDocument/2006/relationships/hyperlink" Target="https://classifikators.ru/okpd/20.15.71" TargetMode="External"/><Relationship Id="rId17" Type="http://schemas.openxmlformats.org/officeDocument/2006/relationships/hyperlink" Target="https://classifikators.ru/okpd/20.15.79.000" TargetMode="External"/><Relationship Id="rId18" Type="http://schemas.openxmlformats.org/officeDocument/2006/relationships/hyperlink" Target="https://classifikators.ru/okpd/23.32.12.19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5DA58-07E7-4EE0-B86F-5C58F1C6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lastModifiedBy>Suncova_EU</cp:lastModifiedBy>
  <cp:revision>208</cp:revision>
  <dcterms:created xsi:type="dcterms:W3CDTF">2022-08-19T11:25:00Z</dcterms:created>
  <dcterms:modified xsi:type="dcterms:W3CDTF">2026-05-25T08:59:04Z</dcterms:modified>
</cp:coreProperties>
</file>