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Протокол определения и (или) обоснования НМЦК</w:t>
      </w:r>
      <w:r>
        <w:rPr>
          <w:rFonts w:ascii="Times New Roman" w:hAnsi="Times New Roman" w:cs="Times New Roman"/>
          <w:sz w:val="22"/>
          <w:szCs w:val="22"/>
        </w:rPr>
        <w:t xml:space="preserve">, НМЦД,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sz w:val="22"/>
          <w:szCs w:val="22"/>
        </w:rPr>
        <w:t xml:space="preserve">, ЦД, НЦЕ 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Расчет НМЦК, НМЦД, 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ЦД, НЦЕ (нужное подчеркнуть)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осуществлен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методом сопоставимых рыночных цен (анализа рынка), являющ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е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мся приоритетным для определения и обоснования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НМЦК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, НМЦД, </w:t>
      </w:r>
      <w:r>
        <w:rPr>
          <w:rFonts w:ascii="Times New Roman" w:hAnsi="Times New Roman" w:cs="Times New Roman" w:eastAsiaTheme="minorHAnsi"/>
          <w:sz w:val="22"/>
          <w:szCs w:val="22"/>
          <w:u w:val="single"/>
          <w:lang w:eastAsia="en-US"/>
        </w:rPr>
        <w:t xml:space="preserve">ЦК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, ЦД, НЦЕ (нужное подчеркнуть)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</w:r>
    </w:p>
    <w:p>
      <w:pPr>
        <w:pBdr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2"/>
          <w:szCs w:val="22"/>
          <w:u w:val="singl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Объект закупки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техническое обслуживание кондиционеров на объектах ФГБОУ ВО ДВГМУ Минздрава России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</w:r>
    </w:p>
    <w:p>
      <w:pPr>
        <w:pBdr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2"/>
          <w:szCs w:val="22"/>
          <w:u w:val="single"/>
        </w:rPr>
      </w:pPr>
      <w:r>
        <w:rPr>
          <w:rFonts w:ascii="Times New Roman" w:hAnsi="Times New Roman" w:eastAsia="Times New Roman" w:cs="Times New Roman"/>
          <w:sz w:val="22"/>
          <w:szCs w:val="22"/>
          <w:u w:val="single"/>
        </w:rPr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Начальная (максимальная) цена контракта сформирована в соответствии с М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763"/>
        <w:pBdr/>
        <w:spacing/>
        <w:ind w:firstLine="567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Валюта, используемая для формирования цены контракта и расчетов с поставщиком – Российский рубль.</w:t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pStyle w:val="763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при оплате контракта: не предусмотрен.</w:t>
      </w:r>
      <w:r>
        <w:rPr>
          <w:rFonts w:ascii="Times New Roman" w:hAnsi="Times New Roman"/>
          <w:sz w:val="22"/>
          <w:szCs w:val="22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целях получения ценовой информации в отношении объекта закупки для определения начальной</w:t>
      </w:r>
      <w:r>
        <w:rPr>
          <w:rFonts w:ascii="Times New Roman" w:hAnsi="Times New Roman" w:cs="Times New Roman"/>
          <w:sz w:val="22"/>
          <w:szCs w:val="22"/>
        </w:rPr>
        <w:t xml:space="preserve"> (максимальной) цены контракта З</w:t>
      </w:r>
      <w:r>
        <w:rPr>
          <w:rFonts w:ascii="Times New Roman" w:hAnsi="Times New Roman" w:cs="Times New Roman"/>
          <w:sz w:val="22"/>
          <w:szCs w:val="22"/>
        </w:rPr>
        <w:t xml:space="preserve">аказчиком</w:t>
      </w:r>
      <w:r>
        <w:rPr>
          <w:rFonts w:ascii="Times New Roman" w:hAnsi="Times New Roman" w:cs="Times New Roman"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724"/>
        <w:numPr>
          <w:ilvl w:val="0"/>
          <w:numId w:val="6"/>
        </w:numPr>
        <w:pBdr/>
        <w:spacing w:after="0" w:line="240" w:lineRule="auto"/>
        <w:ind w:firstLine="567" w:left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Осуществлен анализ общедоступной ценовой информации (реклама, описания </w:t>
      </w:r>
      <w:r>
        <w:rPr>
          <w:rFonts w:ascii="Times New Roman" w:hAnsi="Times New Roman" w:cs="Times New Roman"/>
          <w:sz w:val="22"/>
          <w:szCs w:val="22"/>
        </w:rPr>
        <w:t xml:space="preserve">услуг</w:t>
      </w:r>
      <w:r>
        <w:rPr>
          <w:rFonts w:ascii="Times New Roman" w:hAnsi="Times New Roman" w:cs="Times New Roman"/>
          <w:sz w:val="22"/>
          <w:szCs w:val="22"/>
        </w:rPr>
        <w:t xml:space="preserve"> и другие предложения, обращенные к неопределенному кругу лиц, данные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государственной статистической отчетности о ценах на </w:t>
      </w:r>
      <w:r>
        <w:rPr>
          <w:rFonts w:ascii="Times New Roman" w:hAnsi="Times New Roman" w:cs="Times New Roman"/>
          <w:sz w:val="22"/>
          <w:szCs w:val="22"/>
        </w:rPr>
        <w:t xml:space="preserve">услуги</w:t>
      </w:r>
      <w:r>
        <w:rPr>
          <w:rFonts w:ascii="Times New Roman" w:hAnsi="Times New Roman" w:cs="Times New Roman"/>
          <w:sz w:val="22"/>
          <w:szCs w:val="22"/>
        </w:rPr>
        <w:t xml:space="preserve">). Поиск ценовой информации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дал результаты</w:t>
      </w:r>
      <w:r>
        <w:rPr>
          <w:rFonts w:ascii="Times New Roman" w:hAnsi="Times New Roman" w:cs="Times New Roman"/>
          <w:sz w:val="22"/>
          <w:szCs w:val="22"/>
        </w:rPr>
        <w:t xml:space="preserve"> или </w:t>
      </w:r>
      <w:r>
        <w:rPr>
          <w:rFonts w:ascii="Times New Roman" w:hAnsi="Times New Roman" w:cs="Times New Roman"/>
          <w:sz w:val="22"/>
          <w:szCs w:val="22"/>
        </w:rPr>
        <w:t xml:space="preserve">результатов не дал</w:t>
      </w:r>
      <w:r>
        <w:rPr>
          <w:rFonts w:ascii="Times New Roman" w:hAnsi="Times New Roman" w:cs="Times New Roman"/>
          <w:sz w:val="22"/>
          <w:szCs w:val="22"/>
        </w:rPr>
        <w:t xml:space="preserve"> (нужное подчеркнуть).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tbl>
      <w:tblPr>
        <w:tblStyle w:val="717"/>
        <w:tblInd w:w="-5" w:type="dxa"/>
        <w:tblW w:w="15168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976"/>
        <w:gridCol w:w="8931"/>
      </w:tblGrid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источник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Краткая информация о Поставщике, Подрядчике, Исполнителе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893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Причина использования или невозможности использования ценовой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https://maxiklimat.ru/uslugi/teh-obslujinanie-kondizionerov-khabarovsk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Сайт организации оказывающей 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89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Ценовая информация отсутствует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https://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  <w:t xml:space="preserve">conder-khv.ru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Сайт организации оказывающей 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89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Ценовая информация отсутствует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724"/>
        <w:pBdr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4"/>
          <w:szCs w:val="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4"/>
          <w:szCs w:val="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4"/>
          <w:szCs w:val="4"/>
          <w:lang w:eastAsia="ru-RU"/>
        </w:rPr>
      </w:r>
    </w:p>
    <w:p>
      <w:pPr>
        <w:pStyle w:val="724"/>
        <w:numPr>
          <w:ilvl w:val="0"/>
          <w:numId w:val="6"/>
        </w:numPr>
        <w:pBdr/>
        <w:spacing w:after="0" w:line="240" w:lineRule="auto"/>
        <w:ind w:firstLine="567" w:left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Осуществлен поиск ценовой информации в реестре контрактов, заключенных Заказчиками, размещенном на официальном сайте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единой информационной системы в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сфере закупок, об исполненных контрактах на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оказание услуг по техническому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обслу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живанию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кондиционеров с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ус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ловиями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Заказчика. </w:t>
      </w:r>
      <w:r>
        <w:rPr>
          <w:rFonts w:ascii="Times New Roman" w:hAnsi="Times New Roman" w:cs="Times New Roman"/>
          <w:sz w:val="22"/>
          <w:szCs w:val="22"/>
        </w:rPr>
        <w:t xml:space="preserve">Рассмотрены следующие реестровые записи: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r>
    </w:p>
    <w:tbl>
      <w:tblPr>
        <w:tblStyle w:val="717"/>
        <w:tblW w:w="15382" w:type="dxa"/>
        <w:tblBorders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567"/>
        <w:gridCol w:w="567"/>
        <w:gridCol w:w="1525"/>
        <w:gridCol w:w="1843"/>
        <w:gridCol w:w="2268"/>
        <w:gridCol w:w="1247"/>
        <w:gridCol w:w="1134"/>
        <w:gridCol w:w="993"/>
        <w:gridCol w:w="708"/>
        <w:gridCol w:w="992"/>
        <w:gridCol w:w="1982"/>
      </w:tblGrid>
      <w:tr>
        <w:trPr>
          <w:trHeight w:val="1393"/>
        </w:trPr>
        <w:tc>
          <w:tcPr>
            <w:tcBorders/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Реестровая запись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Объем оказания услуг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Условия оплаты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Условия оказания Услуг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Обеспечение исполнения контракта (договора)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Дата заключе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ния контракта (договора)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Дата исполне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ния контракта (договора)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Цена за единицу,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Корректирующие коэффициенты (индексы)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Цена за едини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цу, скорректированная,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u w:val="none"/>
              </w:rPr>
              <w:t xml:space="preserve">Причина использования или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u w:val="none"/>
              </w:rPr>
              <w:t xml:space="preserve">невозможности использования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u w:val="none"/>
              </w:rPr>
              <w:t xml:space="preserve"> ценовой информации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u w:val="none"/>
              </w:rPr>
            </w:r>
          </w:p>
        </w:tc>
      </w:tr>
      <w:tr>
        <w:trPr>
          <w:trHeight w:val="759"/>
        </w:trPr>
        <w:tc>
          <w:tcPr>
            <w:tcBorders/>
            <w:tcW w:w="42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Ед.изм.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5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2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99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7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9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070"/>
        </w:trPr>
        <w:tc>
          <w:tcPr>
            <w:tcBorders/>
            <w:tcW w:w="4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№2272401279826000101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 основании выставленного Исполнителем счета или счета-фактуры в течение 7 рабочих дней с даты подписания Заказчиком документа о приемке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соответствии с Технической частью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2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5,00% от цены контракта на сумму 7414,28 руб.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2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25.05.2026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14.08.2026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1951,13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1951,13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9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контракта (условия оплаты, обеспечение исполнения) не соответствуют требованиям Заказчика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2070"/>
        </w:trPr>
        <w:tc>
          <w:tcPr>
            <w:tcBorders/>
            <w:tcW w:w="4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Style w:val="71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71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№1270000131726000081</w:t>
            </w:r>
            <w:r>
              <w:rPr>
                <w:rStyle w:val="71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5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 основании документа о приемке в течение 7 рабочих дней с даты его подписания Заказчиком в единой информационной системе (ЕИС)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Услуги должны соответствовать действующим в Российской Федерации стандартам, техническим регламентам, санитарным и фитосанитарным нормам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2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исполнения Контракта устанавливается в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змере 51937 (пятьдесят одна тысяча девятьсот тридцать семь) рублей 55 копеек Исполнение Контракта обеспечивается предоставлением независимой гарантии, соответствующей требованиям статьи 45 ФЗ-44, или внесением денежных средств на указанный Заказчиком счете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08.06.202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31.07.2026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2100,43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2100,43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9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контракта (условия оплаты, обеспечение исполнения) не соответствуют требованиям Заказчика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pStyle w:val="724"/>
        <w:pBdr/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color w:val="000000"/>
          <w:sz w:val="4"/>
          <w:szCs w:val="4"/>
        </w:rPr>
      </w:pPr>
      <w:r>
        <w:rPr>
          <w:rFonts w:ascii="Times New Roman" w:hAnsi="Times New Roman" w:eastAsia="Times New Roman" w:cs="Times New Roman"/>
          <w:color w:val="000000"/>
          <w:sz w:val="4"/>
          <w:szCs w:val="4"/>
        </w:rPr>
      </w:r>
      <w:r>
        <w:rPr>
          <w:rFonts w:ascii="Times New Roman" w:hAnsi="Times New Roman" w:eastAsia="Times New Roman" w:cs="Times New Roman"/>
          <w:color w:val="000000"/>
          <w:sz w:val="4"/>
          <w:szCs w:val="4"/>
        </w:rPr>
      </w:r>
    </w:p>
    <w:p>
      <w:pPr>
        <w:pStyle w:val="724"/>
        <w:numPr>
          <w:ilvl w:val="0"/>
          <w:numId w:val="6"/>
        </w:num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Направлены запросы о предоставлении ценовой информации </w:t>
      </w: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Исполнителям</w:t>
      </w:r>
      <w:r>
        <w:rPr>
          <w:rFonts w:ascii="Times New Roman" w:hAnsi="Times New Roman" w:cs="Times New Roman"/>
          <w:sz w:val="22"/>
          <w:szCs w:val="22"/>
        </w:rPr>
        <w:t xml:space="preserve">, обладающим опытом </w:t>
      </w:r>
      <w:r>
        <w:rPr>
          <w:rFonts w:ascii="Times New Roman" w:hAnsi="Times New Roman" w:cs="Times New Roman"/>
          <w:sz w:val="22"/>
          <w:szCs w:val="22"/>
        </w:rPr>
        <w:t xml:space="preserve">оказания услуг, заявленных Заказчиком</w:t>
      </w:r>
      <w:r>
        <w:rPr>
          <w:rFonts w:ascii="Times New Roman" w:hAnsi="Times New Roman" w:cs="Times New Roman"/>
          <w:sz w:val="22"/>
          <w:szCs w:val="22"/>
        </w:rPr>
        <w:t xml:space="preserve">, информация о которых имеется в свободном доступе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получены ответы от 3 Исполнителей с ценовой информацией</w:t>
      </w:r>
      <w:r>
        <w:rPr>
          <w:rFonts w:ascii="Times New Roman" w:hAnsi="Times New Roman" w:cs="Times New Roman"/>
          <w:sz w:val="22"/>
          <w:szCs w:val="22"/>
        </w:rPr>
        <w:t xml:space="preserve">, 3 (три) из которых удовлетворяют требованиям заказчика</w:t>
      </w:r>
      <w:r>
        <w:rPr>
          <w:rFonts w:ascii="Times New Roman" w:hAnsi="Times New Roman" w:cs="Times New Roman"/>
          <w:sz w:val="22"/>
          <w:szCs w:val="22"/>
        </w:rPr>
        <w:t xml:space="preserve">, на основании которых осуществлен расчет начальной (максимальной) цены контракта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717"/>
        <w:tblInd w:w="-5" w:type="dxa"/>
        <w:tblW w:w="14005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567"/>
        <w:gridCol w:w="992"/>
        <w:gridCol w:w="1134"/>
        <w:gridCol w:w="993"/>
        <w:gridCol w:w="1105"/>
        <w:gridCol w:w="850"/>
        <w:gridCol w:w="1134"/>
        <w:gridCol w:w="851"/>
        <w:gridCol w:w="1134"/>
        <w:gridCol w:w="1134"/>
      </w:tblGrid>
      <w:tr>
        <w:trPr/>
        <w:tc>
          <w:tcPr>
            <w:tcBorders/>
            <w:tcW w:w="5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Наименование товара, работ, услуг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2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Объем поставки товара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Предложение 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Предложение 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Предложение 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ОДН/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br/>
              <w:t xml:space="preserve">НЕОДН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br/>
              <w:t xml:space="preserve">рын.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br/>
              <w:t xml:space="preserve">мин.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254" w:hRule="exact"/>
        </w:trPr>
        <w:tc>
          <w:tcPr>
            <w:tcBorders/>
            <w:tcW w:w="5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Цена за ед.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Цена за ед.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Цена за ед.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rPr>
          <w:trHeight w:val="547" w:hRule="exact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Техническое обслуживание кондиционеров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2865,00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2865,00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4850,00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4850,00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НЕОДН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606 090,00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rPr>
          <w:trHeight w:val="284" w:hRule="exact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Итого: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509 970,00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863 300,00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606 090,00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В связи с тем, что коэффициент вариации превышает 33%, значения неоднородны. Ценовое предложение №3 не используется для определения ЦК. На основании ценовой информации, полученной от 2 Исполнителей осуществлен расчет НМЦК, НМЦД, 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ЦК,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ЦД, НЦЕ (нужное подчеркнуть)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tbl>
      <w:tblPr>
        <w:tblStyle w:val="717"/>
        <w:tblInd w:w="-5" w:type="dxa"/>
        <w:tblW w:w="1202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567"/>
        <w:gridCol w:w="992"/>
        <w:gridCol w:w="1134"/>
        <w:gridCol w:w="993"/>
        <w:gridCol w:w="1105"/>
        <w:gridCol w:w="851"/>
        <w:gridCol w:w="1134"/>
        <w:gridCol w:w="1134"/>
      </w:tblGrid>
      <w:tr>
        <w:trPr/>
        <w:tc>
          <w:tcPr>
            <w:tcBorders/>
            <w:tcW w:w="5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Наименование товара, работ, услуг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2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Объем поставки товара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Предложение 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Предложение 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ОДН/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br/>
              <w:t xml:space="preserve">НЕОДН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br/>
              <w:t xml:space="preserve">рын.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br/>
              <w:t xml:space="preserve">мин.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254" w:hRule="exact"/>
        </w:trPr>
        <w:tc>
          <w:tcPr>
            <w:tcBorders/>
            <w:tcW w:w="5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Цена за ед.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Цена за ед. руб.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rPr>
          <w:trHeight w:val="1018" w:hRule="exact"/>
        </w:trPr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</w:rPr>
              <w:t xml:space="preserve">Техническое обслуживание кондиционеров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2865,00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509 970,00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477 485,00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rPr>
          <w:trHeight w:val="284" w:hRule="exact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Итого: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/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11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509 970,00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477 485,00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445 000,00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4"/>
          <w:szCs w:val="4"/>
        </w:rPr>
      </w:pPr>
      <w:r>
        <w:rPr>
          <w:rFonts w:ascii="Times New Roman" w:hAnsi="Times New Roman" w:eastAsia="Times New Roman" w:cs="Times New Roman"/>
          <w:sz w:val="4"/>
          <w:szCs w:val="4"/>
        </w:rPr>
      </w:r>
      <w:r>
        <w:rPr>
          <w:rFonts w:ascii="Times New Roman" w:hAnsi="Times New Roman" w:eastAsia="Times New Roman" w:cs="Times New Roman"/>
          <w:sz w:val="4"/>
          <w:szCs w:val="4"/>
        </w:rPr>
      </w:r>
    </w:p>
    <w:p>
      <w:pPr>
        <w:pBdr/>
        <w:spacing w:after="0" w:line="240" w:lineRule="auto"/>
        <w:ind w:firstLine="284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По результатам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расчетов за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ЦК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принято минимальное значение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из предоставленных предложений и составила: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445 000,00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лей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Реквизиты документов, на основании которых произведен расчет начальной (максимальной)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цены контракта: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Предложение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1: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коммерческое предложение от 25.07.2026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б/н;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Предложение 2: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коммерческое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предложение от 24.07.2026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№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б/н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;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Предложение 3: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коммерческо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 предложение от 24.07.2026. 99/07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Дата подготовки определения и (или)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обоснования: 17.08.2026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sectPr>
      <w:footnotePr/>
      <w:endnotePr/>
      <w:type w:val="nextPage"/>
      <w:pgSz w:h="11906" w:orient="landscape" w:w="16838"/>
      <w:pgMar w:top="142" w:right="678" w:bottom="142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2DD0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">
    <w:nsid w:val="06714969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">
    <w:nsid w:val="10331CF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53966243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 w:eastAsiaTheme="minorHAnsi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">
    <w:nsid w:val="5F3409AD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5">
    <w:nsid w:val="7A98637B"/>
    <w:lvl w:ilvl="0">
      <w:isLgl w:val="false"/>
      <w:lvlJc w:val="left"/>
      <w:lvlText w:val="%1."/>
      <w:numFmt w:val="decimal"/>
      <w:pPr>
        <w:pBdr/>
        <w:spacing/>
        <w:ind w:hanging="360" w:left="128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8"/>
      </w:pPr>
      <w:rPr/>
      <w:start w:val="1"/>
      <w:suff w:val="tab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2"/>
    <w:next w:val="71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2"/>
    <w:next w:val="71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2"/>
    <w:next w:val="71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2"/>
    <w:next w:val="71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2"/>
    <w:next w:val="71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2"/>
    <w:next w:val="71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2"/>
    <w:next w:val="71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2"/>
    <w:next w:val="71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2"/>
    <w:next w:val="71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1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2"/>
    <w:next w:val="71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1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2"/>
    <w:next w:val="71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2"/>
    <w:next w:val="71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1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2"/>
    <w:next w:val="71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trong"/>
    <w:basedOn w:val="71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13"/>
    <w:link w:val="720"/>
    <w:uiPriority w:val="99"/>
    <w:pPr>
      <w:pBdr/>
      <w:spacing/>
      <w:ind/>
    </w:pPr>
  </w:style>
  <w:style w:type="character" w:styleId="179">
    <w:name w:val="Footer Char"/>
    <w:basedOn w:val="713"/>
    <w:link w:val="722"/>
    <w:uiPriority w:val="99"/>
    <w:pPr>
      <w:pBdr/>
      <w:spacing/>
      <w:ind/>
    </w:pPr>
  </w:style>
  <w:style w:type="paragraph" w:styleId="180">
    <w:name w:val="Caption"/>
    <w:basedOn w:val="712"/>
    <w:next w:val="7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712"/>
    <w:next w:val="712"/>
    <w:uiPriority w:val="39"/>
    <w:unhideWhenUsed/>
    <w:pPr>
      <w:pBdr/>
      <w:spacing w:after="100"/>
      <w:ind/>
    </w:pPr>
  </w:style>
  <w:style w:type="paragraph" w:styleId="190">
    <w:name w:val="toc 2"/>
    <w:basedOn w:val="712"/>
    <w:next w:val="712"/>
    <w:uiPriority w:val="39"/>
    <w:unhideWhenUsed/>
    <w:pPr>
      <w:pBdr/>
      <w:spacing w:after="100"/>
      <w:ind w:left="220"/>
    </w:pPr>
  </w:style>
  <w:style w:type="paragraph" w:styleId="191">
    <w:name w:val="toc 3"/>
    <w:basedOn w:val="712"/>
    <w:next w:val="712"/>
    <w:uiPriority w:val="39"/>
    <w:unhideWhenUsed/>
    <w:pPr>
      <w:pBdr/>
      <w:spacing w:after="100"/>
      <w:ind w:left="440"/>
    </w:pPr>
  </w:style>
  <w:style w:type="paragraph" w:styleId="192">
    <w:name w:val="toc 4"/>
    <w:basedOn w:val="712"/>
    <w:next w:val="712"/>
    <w:uiPriority w:val="39"/>
    <w:unhideWhenUsed/>
    <w:pPr>
      <w:pBdr/>
      <w:spacing w:after="100"/>
      <w:ind w:left="660"/>
    </w:pPr>
  </w:style>
  <w:style w:type="paragraph" w:styleId="193">
    <w:name w:val="toc 5"/>
    <w:basedOn w:val="712"/>
    <w:next w:val="712"/>
    <w:uiPriority w:val="39"/>
    <w:unhideWhenUsed/>
    <w:pPr>
      <w:pBdr/>
      <w:spacing w:after="100"/>
      <w:ind w:left="880"/>
    </w:pPr>
  </w:style>
  <w:style w:type="paragraph" w:styleId="194">
    <w:name w:val="toc 6"/>
    <w:basedOn w:val="712"/>
    <w:next w:val="712"/>
    <w:uiPriority w:val="39"/>
    <w:unhideWhenUsed/>
    <w:pPr>
      <w:pBdr/>
      <w:spacing w:after="100"/>
      <w:ind w:left="1100"/>
    </w:pPr>
  </w:style>
  <w:style w:type="paragraph" w:styleId="195">
    <w:name w:val="toc 7"/>
    <w:basedOn w:val="712"/>
    <w:next w:val="712"/>
    <w:uiPriority w:val="39"/>
    <w:unhideWhenUsed/>
    <w:pPr>
      <w:pBdr/>
      <w:spacing w:after="100"/>
      <w:ind w:left="1320"/>
    </w:pPr>
  </w:style>
  <w:style w:type="paragraph" w:styleId="196">
    <w:name w:val="toc 8"/>
    <w:basedOn w:val="712"/>
    <w:next w:val="712"/>
    <w:uiPriority w:val="39"/>
    <w:unhideWhenUsed/>
    <w:pPr>
      <w:pBdr/>
      <w:spacing w:after="100"/>
      <w:ind w:left="1540"/>
    </w:pPr>
  </w:style>
  <w:style w:type="paragraph" w:styleId="197">
    <w:name w:val="toc 9"/>
    <w:basedOn w:val="712"/>
    <w:next w:val="71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2"/>
    <w:next w:val="712"/>
    <w:uiPriority w:val="99"/>
    <w:unhideWhenUsed/>
    <w:pPr>
      <w:pBdr/>
      <w:spacing w:after="0" w:afterAutospacing="0"/>
      <w:ind/>
    </w:pPr>
  </w:style>
  <w:style w:type="paragraph" w:styleId="712" w:default="1">
    <w:name w:val="Normal"/>
    <w:qFormat/>
    <w:pPr>
      <w:pBdr/>
      <w:spacing/>
      <w:ind/>
    </w:p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>
    <w:name w:val="Hyperlink"/>
    <w:basedOn w:val="713"/>
    <w:uiPriority w:val="99"/>
    <w:unhideWhenUsed/>
    <w:pPr>
      <w:pBdr/>
      <w:spacing/>
      <w:ind/>
    </w:pPr>
    <w:rPr>
      <w:color w:val="0000ff"/>
      <w:u w:val="single"/>
    </w:rPr>
  </w:style>
  <w:style w:type="table" w:styleId="717">
    <w:name w:val="Table Grid"/>
    <w:basedOn w:val="71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8">
    <w:name w:val="Balloon Text"/>
    <w:basedOn w:val="712"/>
    <w:link w:val="71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19" w:customStyle="1">
    <w:name w:val="Текст выноски Знак"/>
    <w:basedOn w:val="713"/>
    <w:link w:val="71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720">
    <w:name w:val="Header"/>
    <w:basedOn w:val="712"/>
    <w:link w:val="721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21" w:customStyle="1">
    <w:name w:val="Верхний колонтитул Знак"/>
    <w:basedOn w:val="713"/>
    <w:link w:val="720"/>
    <w:uiPriority w:val="99"/>
    <w:semiHidden/>
    <w:pPr>
      <w:pBdr/>
      <w:spacing/>
      <w:ind/>
    </w:pPr>
  </w:style>
  <w:style w:type="paragraph" w:styleId="722">
    <w:name w:val="Footer"/>
    <w:basedOn w:val="712"/>
    <w:link w:val="723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23" w:customStyle="1">
    <w:name w:val="Нижний колонтитул Знак"/>
    <w:basedOn w:val="713"/>
    <w:link w:val="722"/>
    <w:uiPriority w:val="99"/>
    <w:semiHidden/>
    <w:pPr>
      <w:pBdr/>
      <w:spacing/>
      <w:ind/>
    </w:pPr>
  </w:style>
  <w:style w:type="paragraph" w:styleId="724">
    <w:name w:val="List Paragraph"/>
    <w:basedOn w:val="712"/>
    <w:link w:val="726"/>
    <w:uiPriority w:val="34"/>
    <w:qFormat/>
    <w:pPr>
      <w:pBdr/>
      <w:spacing w:after="160" w:line="259" w:lineRule="auto"/>
      <w:ind w:left="720"/>
      <w:contextualSpacing w:val="true"/>
    </w:pPr>
    <w:rPr>
      <w:rFonts w:eastAsiaTheme="minorHAnsi"/>
      <w:lang w:eastAsia="en-US"/>
    </w:rPr>
  </w:style>
  <w:style w:type="table" w:styleId="725" w:customStyle="1">
    <w:name w:val="Сетка таблицы1"/>
    <w:pPr>
      <w:pBdr/>
      <w:spacing w:after="0" w:line="240" w:lineRule="auto"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26" w:customStyle="1">
    <w:name w:val="Абзац списка Знак"/>
    <w:link w:val="724"/>
    <w:uiPriority w:val="34"/>
    <w:qFormat/>
    <w:pPr>
      <w:pBdr/>
      <w:spacing/>
      <w:ind/>
    </w:pPr>
    <w:rPr>
      <w:rFonts w:eastAsiaTheme="minorHAnsi"/>
      <w:lang w:eastAsia="en-US"/>
    </w:rPr>
  </w:style>
  <w:style w:type="character" w:styleId="727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728" w:customStyle="1">
    <w:name w:val="section__info"/>
    <w:basedOn w:val="713"/>
    <w:pPr>
      <w:pBdr/>
      <w:spacing/>
      <w:ind/>
    </w:pPr>
  </w:style>
  <w:style w:type="character" w:styleId="729" w:customStyle="1">
    <w:name w:val="cardmaininfo__purchaselink"/>
    <w:basedOn w:val="713"/>
    <w:pPr>
      <w:pBdr/>
      <w:spacing/>
      <w:ind/>
    </w:pPr>
  </w:style>
  <w:style w:type="character" w:styleId="730" w:customStyle="1">
    <w:name w:val="Font Style29"/>
    <w:pPr>
      <w:pBdr/>
      <w:spacing/>
      <w:ind/>
    </w:pPr>
    <w:rPr>
      <w:rFonts w:hint="default" w:ascii="Times New Roman" w:hAnsi="Times New Roman" w:cs="Times New Roman"/>
      <w:sz w:val="22"/>
      <w:szCs w:val="22"/>
    </w:rPr>
  </w:style>
  <w:style w:type="character" w:styleId="731">
    <w:name w:val="FollowedHyperlink"/>
    <w:basedOn w:val="713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32" w:customStyle="1">
    <w:name w:val="xl65"/>
    <w:basedOn w:val="712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6"/>
      <w:szCs w:val="16"/>
    </w:rPr>
  </w:style>
  <w:style w:type="paragraph" w:styleId="733" w:customStyle="1">
    <w:name w:val="xl66"/>
    <w:basedOn w:val="712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734" w:customStyle="1">
    <w:name w:val="xl67"/>
    <w:basedOn w:val="712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735" w:customStyle="1">
    <w:name w:val="xl68"/>
    <w:basedOn w:val="71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6"/>
      <w:szCs w:val="16"/>
    </w:rPr>
  </w:style>
  <w:style w:type="paragraph" w:styleId="736" w:customStyle="1">
    <w:name w:val="xl69"/>
    <w:basedOn w:val="71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6"/>
      <w:szCs w:val="16"/>
    </w:rPr>
  </w:style>
  <w:style w:type="paragraph" w:styleId="737" w:customStyle="1">
    <w:name w:val="xl70"/>
    <w:basedOn w:val="712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14"/>
      <w:szCs w:val="14"/>
    </w:rPr>
  </w:style>
  <w:style w:type="paragraph" w:styleId="738" w:customStyle="1">
    <w:name w:val="xl71"/>
    <w:basedOn w:val="71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4"/>
      <w:szCs w:val="14"/>
    </w:rPr>
  </w:style>
  <w:style w:type="paragraph" w:styleId="739" w:customStyle="1">
    <w:name w:val="xl72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4"/>
      <w:szCs w:val="14"/>
    </w:rPr>
  </w:style>
  <w:style w:type="paragraph" w:styleId="740" w:customStyle="1">
    <w:name w:val="xl73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41" w:customStyle="1">
    <w:name w:val="xl74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42" w:customStyle="1">
    <w:name w:val="xl75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43" w:customStyle="1">
    <w:name w:val="xl76"/>
    <w:basedOn w:val="712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44" w:customStyle="1">
    <w:name w:val="xl77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45" w:customStyle="1">
    <w:name w:val="xl78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46" w:customStyle="1">
    <w:name w:val="xl79"/>
    <w:basedOn w:val="71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6"/>
      <w:szCs w:val="16"/>
    </w:rPr>
  </w:style>
  <w:style w:type="paragraph" w:styleId="747" w:customStyle="1">
    <w:name w:val="xl80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48" w:customStyle="1">
    <w:name w:val="xl81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49" w:customStyle="1">
    <w:name w:val="xl82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sz w:val="14"/>
      <w:szCs w:val="14"/>
    </w:rPr>
  </w:style>
  <w:style w:type="paragraph" w:styleId="750" w:customStyle="1">
    <w:name w:val="xl83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4"/>
      <w:szCs w:val="14"/>
    </w:rPr>
  </w:style>
  <w:style w:type="paragraph" w:styleId="751" w:customStyle="1">
    <w:name w:val="xl84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4"/>
      <w:szCs w:val="14"/>
    </w:rPr>
  </w:style>
  <w:style w:type="paragraph" w:styleId="752" w:customStyle="1">
    <w:name w:val="xl85"/>
    <w:basedOn w:val="712"/>
    <w:pPr>
      <w:pBdr>
        <w:bottom w:val="single" w:color="000000" w:sz="8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16"/>
      <w:szCs w:val="16"/>
    </w:rPr>
  </w:style>
  <w:style w:type="paragraph" w:styleId="753" w:customStyle="1">
    <w:name w:val="xl86"/>
    <w:basedOn w:val="712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54" w:customStyle="1">
    <w:name w:val="xl87"/>
    <w:basedOn w:val="712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55" w:customStyle="1">
    <w:name w:val="xl88"/>
    <w:basedOn w:val="712"/>
    <w:pPr>
      <w:pBdr>
        <w:top w:val="single" w:color="000000" w:sz="4" w:space="0"/>
        <w:left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56" w:customStyle="1">
    <w:name w:val="xl89"/>
    <w:basedOn w:val="712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57" w:customStyle="1">
    <w:name w:val="xl90"/>
    <w:basedOn w:val="712"/>
    <w:pPr>
      <w:pBdr/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b/>
      <w:bCs/>
      <w:sz w:val="16"/>
      <w:szCs w:val="16"/>
    </w:rPr>
  </w:style>
  <w:style w:type="paragraph" w:styleId="758" w:customStyle="1">
    <w:name w:val="xl91"/>
    <w:basedOn w:val="712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59" w:customStyle="1">
    <w:name w:val="xl92"/>
    <w:basedOn w:val="712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60" w:customStyle="1">
    <w:name w:val="xl93"/>
    <w:basedOn w:val="712"/>
    <w:pPr>
      <w:pBdr>
        <w:top w:val="single" w:color="000000" w:sz="8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61" w:customStyle="1">
    <w:name w:val="xl94"/>
    <w:basedOn w:val="712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62" w:customStyle="1">
    <w:name w:val="xl95"/>
    <w:basedOn w:val="712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after="100" w:afterAutospacing="1" w:before="100" w:beforeAutospacing="1" w:line="240" w:lineRule="auto"/>
      <w:ind/>
      <w:jc w:val="both"/>
    </w:pPr>
    <w:rPr>
      <w:rFonts w:ascii="Times New Roman" w:hAnsi="Times New Roman" w:eastAsia="Times New Roman" w:cs="Times New Roman"/>
      <w:sz w:val="16"/>
      <w:szCs w:val="16"/>
    </w:rPr>
  </w:style>
  <w:style w:type="paragraph" w:styleId="763">
    <w:name w:val="No Spacing"/>
    <w:link w:val="764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  <w:lang w:eastAsia="en-US"/>
    </w:rPr>
  </w:style>
  <w:style w:type="character" w:styleId="764" w:customStyle="1">
    <w:name w:val="Без интервала Знак"/>
    <w:link w:val="763"/>
    <w:uiPriority w:val="1"/>
    <w:pPr>
      <w:pBdr/>
      <w:spacing/>
      <w:ind/>
    </w:pPr>
    <w:rPr>
      <w:rFonts w:ascii="Calibri" w:hAnsi="Calibri" w:eastAsia="Calibri" w:cs="Times New Roman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burlova</dc:creator>
  <cp:revision>24</cp:revision>
  <dcterms:created xsi:type="dcterms:W3CDTF">2025-07-14T06:34:00Z</dcterms:created>
  <dcterms:modified xsi:type="dcterms:W3CDTF">2026-08-20T04:49:10Z</dcterms:modified>
</cp:coreProperties>
</file>