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0049BC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«</w:t>
            </w:r>
            <w:r w:rsidR="008C6C6A" w:rsidRPr="00360B1B">
              <w:rPr>
                <w:sz w:val="21"/>
                <w:szCs w:val="21"/>
              </w:rPr>
              <w:t>»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264989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264989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</w:t>
      </w:r>
      <w:proofErr w:type="spellStart"/>
      <w:r w:rsidRPr="00360B1B">
        <w:rPr>
          <w:rFonts w:eastAsia="Times New Roman"/>
          <w:bCs/>
          <w:color w:val="0F1115"/>
          <w:sz w:val="21"/>
          <w:szCs w:val="21"/>
        </w:rPr>
        <w:t>КарНЦ</w:t>
      </w:r>
      <w:proofErr w:type="spellEnd"/>
      <w:r w:rsidRPr="00360B1B">
        <w:rPr>
          <w:rFonts w:eastAsia="Times New Roman"/>
          <w:bCs/>
          <w:color w:val="0F1115"/>
          <w:sz w:val="21"/>
          <w:szCs w:val="21"/>
        </w:rPr>
        <w:t xml:space="preserve">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r w:rsidR="0013467E" w:rsidRPr="00360B1B">
        <w:rPr>
          <w:rFonts w:eastAsia="Times New Roman"/>
          <w:color w:val="0F1115"/>
          <w:sz w:val="21"/>
          <w:szCs w:val="21"/>
        </w:rPr>
        <w:t xml:space="preserve">и.о.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 xml:space="preserve">указывается в информационной карте по закупочной сессии, </w:t>
      </w:r>
      <w:proofErr w:type="spellStart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подписаннойЭЦП</w:t>
      </w:r>
      <w:proofErr w:type="spellEnd"/>
      <w:proofErr w:type="gramEnd"/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 xml:space="preserve">на </w:t>
      </w:r>
      <w:proofErr w:type="spellStart"/>
      <w:r w:rsidR="00264A6E" w:rsidRPr="00360B1B">
        <w:rPr>
          <w:sz w:val="21"/>
          <w:szCs w:val="21"/>
        </w:rPr>
        <w:t>основании</w:t>
      </w:r>
      <w:r w:rsidR="00B76704" w:rsidRPr="00360B1B">
        <w:rPr>
          <w:rFonts w:eastAsia="Times New Roman"/>
          <w:kern w:val="0"/>
          <w:sz w:val="21"/>
          <w:szCs w:val="21"/>
        </w:rPr>
        <w:t>п</w:t>
      </w:r>
      <w:proofErr w:type="spellEnd"/>
      <w:r w:rsidR="00B76704" w:rsidRPr="00360B1B">
        <w:rPr>
          <w:rFonts w:eastAsia="Times New Roman"/>
          <w:kern w:val="0"/>
          <w:sz w:val="21"/>
          <w:szCs w:val="21"/>
        </w:rPr>
        <w:t xml:space="preserve">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0E23B6">
        <w:rPr>
          <w:rFonts w:eastAsia="Batang"/>
          <w:kern w:val="0"/>
          <w:sz w:val="21"/>
          <w:szCs w:val="21"/>
          <w:lang w:eastAsia="ko-KR"/>
        </w:rPr>
        <w:t>Хомутов</w:t>
      </w:r>
      <w:r w:rsidR="00111CF8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поставленного товара.</w:t>
      </w:r>
      <w:r w:rsidR="00264989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>Наименование, цена, количество, ассортимент, комплектность, единичная, общая стоимость и иные характ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ъ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1.</w:t>
      </w:r>
      <w:r w:rsidR="00A67BD7">
        <w:rPr>
          <w:sz w:val="21"/>
          <w:szCs w:val="21"/>
        </w:rPr>
        <w:t>2</w:t>
      </w:r>
      <w:r w:rsidRPr="00360B1B">
        <w:rPr>
          <w:sz w:val="21"/>
          <w:szCs w:val="21"/>
        </w:rPr>
        <w:t xml:space="preserve">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proofErr w:type="gramStart"/>
      <w:r w:rsidR="00E46F39" w:rsidRPr="00360B1B">
        <w:rPr>
          <w:b/>
          <w:sz w:val="21"/>
          <w:szCs w:val="21"/>
        </w:rPr>
        <w:t>г</w:t>
      </w:r>
      <w:proofErr w:type="gramEnd"/>
      <w:r w:rsidR="00E46F39" w:rsidRPr="00360B1B">
        <w:rPr>
          <w:b/>
          <w:sz w:val="21"/>
          <w:szCs w:val="21"/>
        </w:rPr>
        <w:t>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A67BD7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</w:t>
      </w:r>
      <w:r w:rsidR="00A67BD7">
        <w:rPr>
          <w:rStyle w:val="enumerated"/>
          <w:sz w:val="21"/>
          <w:szCs w:val="21"/>
        </w:rPr>
        <w:t>3</w:t>
      </w:r>
      <w:r w:rsidRPr="00360B1B">
        <w:rPr>
          <w:rStyle w:val="enumerated"/>
          <w:sz w:val="21"/>
          <w:szCs w:val="21"/>
        </w:rPr>
        <w:t>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количестве и в сроки, предусмотре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CD6691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действующим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CD6691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CD6691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 w:rsidR="00CD6691">
        <w:rPr>
          <w:rFonts w:eastAsia="Batang"/>
          <w:kern w:val="0"/>
          <w:sz w:val="21"/>
          <w:szCs w:val="21"/>
          <w:lang w:eastAsia="ko-KR"/>
        </w:rPr>
        <w:t>8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упаковке.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3.2. Товар должен быть упакован обычным для такого товара способом, а при отсутствии такового спос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хранения и тран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A76160">
        <w:rPr>
          <w:rFonts w:eastAsia="Batang"/>
          <w:kern w:val="0"/>
          <w:sz w:val="21"/>
          <w:szCs w:val="21"/>
          <w:lang w:eastAsia="ko-KR"/>
        </w:rPr>
        <w:t>15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</w:t>
      </w:r>
      <w:proofErr w:type="spellStart"/>
      <w:r w:rsidR="002A344A" w:rsidRPr="00360B1B">
        <w:rPr>
          <w:rFonts w:eastAsia="Batang"/>
          <w:kern w:val="0"/>
          <w:sz w:val="21"/>
          <w:szCs w:val="21"/>
          <w:lang w:eastAsia="ko-KR"/>
        </w:rPr>
        <w:t>почте:</w:t>
      </w:r>
      <w:hyperlink r:id="rId6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7" w:history="1">
        <w:r w:rsidR="00A76160" w:rsidRPr="009E6E17">
          <w:rPr>
            <w:rStyle w:val="aa"/>
            <w:sz w:val="22"/>
            <w:szCs w:val="22"/>
            <w:lang w:val="en-US"/>
          </w:rPr>
          <w:t>eaverina</w:t>
        </w:r>
        <w:r w:rsidR="00A76160" w:rsidRPr="009E6E17">
          <w:rPr>
            <w:rStyle w:val="aa"/>
            <w:sz w:val="22"/>
            <w:szCs w:val="22"/>
          </w:rPr>
          <w:t>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допускается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4.2. Поставка товара осуществляется силами и за счет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Поставщика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.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</w:t>
      </w:r>
      <w:proofErr w:type="gramEnd"/>
      <w:r w:rsidR="008E6FF0" w:rsidRPr="00360B1B">
        <w:rPr>
          <w:rFonts w:eastAsia="Batang"/>
          <w:kern w:val="0"/>
          <w:sz w:val="21"/>
          <w:szCs w:val="21"/>
          <w:lang w:eastAsia="ko-KR"/>
        </w:rPr>
        <w:t>оставщик</w:t>
      </w:r>
      <w:proofErr w:type="spellEnd"/>
      <w:r w:rsidR="008E6FF0" w:rsidRPr="00360B1B">
        <w:rPr>
          <w:rFonts w:eastAsia="Batang"/>
          <w:kern w:val="0"/>
          <w:sz w:val="21"/>
          <w:szCs w:val="21"/>
          <w:lang w:eastAsia="ko-KR"/>
        </w:rPr>
        <w:t xml:space="preserve">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обязательс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B404EB" w:rsidRPr="00360B1B" w:rsidRDefault="00B404EB" w:rsidP="006F2B7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 xml:space="preserve">8. </w:t>
      </w:r>
      <w:proofErr w:type="spellStart"/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Антикоррупционная</w:t>
      </w:r>
      <w:proofErr w:type="spellEnd"/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 xml:space="preserve">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При исполнении своих обязательств по настоящему Договору Стороны, их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аффилированные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8.2. При исполнении своих обязательств по настоящему Договору Стороны, их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аффилированные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аффилированными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8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</w:t>
      </w:r>
      <w:r w:rsidRPr="00360B1B">
        <w:rPr>
          <w:rFonts w:eastAsia="MS Mincho"/>
          <w:kern w:val="0"/>
          <w:sz w:val="21"/>
          <w:szCs w:val="21"/>
          <w:lang w:eastAsia="ar-SA"/>
        </w:rPr>
        <w:t>а</w:t>
      </w:r>
      <w:r w:rsidRPr="00360B1B">
        <w:rPr>
          <w:rFonts w:eastAsia="MS Mincho"/>
          <w:kern w:val="0"/>
          <w:sz w:val="21"/>
          <w:szCs w:val="21"/>
          <w:lang w:eastAsia="ar-SA"/>
        </w:rPr>
        <w:t>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5B3D4F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5B3D4F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5B3D4F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5B3D4F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5B3D4F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5B3D4F" w:rsidRPr="005B3D4F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5B3D4F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5B3D4F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Pr="00360B1B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</w:t>
            </w:r>
            <w:proofErr w:type="gramStart"/>
            <w:r w:rsidRPr="00360B1B">
              <w:rPr>
                <w:sz w:val="21"/>
                <w:szCs w:val="21"/>
              </w:rPr>
              <w:t>г</w:t>
            </w:r>
            <w:proofErr w:type="gramEnd"/>
            <w:r w:rsidRPr="00360B1B">
              <w:rPr>
                <w:sz w:val="21"/>
                <w:szCs w:val="21"/>
              </w:rPr>
              <w:t xml:space="preserve">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Банк: ОКЦ № 9 СЗГУ БАНКА РОССИИ//УФК по Республике Карелия </w:t>
            </w:r>
            <w:proofErr w:type="gramStart"/>
            <w:r w:rsidRPr="00360B1B">
              <w:rPr>
                <w:sz w:val="21"/>
                <w:szCs w:val="21"/>
              </w:rPr>
              <w:t>г</w:t>
            </w:r>
            <w:proofErr w:type="gramEnd"/>
            <w:r w:rsidRPr="00360B1B">
              <w:rPr>
                <w:sz w:val="21"/>
                <w:szCs w:val="21"/>
              </w:rPr>
              <w:t>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66209C" w:rsidRDefault="003D5200" w:rsidP="00190476">
            <w:pPr>
              <w:pStyle w:val="ad"/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</w:t>
            </w:r>
            <w:r w:rsidR="0066209C">
              <w:rPr>
                <w:sz w:val="21"/>
                <w:szCs w:val="21"/>
              </w:rPr>
              <w:t xml:space="preserve">69939 </w:t>
            </w:r>
            <w:hyperlink r:id="rId9" w:history="1">
              <w:r w:rsidR="0066209C" w:rsidRPr="00292D8E">
                <w:rPr>
                  <w:rStyle w:val="aa"/>
                </w:rPr>
                <w:t>eaverina@krc.karelia.ru</w:t>
              </w:r>
            </w:hyperlink>
            <w:r w:rsidR="0066209C"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0" w:history="1">
              <w:r w:rsidR="0066209C" w:rsidRPr="00292D8E">
                <w:rPr>
                  <w:rStyle w:val="aa"/>
                  <w:sz w:val="21"/>
                  <w:szCs w:val="21"/>
                </w:rPr>
                <w:t>Sborodina@krc.karelia.ru</w:t>
              </w:r>
            </w:hyperlink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1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hyperlink r:id="rId12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hyperlink r:id="rId13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И.о.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6F2B7C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от «»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5B3D4F" w:rsidRPr="005B3D4F" w:rsidRDefault="005B3D4F" w:rsidP="005B3D4F">
      <w:pPr>
        <w:tabs>
          <w:tab w:val="left" w:pos="3675"/>
          <w:tab w:val="center" w:pos="4819"/>
          <w:tab w:val="left" w:pos="5812"/>
        </w:tabs>
        <w:ind w:left="-142" w:firstLine="142"/>
        <w:rPr>
          <w:b/>
          <w:sz w:val="21"/>
          <w:szCs w:val="21"/>
        </w:rPr>
      </w:pPr>
    </w:p>
    <w:p w:rsidR="005B3D4F" w:rsidRPr="005B3D4F" w:rsidRDefault="005B3D4F" w:rsidP="005B3D4F">
      <w:pPr>
        <w:tabs>
          <w:tab w:val="left" w:pos="-284"/>
        </w:tabs>
        <w:ind w:left="-284" w:right="-427"/>
        <w:jc w:val="right"/>
        <w:rPr>
          <w:b/>
          <w:sz w:val="21"/>
          <w:szCs w:val="21"/>
          <w:highlight w:val="yellow"/>
        </w:rPr>
      </w:pPr>
    </w:p>
    <w:tbl>
      <w:tblPr>
        <w:tblW w:w="985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"/>
        <w:gridCol w:w="3145"/>
        <w:gridCol w:w="1309"/>
        <w:gridCol w:w="540"/>
        <w:gridCol w:w="595"/>
        <w:gridCol w:w="1254"/>
        <w:gridCol w:w="905"/>
        <w:gridCol w:w="1564"/>
      </w:tblGrid>
      <w:tr w:rsidR="005B3D4F" w:rsidRPr="005B3D4F" w:rsidTr="007D3A66">
        <w:trPr>
          <w:trHeight w:val="102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№</w:t>
            </w:r>
            <w:r w:rsidRPr="005B3D4F">
              <w:rPr>
                <w:b/>
                <w:sz w:val="21"/>
                <w:szCs w:val="21"/>
              </w:rPr>
              <w:br/>
            </w:r>
            <w:proofErr w:type="spellStart"/>
            <w:proofErr w:type="gramStart"/>
            <w:r w:rsidRPr="005B3D4F">
              <w:rPr>
                <w:b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5B3D4F">
              <w:rPr>
                <w:b/>
                <w:color w:val="000000"/>
                <w:sz w:val="21"/>
                <w:szCs w:val="21"/>
              </w:rPr>
              <w:t>/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Наименование товара, марка, модель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Страна </w:t>
            </w:r>
          </w:p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происхождения товара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Кол-во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Ед. 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изм</w:t>
            </w:r>
            <w:proofErr w:type="spellEnd"/>
            <w:r w:rsidRPr="005B3D4F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Цена за ед. 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изм</w:t>
            </w:r>
            <w:proofErr w:type="spellEnd"/>
            <w:r w:rsidRPr="005B3D4F">
              <w:rPr>
                <w:b/>
                <w:color w:val="000000"/>
                <w:sz w:val="21"/>
                <w:szCs w:val="21"/>
              </w:rPr>
              <w:t>. (в руб.)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Ставка НДС,%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Общая стоимость</w:t>
            </w:r>
            <w:proofErr w:type="gramStart"/>
            <w:r w:rsidRPr="005B3D4F">
              <w:rPr>
                <w:b/>
                <w:color w:val="000000"/>
                <w:sz w:val="21"/>
                <w:szCs w:val="21"/>
                <w:lang w:val="en-US"/>
              </w:rPr>
              <w:t>c</w:t>
            </w:r>
            <w:proofErr w:type="gramEnd"/>
            <w:r w:rsidRPr="005B3D4F">
              <w:rPr>
                <w:b/>
                <w:color w:val="000000"/>
                <w:sz w:val="21"/>
                <w:szCs w:val="21"/>
              </w:rPr>
              <w:t xml:space="preserve"> учетом НДС, руб.</w:t>
            </w:r>
          </w:p>
        </w:tc>
      </w:tr>
      <w:tr w:rsidR="005B3D4F" w:rsidRPr="005B3D4F" w:rsidTr="000E23B6">
        <w:trPr>
          <w:trHeight w:val="40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0E23B6" w:rsidP="007D3A66">
            <w:pPr>
              <w:rPr>
                <w:color w:val="000000"/>
                <w:sz w:val="21"/>
                <w:szCs w:val="21"/>
              </w:rPr>
            </w:pPr>
            <w:r>
              <w:t>Силовой хомут 20-22 мм, 2 шт., ОКПД</w:t>
            </w:r>
            <w:proofErr w:type="gramStart"/>
            <w:r>
              <w:t>2</w:t>
            </w:r>
            <w:proofErr w:type="gramEnd"/>
            <w:r>
              <w:t>:24.52.30.000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A76160" w:rsidP="007D3A66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r w:rsidR="000E23B6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E23B6" w:rsidRPr="005B3D4F" w:rsidTr="000E23B6">
        <w:trPr>
          <w:trHeight w:val="438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rPr>
                <w:sz w:val="21"/>
                <w:szCs w:val="21"/>
              </w:rPr>
            </w:pPr>
            <w:r>
              <w:t>Хомут силовой мини 22-24 мм, 6 шт., оцинкованная сталь W1, ОКПД</w:t>
            </w:r>
            <w:proofErr w:type="gramStart"/>
            <w:r>
              <w:t>2</w:t>
            </w:r>
            <w:proofErr w:type="gramEnd"/>
            <w:r>
              <w:t>:24.52.30.000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A76160" w:rsidP="007D3A66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E23B6" w:rsidRPr="005B3D4F" w:rsidTr="000E23B6">
        <w:trPr>
          <w:trHeight w:val="100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rPr>
                <w:sz w:val="21"/>
                <w:szCs w:val="21"/>
              </w:rPr>
            </w:pPr>
            <w:r>
              <w:t>Хомут силовой мини металлический PREMIUM 12-14мм, 10 шт., ОКПД</w:t>
            </w:r>
            <w:proofErr w:type="gramStart"/>
            <w:r>
              <w:t>2</w:t>
            </w:r>
            <w:proofErr w:type="gramEnd"/>
            <w:r>
              <w:t>:24.52.30.000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Default="00A76160" w:rsidP="007D3A66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23B6" w:rsidRPr="005B3D4F" w:rsidRDefault="000E23B6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B3D4F" w:rsidRPr="005B3D4F" w:rsidTr="007D3A66">
        <w:trPr>
          <w:trHeight w:val="272"/>
        </w:trPr>
        <w:tc>
          <w:tcPr>
            <w:tcW w:w="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D4F" w:rsidRPr="005B3D4F" w:rsidRDefault="005B3D4F" w:rsidP="007D3A66">
            <w:pPr>
              <w:jc w:val="right"/>
              <w:rPr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Итого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7D3A6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5B3D4F" w:rsidRPr="005B3D4F" w:rsidRDefault="005B3D4F" w:rsidP="005B3D4F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</w:p>
    <w:p w:rsidR="005B3D4F" w:rsidRPr="005B3D4F" w:rsidRDefault="005B3D4F" w:rsidP="005B3D4F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5B3D4F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0E23B6">
        <w:rPr>
          <w:rFonts w:eastAsia="Times New Roman"/>
          <w:kern w:val="0"/>
          <w:sz w:val="21"/>
          <w:szCs w:val="21"/>
        </w:rPr>
        <w:t>3</w:t>
      </w:r>
      <w:r w:rsidRPr="005B3D4F">
        <w:rPr>
          <w:rFonts w:eastAsia="Times New Roman"/>
          <w:kern w:val="0"/>
          <w:sz w:val="21"/>
          <w:szCs w:val="21"/>
        </w:rPr>
        <w:t xml:space="preserve">, на сумму _________ </w:t>
      </w:r>
      <w:proofErr w:type="spellStart"/>
      <w:r w:rsidRPr="005B3D4F">
        <w:rPr>
          <w:rFonts w:eastAsia="Times New Roman"/>
          <w:kern w:val="0"/>
          <w:sz w:val="21"/>
          <w:szCs w:val="21"/>
        </w:rPr>
        <w:t>руб.____коп</w:t>
      </w:r>
      <w:proofErr w:type="spellEnd"/>
      <w:r w:rsidRPr="005B3D4F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Pr="005B3D4F">
        <w:rPr>
          <w:rFonts w:eastAsia="Times New Roman"/>
          <w:kern w:val="0"/>
          <w:sz w:val="21"/>
          <w:szCs w:val="21"/>
        </w:rPr>
        <w:t>с</w:t>
      </w:r>
      <w:proofErr w:type="gramEnd"/>
      <w:r w:rsidRPr="005B3D4F">
        <w:rPr>
          <w:rFonts w:eastAsia="Times New Roman"/>
          <w:kern w:val="0"/>
          <w:sz w:val="21"/>
          <w:szCs w:val="21"/>
        </w:rPr>
        <w:t>/без НДС.</w:t>
      </w:r>
    </w:p>
    <w:p w:rsidR="005B3D4F" w:rsidRPr="005B3D4F" w:rsidRDefault="005B3D4F" w:rsidP="005B3D4F">
      <w:pPr>
        <w:tabs>
          <w:tab w:val="left" w:pos="0"/>
        </w:tabs>
        <w:jc w:val="both"/>
        <w:rPr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И.о.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2B42"/>
    <w:rsid w:val="000C543A"/>
    <w:rsid w:val="000C699B"/>
    <w:rsid w:val="000D44E9"/>
    <w:rsid w:val="000E23B6"/>
    <w:rsid w:val="000E5034"/>
    <w:rsid w:val="000F31D1"/>
    <w:rsid w:val="000F5A44"/>
    <w:rsid w:val="000F7EE2"/>
    <w:rsid w:val="00104A7A"/>
    <w:rsid w:val="00111CF8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6627C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989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8C1"/>
    <w:rsid w:val="00566A17"/>
    <w:rsid w:val="005708D7"/>
    <w:rsid w:val="0058248E"/>
    <w:rsid w:val="00584FD2"/>
    <w:rsid w:val="00596C2F"/>
    <w:rsid w:val="0059765C"/>
    <w:rsid w:val="005A2268"/>
    <w:rsid w:val="005A25DA"/>
    <w:rsid w:val="005A376F"/>
    <w:rsid w:val="005A61DE"/>
    <w:rsid w:val="005B3D4F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209C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C4AD3"/>
    <w:rsid w:val="006D103C"/>
    <w:rsid w:val="006D1C17"/>
    <w:rsid w:val="006F1B02"/>
    <w:rsid w:val="006F29A5"/>
    <w:rsid w:val="006F2B7C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43C1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67BD7"/>
    <w:rsid w:val="00A704F4"/>
    <w:rsid w:val="00A7113F"/>
    <w:rsid w:val="00A71743"/>
    <w:rsid w:val="00A71B40"/>
    <w:rsid w:val="00A73FE0"/>
    <w:rsid w:val="00A7616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136B8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0D02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6600"/>
    <w:rsid w:val="00CD6691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4713B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B136B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136B8"/>
    <w:pPr>
      <w:spacing w:after="120"/>
    </w:pPr>
  </w:style>
  <w:style w:type="paragraph" w:styleId="a4">
    <w:name w:val="List"/>
    <w:basedOn w:val="a3"/>
    <w:rsid w:val="00B136B8"/>
    <w:rPr>
      <w:rFonts w:cs="Tahoma"/>
    </w:rPr>
  </w:style>
  <w:style w:type="paragraph" w:styleId="a5">
    <w:name w:val="caption"/>
    <w:basedOn w:val="a"/>
    <w:qFormat/>
    <w:rsid w:val="00B136B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136B8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averina@krc.karelia.ru" TargetMode="Externa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ver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20468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eaverina</cp:lastModifiedBy>
  <cp:revision>4</cp:revision>
  <cp:lastPrinted>2026-02-12T11:22:00Z</cp:lastPrinted>
  <dcterms:created xsi:type="dcterms:W3CDTF">2026-06-25T11:39:00Z</dcterms:created>
  <dcterms:modified xsi:type="dcterms:W3CDTF">2026-06-25T11:59:00Z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