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w:t>
      </w:r>
      <w:r>
        <w:rPr>
          <w:b/>
          <w:bCs/>
        </w:rPr>
        <w:t>28</w:t>
      </w:r>
      <w:r>
        <w:rPr>
          <w:b/>
          <w:bCs/>
        </w:rPr>
        <w:t>/26</w:t>
      </w:r>
    </w:p>
    <w:p>
      <w:pPr>
        <w:pStyle w:val="Normal"/>
        <w:jc w:val="center"/>
        <w:rPr>
          <w:b/>
        </w:rPr>
      </w:pPr>
      <w:r>
        <w:rPr>
          <w:b/>
        </w:rPr>
        <w:t>на поставку товаров для государственных нужд</w:t>
      </w:r>
    </w:p>
    <w:p>
      <w:pPr>
        <w:pStyle w:val="Normal"/>
        <w:jc w:val="center"/>
        <w:rPr>
          <w:b/>
          <w:shd w:fill="FFFF00" w:val="clear"/>
        </w:rPr>
      </w:pPr>
      <w:r>
        <w:rPr>
          <w:b/>
          <w:shd w:fill="FFFF00" w:val="clear"/>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xml:space="preserve">«      » </w:t>
      </w:r>
      <w:r>
        <w:rPr/>
        <w:t xml:space="preserve">августа </w:t>
      </w:r>
      <w:r>
        <w:rPr/>
        <w:t>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ч</w:t>
      </w:r>
      <w:r>
        <w:rPr>
          <w:rFonts w:eastAsia="Times New Roman" w:cs="Times New Roman" w:ascii="Times New Roman" w:hAnsi="Times New Roman"/>
          <w:b/>
          <w:bCs/>
          <w:sz w:val="20"/>
          <w:szCs w:val="20"/>
          <w:lang w:eastAsia="ru-RU"/>
        </w:rPr>
        <w:t xml:space="preserve">ехол на УЗИ датчик  стерильный, одноразовый </w:t>
      </w:r>
      <w:r>
        <w:rPr/>
        <w:t xml:space="preserve">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fill="FFFFFF" w:val="clear"/>
        <w:tabs>
          <w:tab w:val="clear" w:pos="708"/>
          <w:tab w:val="left" w:pos="0" w:leader="none"/>
          <w:tab w:val="left" w:pos="900" w:leader="none"/>
        </w:tabs>
        <w:jc w:val="center"/>
        <w:rPr>
          <w:b/>
        </w:rPr>
      </w:pPr>
      <w:r>
        <w:rPr>
          <w:b/>
        </w:rPr>
        <w:t>4. Сроки и условия поставки Товара</w:t>
      </w:r>
    </w:p>
    <w:p>
      <w:pPr>
        <w:pStyle w:val="Normal"/>
        <w:shd w:fill="FFFFFF" w:val="clear"/>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30.09.2026г. 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fill="FFFFFF" w:val="clear"/>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fill="FFFFFF" w:val="clear"/>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fill="FFFFFF" w:val="clear"/>
        <w:tabs>
          <w:tab w:val="clear" w:pos="708"/>
          <w:tab w:val="left" w:pos="0" w:leader="none"/>
          <w:tab w:val="left" w:pos="900" w:leader="none"/>
        </w:tabs>
        <w:jc w:val="both"/>
        <w:rPr>
          <w:color w:themeColor="dark1" w:val="000000"/>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30.10.2026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fill="FFFFFF" w:val="clear"/>
        <w:jc w:val="center"/>
        <w:rPr>
          <w:b/>
        </w:rPr>
      </w:pPr>
      <w:r>
        <w:rPr>
          <w:b/>
        </w:rPr>
        <w:t>10. Переход права собственности и риск случайной гибели Товара</w:t>
      </w:r>
    </w:p>
    <w:p>
      <w:pPr>
        <w:pStyle w:val="Normal"/>
        <w:shd w:fill="FFFFFF" w:val="clear"/>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fill="FFFFFF" w:val="clear"/>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fill="FFFFFF" w:val="clear"/>
        <w:tabs>
          <w:tab w:val="clear" w:pos="708"/>
          <w:tab w:val="left" w:pos="540" w:leader="none"/>
          <w:tab w:val="left" w:pos="1248" w:leader="none"/>
        </w:tabs>
        <w:jc w:val="both"/>
        <w:rPr/>
      </w:pPr>
      <w:r>
        <w:rPr/>
      </w:r>
    </w:p>
    <w:p>
      <w:pPr>
        <w:pStyle w:val="Normal"/>
        <w:shd w:fill="FFFFFF" w:val="clear"/>
        <w:tabs>
          <w:tab w:val="clear" w:pos="708"/>
          <w:tab w:val="left" w:pos="540" w:leader="none"/>
          <w:tab w:val="left" w:pos="1248" w:leader="none"/>
        </w:tabs>
        <w:jc w:val="center"/>
        <w:rPr>
          <w:b/>
        </w:rPr>
      </w:pPr>
      <w:r>
        <w:rPr>
          <w:b/>
        </w:rPr>
        <w:t>11. Противодействие коррупции</w:t>
      </w:r>
    </w:p>
    <w:p>
      <w:pPr>
        <w:pStyle w:val="Normal"/>
        <w:shd w:fill="FFFFFF" w:val="clear"/>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fill="FFFFFF" w:val="clear"/>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fill="FFFFFF" w:val="clear"/>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fill="FFFFFF" w:val="clear"/>
        <w:tabs>
          <w:tab w:val="clear" w:pos="708"/>
          <w:tab w:val="left" w:pos="540" w:leader="none"/>
          <w:tab w:val="left" w:pos="1248" w:leader="none"/>
        </w:tabs>
        <w:jc w:val="center"/>
        <w:rPr/>
      </w:pPr>
      <w:r>
        <w:rPr/>
      </w:r>
    </w:p>
    <w:p>
      <w:pPr>
        <w:pStyle w:val="Normal"/>
        <w:shd w:fill="FFFFFF" w:val="clear"/>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fill="FFFFFF" w:val="clear"/>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6"/>
        <w:gridCol w:w="4820"/>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20" w:type="dxa"/>
            <w:tcBorders/>
          </w:tcPr>
          <w:p>
            <w:pPr>
              <w:pStyle w:val="Normal"/>
              <w:jc w:val="both"/>
              <w:rPr/>
            </w:pPr>
            <w:r>
              <w:rPr/>
            </w:r>
          </w:p>
          <w:p>
            <w:pPr>
              <w:pStyle w:val="Normal"/>
              <w:jc w:val="both"/>
              <w:rPr>
                <w:b/>
                <w:bCs/>
                <w:shd w:fill="FFFF00" w:val="clear"/>
              </w:rPr>
            </w:pPr>
            <w:r>
              <w:rPr>
                <w:b/>
                <w:bCs/>
                <w:shd w:fill="FFFF00" w:val="clear"/>
              </w:rPr>
              <w:t>Поставщик:</w:t>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default" r:id="rId2"/>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w:t>
      </w:r>
      <w:r>
        <w:rPr>
          <w:b/>
          <w:bCs/>
          <w:sz w:val="20"/>
          <w:szCs w:val="20"/>
        </w:rPr>
        <w:t>28</w:t>
      </w:r>
      <w:r>
        <w:rPr>
          <w:b/>
          <w:bCs/>
          <w:sz w:val="20"/>
          <w:szCs w:val="20"/>
        </w:rPr>
        <w:t>/26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xml:space="preserve">«      » </w:t>
      </w:r>
      <w:r>
        <w:rPr>
          <w:rFonts w:eastAsia="Calibri"/>
          <w:sz w:val="20"/>
          <w:szCs w:val="20"/>
          <w:lang w:eastAsia="en-US"/>
        </w:rPr>
        <w:t>августа</w:t>
      </w:r>
      <w:r>
        <w:rPr>
          <w:rFonts w:eastAsia="Calibri"/>
          <w:sz w:val="20"/>
          <w:szCs w:val="20"/>
          <w:lang w:eastAsia="en-US"/>
        </w:rPr>
        <w:t xml:space="preserve">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0" w:type="dxa"/>
        <w:tblLayout w:type="fixed"/>
        <w:tblCellMar>
          <w:top w:w="0" w:type="dxa"/>
          <w:left w:w="108" w:type="dxa"/>
          <w:bottom w:w="0" w:type="dxa"/>
          <w:right w:w="108" w:type="dxa"/>
        </w:tblCellMar>
      </w:tblPr>
      <w:tblGrid>
        <w:gridCol w:w="675"/>
        <w:gridCol w:w="7689"/>
        <w:gridCol w:w="399"/>
        <w:gridCol w:w="849"/>
        <w:gridCol w:w="306"/>
        <w:gridCol w:w="101"/>
        <w:gridCol w:w="1155"/>
        <w:gridCol w:w="264"/>
        <w:gridCol w:w="870"/>
        <w:gridCol w:w="1278"/>
        <w:gridCol w:w="2128"/>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Spacing"/>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ascii="Times New Roman" w:hAnsi="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Чехол на УЗИ датчик  стерильный, одноразовый</w:t>
            </w:r>
          </w:p>
          <w:tbl>
            <w:tblPr>
              <w:tblW w:w="7360" w:type="dxa"/>
              <w:jc w:val="left"/>
              <w:tblInd w:w="0" w:type="dxa"/>
              <w:tblLayout w:type="fixed"/>
              <w:tblCellMar>
                <w:top w:w="0" w:type="dxa"/>
                <w:left w:w="108" w:type="dxa"/>
                <w:bottom w:w="0" w:type="dxa"/>
                <w:right w:w="108" w:type="dxa"/>
              </w:tblCellMar>
            </w:tblPr>
            <w:tblGrid>
              <w:gridCol w:w="3068"/>
              <w:gridCol w:w="2482"/>
              <w:gridCol w:w="1810"/>
            </w:tblGrid>
            <w:tr>
              <w:trPr/>
              <w:tc>
                <w:tcPr>
                  <w:tcW w:w="3068"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bCs/>
                      <w:caps/>
                      <w:color w:val="000000"/>
                      <w:sz w:val="16"/>
                      <w:szCs w:val="16"/>
                      <w:shd w:fill="auto" w:val="clear"/>
                    </w:rPr>
                  </w:pPr>
                  <w:r>
                    <w:rPr>
                      <w:rFonts w:eastAsia="Times New Roman" w:cs="Times New Roman" w:ascii="Times New Roman" w:hAnsi="Times New Roman"/>
                      <w:b/>
                      <w:bCs/>
                      <w:caps/>
                      <w:color w:val="000000"/>
                      <w:sz w:val="16"/>
                      <w:szCs w:val="16"/>
                      <w:shd w:fill="auto" w:val="clear"/>
                    </w:rPr>
                    <w:t>НАИМЕНОВАНИЕ ХАРАКТЕРИСТИКИ</w:t>
                  </w:r>
                </w:p>
              </w:tc>
              <w:tc>
                <w:tcPr>
                  <w:tcW w:w="2482"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ЗНАЧЕНИЕ ХАРАКТЕРИСТИКИ</w:t>
                  </w:r>
                </w:p>
              </w:tc>
              <w:tc>
                <w:tcPr>
                  <w:tcW w:w="1810"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ЕДИНИЦА ИЗМЕРЕНИЯ ХАРАКТЕРИСТИКИ</w:t>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Соответствие ГОСТ EN 13795-</w:t>
                  </w:r>
                  <w:r>
                    <w:rPr>
                      <w:rFonts w:eastAsia="Times New Roman" w:cs="Times New Roman" w:ascii="Times New Roman" w:hAnsi="Times New Roman"/>
                      <w:bCs/>
                      <w:sz w:val="16"/>
                      <w:szCs w:val="16"/>
                      <w:lang w:eastAsia="ru-RU"/>
                    </w:rPr>
                    <w:t>3-2011</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Соответствует</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lang w:eastAsia="ru-RU"/>
                    </w:rPr>
                  </w:pPr>
                  <w:r>
                    <w:rPr>
                      <w:rFonts w:cs="Times New Roman" w:ascii="Times New Roman" w:hAnsi="Times New Roman"/>
                      <w:sz w:val="16"/>
                      <w:szCs w:val="16"/>
                      <w:lang w:eastAsia="ru-RU"/>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lang w:eastAsia="ru-RU"/>
                    </w:rPr>
                  </w:pPr>
                  <w:r>
                    <w:rPr>
                      <w:rFonts w:cs="Times New Roman" w:ascii="Times New Roman" w:hAnsi="Times New Roman"/>
                      <w:sz w:val="16"/>
                      <w:szCs w:val="16"/>
                      <w:lang w:eastAsia="ru-RU"/>
                    </w:rPr>
                    <w:t>Размер чехла</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lang w:eastAsia="ru-RU"/>
                    </w:rPr>
                  </w:pPr>
                  <w:r>
                    <w:rPr>
                      <w:rFonts w:cs="Times New Roman" w:ascii="Times New Roman" w:hAnsi="Times New Roman"/>
                      <w:sz w:val="16"/>
                      <w:szCs w:val="16"/>
                      <w:lang w:eastAsia="ru-RU"/>
                    </w:rPr>
                    <w:t>200х14,5</w:t>
                  </w:r>
                </w:p>
              </w:tc>
              <w:tc>
                <w:tcPr>
                  <w:tcW w:w="1810"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см</w:t>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lang w:eastAsia="ru-RU"/>
                    </w:rPr>
                  </w:pPr>
                  <w:r>
                    <w:rPr>
                      <w:rFonts w:cs="Times New Roman" w:ascii="Times New Roman" w:hAnsi="Times New Roman"/>
                      <w:sz w:val="16"/>
                      <w:szCs w:val="16"/>
                      <w:lang w:eastAsia="ru-RU"/>
                    </w:rPr>
                    <w:t>Материал чехла</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Пластиковая прозрачная пленка</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b/>
                      <w:sz w:val="16"/>
                      <w:szCs w:val="16"/>
                    </w:rPr>
                  </w:pPr>
                  <w:r>
                    <w:rPr>
                      <w:rFonts w:cs="Times New Roman" w:ascii="Times New Roman" w:hAnsi="Times New Roman"/>
                      <w:b/>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Толщина материала чехла</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60</w:t>
                  </w:r>
                </w:p>
              </w:tc>
              <w:tc>
                <w:tcPr>
                  <w:tcW w:w="1810"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микрон</w:t>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Длина латексного наконечника</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10</w:t>
                  </w:r>
                </w:p>
              </w:tc>
              <w:tc>
                <w:tcPr>
                  <w:tcW w:w="1810"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см</w:t>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Телескопическая укладка чехла</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Соответствие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b/>
                      <w:sz w:val="16"/>
                      <w:szCs w:val="16"/>
                    </w:rPr>
                  </w:pPr>
                  <w:r>
                    <w:rPr>
                      <w:rFonts w:cs="Times New Roman" w:ascii="Times New Roman" w:hAnsi="Times New Roman"/>
                      <w:b/>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Липкий фиксатор</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Наличие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 xml:space="preserve">Отсутствие швов по всей длине оболочки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Соответствие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b/>
                      <w:sz w:val="16"/>
                      <w:szCs w:val="16"/>
                    </w:rPr>
                  </w:pPr>
                  <w:r>
                    <w:rPr>
                      <w:rFonts w:cs="Times New Roman" w:ascii="Times New Roman" w:hAnsi="Times New Roman"/>
                      <w:b/>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 xml:space="preserve">Материал внутренней упаковки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Пластиковая прозрачная пленка</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 xml:space="preserve">Плотность внутренней упаковки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40</w:t>
                  </w:r>
                </w:p>
              </w:tc>
              <w:tc>
                <w:tcPr>
                  <w:tcW w:w="181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г/м2</w:t>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 xml:space="preserve">Асептическая укладка внутренней упаковки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Соответствие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Пакет внутренней упаковки  запаян</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Соответствие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Вскрытие внутренней упаковки не требует применения дополнительных инструментов</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Соответствие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pPr>
                  <w:r>
                    <w:rPr>
                      <w:rFonts w:eastAsia="Times New Roman" w:cs="Times New Roman" w:ascii="Times New Roman" w:hAnsi="Times New Roman"/>
                      <w:bCs/>
                      <w:sz w:val="16"/>
                      <w:szCs w:val="16"/>
                      <w:lang w:eastAsia="ru-RU"/>
                    </w:rPr>
                    <w:t>Стикер/этикетка с указанием состава</w:t>
                  </w:r>
                  <w:r>
                    <w:rPr>
                      <w:rFonts w:cs="Times New Roman" w:ascii="Times New Roman" w:hAnsi="Times New Roman"/>
                      <w:sz w:val="16"/>
                      <w:szCs w:val="16"/>
                    </w:rPr>
                    <w:t xml:space="preserve"> внутренней </w:t>
                  </w:r>
                  <w:r>
                    <w:rPr>
                      <w:rFonts w:eastAsia="Times New Roman" w:cs="Times New Roman" w:ascii="Times New Roman" w:hAnsi="Times New Roman"/>
                      <w:bCs/>
                      <w:sz w:val="16"/>
                      <w:szCs w:val="16"/>
                      <w:lang w:eastAsia="ru-RU"/>
                    </w:rPr>
                    <w:t xml:space="preserve">упаковки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Наличие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 xml:space="preserve">Материал наружной упаковки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Пластиковая прозрачная пленка</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 xml:space="preserve">Толщина  материала наружной упаковки </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16"/>
                      <w:szCs w:val="16"/>
                    </w:rPr>
                  </w:pPr>
                  <w:r>
                    <w:rPr>
                      <w:rFonts w:cs="Times New Roman" w:ascii="Times New Roman" w:hAnsi="Times New Roman"/>
                      <w:sz w:val="16"/>
                      <w:szCs w:val="16"/>
                    </w:rPr>
                    <w:t>80</w:t>
                  </w:r>
                </w:p>
              </w:tc>
              <w:tc>
                <w:tcPr>
                  <w:tcW w:w="1810"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микрон</w:t>
                  </w:r>
                </w:p>
              </w:tc>
            </w:tr>
            <w:tr>
              <w:trPr/>
              <w:tc>
                <w:tcPr>
                  <w:tcW w:w="3068"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Вскрытие наружной упаковки  путем отделения одной части от другой по периметру, не требует применения дополнительных инструментов</w:t>
                  </w:r>
                </w:p>
              </w:tc>
              <w:tc>
                <w:tcPr>
                  <w:tcW w:w="2482" w:type="dxa"/>
                  <w:tcBorders>
                    <w:left w:val="single" w:sz="4" w:space="0" w:color="000000"/>
                    <w:bottom w:val="single" w:sz="4" w:space="0" w:color="000000"/>
                    <w:right w:val="single" w:sz="4" w:space="0" w:color="000000"/>
                  </w:tcBorders>
                </w:tcPr>
                <w:p>
                  <w:pPr>
                    <w:pStyle w:val="NoSpacing"/>
                    <w:rPr>
                      <w:rFonts w:ascii="Times New Roman" w:hAnsi="Times New Roman" w:eastAsia="Times New Roman" w:cs="Times New Roman"/>
                      <w:bCs/>
                      <w:sz w:val="16"/>
                      <w:szCs w:val="16"/>
                      <w:lang w:eastAsia="ru-RU"/>
                    </w:rPr>
                  </w:pPr>
                  <w:r>
                    <w:rPr>
                      <w:rFonts w:eastAsia="Times New Roman" w:cs="Times New Roman" w:ascii="Times New Roman" w:hAnsi="Times New Roman"/>
                      <w:bCs/>
                      <w:sz w:val="16"/>
                      <w:szCs w:val="16"/>
                      <w:lang w:eastAsia="ru-RU"/>
                    </w:rPr>
                    <w:t>Соответствие</w:t>
                  </w:r>
                </w:p>
              </w:tc>
              <w:tc>
                <w:tcPr>
                  <w:tcW w:w="1810" w:type="dxa"/>
                  <w:tcBorders>
                    <w:left w:val="single" w:sz="4" w:space="0" w:color="000000"/>
                    <w:bottom w:val="single" w:sz="4" w:space="0" w:color="000000"/>
                    <w:right w:val="single" w:sz="4" w:space="0" w:color="000000"/>
                  </w:tcBorders>
                </w:tcPr>
                <w:p>
                  <w:pPr>
                    <w:pStyle w:val="NoSpacing"/>
                    <w:snapToGrid w:val="false"/>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r>
                </w:p>
              </w:tc>
            </w:tr>
          </w:tbl>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ОКПД 2:</w:t>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Страна происхождения товара:</w:t>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РУ:</w:t>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r>
          </w:p>
        </w:tc>
        <w:tc>
          <w:tcPr>
            <w:tcW w:w="1554"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rPr>
            </w:pPr>
            <w:r>
              <w:rPr>
                <w:sz w:val="20"/>
                <w:szCs w:val="20"/>
                <w:shd w:fill="auto" w:val="clear"/>
              </w:rPr>
              <w:t>200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shd w:fill="auto" w:val="clear"/>
              </w:rPr>
            </w:pPr>
            <w:r>
              <w:rPr>
                <w:sz w:val="20"/>
                <w:szCs w:val="20"/>
                <w:shd w:fill="auto" w:val="clear"/>
              </w:rPr>
            </w:r>
          </w:p>
        </w:tc>
        <w:tc>
          <w:tcPr>
            <w:tcW w:w="2128" w:type="dxa"/>
            <w:tcBorders>
              <w:top w:val="single" w:sz="4" w:space="0" w:color="000000"/>
              <w:left w:val="single" w:sz="4" w:space="0" w:color="000000"/>
              <w:bottom w:val="single" w:sz="4" w:space="0" w:color="000000"/>
              <w:right w:val="single" w:sz="10" w:space="0" w:color="000000"/>
            </w:tcBorders>
            <w:vAlign w:val="center"/>
          </w:tcPr>
          <w:p>
            <w:pPr>
              <w:pStyle w:val="Normal"/>
              <w:jc w:val="center"/>
              <w:rPr>
                <w:rFonts w:ascii="Times New Roman" w:hAnsi="Times New Roman"/>
                <w:b/>
                <w:bCs/>
                <w:sz w:val="20"/>
                <w:szCs w:val="20"/>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8"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shd w:fill="auto" w:val="clear"/>
              </w:rPr>
            </w:pPr>
            <w:r>
              <w:rPr>
                <w:b/>
                <w:bCs/>
                <w:sz w:val="20"/>
                <w:szCs w:val="20"/>
                <w:shd w:fill="auto" w:val="clear"/>
              </w:rPr>
            </w:r>
          </w:p>
        </w:tc>
      </w:tr>
      <w:tr>
        <w:trPr>
          <w:trHeight w:val="1831" w:hRule="atLeast"/>
        </w:trPr>
        <w:tc>
          <w:tcPr>
            <w:tcW w:w="8763" w:type="dxa"/>
            <w:gridSpan w:val="3"/>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p>
            <w:pPr>
              <w:pStyle w:val="11"/>
              <w:rPr>
                <w:rFonts w:ascii="Times New Roman" w:hAnsi="Times New Roman" w:cs="Times New Roman"/>
                <w:b/>
                <w:bCs/>
                <w:sz w:val="20"/>
                <w:szCs w:val="20"/>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3406" w:type="dxa"/>
            <w:gridSpan w:val="2"/>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default" r:id="rId3"/>
      <w:footerReference w:type="first" r:id="rId4"/>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numPr>
        <w:ilvl w:val="0"/>
        <w:numId w:val="0"/>
      </w:numPr>
      <w:spacing w:before="480" w:after="200"/>
      <w:outlineLvl w:val="0"/>
    </w:pPr>
    <w:rPr>
      <w:rFonts w:ascii="Arial" w:hAnsi="Arial" w:eastAsia="Arial" w:cs="Arial"/>
      <w:sz w:val="40"/>
      <w:szCs w:val="40"/>
    </w:rPr>
  </w:style>
  <w:style w:type="paragraph" w:styleId="Heading2">
    <w:name w:val="heading 2"/>
    <w:basedOn w:val="Normal"/>
    <w:next w:val="Normal"/>
    <w:link w:val="2"/>
    <w:qFormat/>
    <w:pPr>
      <w:keepNext w:val="true"/>
      <w:keepLines/>
      <w:numPr>
        <w:ilvl w:val="0"/>
        <w:numId w:val="0"/>
      </w:numPr>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numPr>
        <w:ilvl w:val="0"/>
        <w:numId w:val="0"/>
      </w:numPr>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numPr>
        <w:ilvl w:val="0"/>
        <w:numId w:val="0"/>
      </w:numPr>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numPr>
        <w:ilvl w:val="0"/>
        <w:numId w:val="0"/>
      </w:numPr>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numPr>
        <w:ilvl w:val="0"/>
        <w:numId w:val="0"/>
      </w:numPr>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numPr>
        <w:ilvl w:val="0"/>
        <w:numId w:val="0"/>
      </w:numPr>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numPr>
        <w:ilvl w:val="0"/>
        <w:numId w:val="0"/>
      </w:numPr>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numPr>
        <w:ilvl w:val="0"/>
        <w:numId w:val="0"/>
      </w:numPr>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name w:val="Текст концевой сноски Знак"/>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link w:val="ConsPlusNormal1"/>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link w:val="annotationsubject"/>
    <w:qFormat/>
    <w:rPr>
      <w:rFonts w:ascii="Times New Roman" w:hAnsi="Times New Roman" w:eastAsia="Times New Roman"/>
      <w:b/>
      <w:bCs/>
    </w:rPr>
  </w:style>
  <w:style w:type="character" w:styleId="Style17">
    <w:name w:val="Текст выноски Знак"/>
    <w:basedOn w:val="DefaultParagraphFont"/>
    <w:link w:val="BalloonText"/>
    <w:qFormat/>
    <w:rPr>
      <w:rFonts w:ascii="Tahoma" w:hAnsi="Tahoma" w:eastAsia="Times New Roman" w:cs="Tahoma"/>
      <w:sz w:val="16"/>
      <w:szCs w:val="16"/>
    </w:rPr>
  </w:style>
  <w:style w:type="character" w:styleId="Style18">
    <w:name w:val="Без интервала Знак"/>
    <w:link w:val="NoSpacing"/>
    <w:qFormat/>
    <w:rPr>
      <w:sz w:val="24"/>
      <w:szCs w:val="24"/>
    </w:rPr>
  </w:style>
  <w:style w:type="character" w:styleId="Hyperlink">
    <w:name w:val="Hyperlink"/>
    <w:basedOn w:val="DefaultParagraphFon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qFormat/>
    <w:pPr>
      <w:spacing w:before="0" w:after="0"/>
      <w:ind w:left="720"/>
      <w:contextualSpacing/>
    </w:pPr>
    <w:rPr/>
  </w:style>
  <w:style w:type="paragraph" w:styleId="Title">
    <w:name w:val="Title"/>
    <w:basedOn w:val="Normal"/>
    <w:next w:val="Normal"/>
    <w:link w:val="Style5"/>
    <w:qFormat/>
    <w:pPr>
      <w:spacing w:before="300" w:after="200"/>
      <w:contextualSpacing/>
    </w:pPr>
    <w:rPr>
      <w:sz w:val="48"/>
      <w:szCs w:val="48"/>
    </w:rPr>
  </w:style>
  <w:style w:type="paragraph" w:styleId="Subtitle">
    <w:name w:val="Subtitle"/>
    <w:basedOn w:val="Normal"/>
    <w:next w:val="Normal"/>
    <w:link w:val="Style6"/>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link w:val="Style7"/>
    <w:qFormat/>
    <w:pPr>
      <w:pBdr>
        <w:top w:val="single" w:sz="4" w:space="5" w:color="FFFFFF"/>
        <w:left w:val="single" w:sz="4" w:space="10" w:color="FFFFFF"/>
        <w:bottom w:val="single" w:sz="4" w:space="5" w:color="FFFFFF"/>
        <w:right w:val="single" w:sz="4" w:space="10" w:color="FFFFFF"/>
      </w:pBdr>
      <w:shd w:fill="F2F2F2" w:val="clear"/>
      <w:ind w:left="720" w:right="720"/>
    </w:pPr>
    <w:rPr>
      <w:i/>
    </w:rPr>
  </w:style>
  <w:style w:type="paragraph" w:styleId="FootnoteText">
    <w:name w:val="footnote text"/>
    <w:basedOn w:val="Normal"/>
    <w:link w:val="Style8"/>
    <w:pPr>
      <w:spacing w:before="0" w:after="40"/>
    </w:pPr>
    <w:rPr>
      <w:sz w:val="18"/>
    </w:rPr>
  </w:style>
  <w:style w:type="paragraph" w:styleId="EndnoteText">
    <w:name w:val="endnote text"/>
    <w:basedOn w:val="Normal"/>
    <w:link w:val="Style10"/>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IndexHeading">
    <w:name w:val="index heading"/>
    <w:basedOn w:val="user3"/>
    <w:pPr/>
    <w:rPr/>
  </w:style>
  <w:style w:type="paragraph" w:styleId="TOCHeading">
    <w:name w:val="TOC Heading"/>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link w:val="Style12"/>
    <w:pPr>
      <w:ind w:firstLine="709"/>
      <w:jc w:val="both"/>
    </w:pPr>
    <w:rPr>
      <w:rFonts w:eastAsia="Calibri"/>
      <w:lang w:val="en-US"/>
    </w:rPr>
  </w:style>
  <w:style w:type="paragraph" w:styleId="ConsPlusNormal1">
    <w:name w:val="ConsPlusNormal"/>
    <w:link w:val="ConsPlusNormal"/>
    <w:qFormat/>
    <w:pPr>
      <w:widowControl w:val="false"/>
      <w:suppressAutoHyphens w:val="true"/>
      <w:kinsoku w:val="true"/>
      <w:overflowPunct w:val="true"/>
      <w:autoSpaceDE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kinsoku w:val="true"/>
      <w:overflowPunct w:val="true"/>
      <w:autoSpaceDE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pPr>
      <w:tabs>
        <w:tab w:val="clear" w:pos="708"/>
        <w:tab w:val="center" w:pos="4677" w:leader="none"/>
        <w:tab w:val="right" w:pos="9355" w:leader="none"/>
      </w:tabs>
    </w:pPr>
    <w:rPr/>
  </w:style>
  <w:style w:type="paragraph" w:styleId="Footer">
    <w:name w:val="footer"/>
    <w:basedOn w:val="Normal"/>
    <w:link w:val="Style14"/>
    <w:pPr>
      <w:tabs>
        <w:tab w:val="clear" w:pos="708"/>
        <w:tab w:val="center" w:pos="4677" w:leader="none"/>
        <w:tab w:val="right" w:pos="9355" w:leader="none"/>
      </w:tabs>
    </w:pPr>
    <w:rPr/>
  </w:style>
  <w:style w:type="paragraph" w:styleId="CommentText">
    <w:name w:val="annotation text"/>
    <w:basedOn w:val="Normal"/>
    <w:link w:val="Style15"/>
    <w:pPr/>
    <w:rPr/>
  </w:style>
  <w:style w:type="paragraph" w:styleId="annotationsubject">
    <w:name w:val="annotation subject"/>
    <w:basedOn w:val="CommentText"/>
    <w:next w:val="CommentText"/>
    <w:link w:val="Style16"/>
    <w:qFormat/>
    <w:pPr/>
    <w:rPr>
      <w:b/>
      <w:bCs/>
    </w:rPr>
  </w:style>
  <w:style w:type="paragraph" w:styleId="BalloonText">
    <w:name w:val="Balloon Text"/>
    <w:basedOn w:val="Normal"/>
    <w:link w:val="Style17"/>
    <w:qFormat/>
    <w:pPr/>
    <w:rPr>
      <w:rFonts w:ascii="Tahoma" w:hAnsi="Tahoma" w:cs="Tahoma"/>
      <w:sz w:val="16"/>
      <w:szCs w:val="16"/>
    </w:rPr>
  </w:style>
  <w:style w:type="paragraph" w:styleId="NoSpacing">
    <w:name w:val="No Spacing"/>
    <w:link w:val="Style18"/>
    <w:qFormat/>
    <w:pPr>
      <w:widowControl/>
      <w:suppressAutoHyphens w:val="true"/>
      <w:kinsoku w:val="true"/>
      <w:overflowPunct w:val="true"/>
      <w:autoSpaceDE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kinsoku w:val="true"/>
      <w:overflowPunct w:val="true"/>
      <w:autoSpaceDE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kinsoku w:val="true"/>
      <w:overflowPunct w:val="true"/>
      <w:autoSpaceDE w:val="true"/>
      <w:bidi w:val="0"/>
      <w:spacing w:before="0" w:after="0"/>
      <w:jc w:val="left"/>
    </w:pPr>
    <w:rPr>
      <w:rFonts w:ascii="Trebuchet MS" w:hAnsi="Trebuchet MS" w:eastAsia="Calibri" w:cs="Trebuchet MS"/>
      <w:color w:val="000000"/>
      <w:kern w:val="0"/>
      <w:sz w:val="24"/>
      <w:szCs w:val="24"/>
      <w:lang w:val="ru-RU" w:eastAsia="zh-CN" w:bidi="ar-SA"/>
    </w:rPr>
  </w:style>
  <w:style w:type="paragraph" w:styleId="Style23">
    <w:name w:val="Содержимое таблицы"/>
    <w:basedOn w:val="Normal"/>
    <w:qFormat/>
    <w:pPr>
      <w:widowControl w:val="false"/>
      <w:suppressLineNumbers/>
    </w:pPr>
    <w:rPr/>
  </w:style>
  <w:style w:type="numbering" w:styleId="user8">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213</TotalTime>
  <Application>LibreOffice/25.2.6.2$Linux_X86_64 LibreOffice_project/520$Build-2</Application>
  <AppVersion>15.0000</AppVersion>
  <Pages>8</Pages>
  <Words>3332</Words>
  <Characters>24007</Characters>
  <CharactersWithSpaces>27859</CharactersWithSpaces>
  <Paragraphs>213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2026-08-19T13:59:48Z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