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2.png" ContentType="image/png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PT Astra Serif" w:hAnsi="PT Astra Serif" w:eastAsia="Calibri"/>
          <w:b/>
          <w:lang w:eastAsia="en-US"/>
        </w:rPr>
      </w:pPr>
      <w:r>
        <w:rPr>
          <w:rFonts w:eastAsia="Calibri" w:ascii="PT Astra Serif" w:hAnsi="PT Astra Serif"/>
          <w:b/>
          <w:lang w:eastAsia="en-US"/>
        </w:rPr>
        <w:t>Обоснование начальной (максимальной) цены контракта, начальных цен единиц товара, работы, услуги</w:t>
      </w:r>
    </w:p>
    <w:p>
      <w:pPr>
        <w:pStyle w:val="Normal"/>
        <w:jc w:val="center"/>
        <w:rPr>
          <w:rFonts w:ascii="PT Astra Serif" w:hAnsi="PT Astra Serif"/>
        </w:rPr>
      </w:pPr>
      <w:r>
        <w:rPr>
          <w:rFonts w:ascii="PT Astra Serif" w:hAnsi="PT Astra Serif"/>
        </w:rPr>
        <w:t>Изделия медицинского назначения (иглы-бабочки)</w:t>
      </w:r>
    </w:p>
    <w:tbl>
      <w:tblPr>
        <w:tblW w:w="15025" w:type="dxa"/>
        <w:jc w:val="left"/>
        <w:tblInd w:w="0" w:type="dxa"/>
        <w:tblLayout w:type="fixed"/>
        <w:tblCellMar>
          <w:top w:w="0" w:type="dxa"/>
          <w:left w:w="28" w:type="dxa"/>
          <w:bottom w:w="0" w:type="dxa"/>
          <w:right w:w="28" w:type="dxa"/>
        </w:tblCellMar>
        <w:tblLook w:firstRow="0" w:noVBand="0" w:lastRow="0" w:firstColumn="0" w:lastColumn="0" w:noHBand="0" w:val="0000"/>
      </w:tblPr>
      <w:tblGrid>
        <w:gridCol w:w="1259"/>
        <w:gridCol w:w="13765"/>
      </w:tblGrid>
      <w:tr>
        <w:trPr/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ind w:hanging="0" w:left="0"/>
              <w:jc w:val="both"/>
              <w:outlineLvl w:val="1"/>
              <w:rPr>
                <w:rFonts w:ascii="PT Astra Serif" w:hAnsi="PT Astra Serif"/>
                <w:bCs/>
                <w:sz w:val="18"/>
                <w:szCs w:val="18"/>
              </w:rPr>
            </w:pPr>
            <w:r>
              <w:rPr>
                <w:rFonts w:ascii="PT Astra Serif" w:hAnsi="PT Astra Serif"/>
                <w:bCs/>
                <w:sz w:val="18"/>
                <w:szCs w:val="18"/>
              </w:rPr>
              <w:t>Основные характеристики объекта закупки</w:t>
            </w:r>
          </w:p>
        </w:tc>
        <w:tc>
          <w:tcPr>
            <w:tcW w:w="1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ind w:hanging="0" w:left="0"/>
              <w:jc w:val="both"/>
              <w:outlineLvl w:val="1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 соответствии с Описанием объекта закупки</w:t>
            </w:r>
          </w:p>
        </w:tc>
      </w:tr>
      <w:tr>
        <w:trPr/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ind w:hanging="0" w:left="0"/>
              <w:jc w:val="both"/>
              <w:outlineLvl w:val="1"/>
              <w:rPr>
                <w:rFonts w:ascii="PT Astra Serif" w:hAnsi="PT Astra Serif"/>
                <w:bCs/>
                <w:sz w:val="18"/>
                <w:szCs w:val="18"/>
              </w:rPr>
            </w:pPr>
            <w:r>
              <w:rPr>
                <w:rFonts w:ascii="PT Astra Serif" w:hAnsi="PT Astra Serif"/>
                <w:bCs/>
                <w:sz w:val="18"/>
                <w:szCs w:val="18"/>
              </w:rPr>
              <w:t>Используемый метод определения с обоснованием:</w:t>
            </w:r>
          </w:p>
        </w:tc>
        <w:tc>
          <w:tcPr>
            <w:tcW w:w="1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rFonts w:ascii="PT Astra Serif" w:hAnsi="PT Astra Serif"/>
                <w:b/>
                <w:sz w:val="18"/>
                <w:szCs w:val="18"/>
                <w:shd w:fill="FFFFFF" w:val="clear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 xml:space="preserve">Определение НМЦК в соответствии с ч.22 ст.22 Федерального закона от 05.04.2013 №44-ФЗ, на основании Приказа Минздрава России от 15.05.2020 №450н «Об утверждении порядка определения начальной (максимальной) цены </w:t>
            </w:r>
            <w:r>
              <w:rPr>
                <w:rFonts w:ascii="PT Astra Serif" w:hAnsi="PT Astra Serif"/>
                <w:b/>
                <w:sz w:val="18"/>
                <w:szCs w:val="18"/>
                <w:shd w:fill="FFFFFF" w:val="clear"/>
              </w:rPr>
              <w:t>контракта, цены контракта, заключаемого с единственным поставщиком (подрядчиком, исполнителем), и начальной цены единицы товара, работы, услуги при осуществлении закупок медицинских изделий».</w:t>
            </w:r>
          </w:p>
        </w:tc>
      </w:tr>
      <w:tr>
        <w:trPr/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ind w:hanging="0" w:left="0"/>
              <w:jc w:val="both"/>
              <w:outlineLvl w:val="1"/>
              <w:rPr>
                <w:rFonts w:ascii="PT Astra Serif" w:hAnsi="PT Astra Serif"/>
                <w:bCs/>
                <w:sz w:val="18"/>
                <w:szCs w:val="18"/>
              </w:rPr>
            </w:pPr>
            <w:r>
              <w:rPr>
                <w:rFonts w:ascii="PT Astra Serif" w:hAnsi="PT Astra Serif"/>
                <w:bCs/>
                <w:sz w:val="18"/>
                <w:szCs w:val="18"/>
              </w:rPr>
              <w:t>Расчёт</w:t>
            </w:r>
          </w:p>
        </w:tc>
        <w:tc>
          <w:tcPr>
            <w:tcW w:w="1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left="57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 соответствии с п. 12 Приказа Минздрава России от 15.05.2020 №450н расчет начальной цены единицы медицинского изделия, цены единицы медицинского изделия, для которого в эксплуатационной документации производителя (изготовителя) не предусмотрено использование расходных материалов и проведение технического обслуживания в период гарантийного срока его эксплуатации, осуществляется по формуле:</w:t>
            </w:r>
          </w:p>
          <w:p>
            <w:pPr>
              <w:pStyle w:val="Normal"/>
              <w:ind w:left="57"/>
              <w:rPr>
                <w:rFonts w:ascii="PT Astra Serif" w:hAnsi="PT Astra Serif"/>
                <w:sz w:val="18"/>
                <w:szCs w:val="18"/>
              </w:rPr>
            </w:pPr>
            <w:r>
              <w:rPr/>
              <w:drawing>
                <wp:inline distT="0" distB="0" distL="0" distR="0">
                  <wp:extent cx="1228090" cy="257175"/>
                  <wp:effectExtent l="0" t="0" r="0" b="0"/>
                  <wp:docPr id="1" name="Рисунок 1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090" cy="257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PT Astra Serif" w:hAnsi="PT Astra Serif"/>
                <w:sz w:val="18"/>
                <w:szCs w:val="18"/>
              </w:rPr>
              <w:t xml:space="preserve">где: НЦЕ – начальная цена единицы медицинского изделия, без учета НДС; ЦЕМ – цена едицины медицинского изделия, без учета НДС; </w:t>
            </w:r>
            <w:r>
              <w:rPr>
                <w:rFonts w:ascii="PT Astra Serif" w:hAnsi="PT Astra Serif"/>
                <w:sz w:val="18"/>
                <w:szCs w:val="18"/>
                <w:lang w:val="en-US"/>
              </w:rPr>
              <w:t>n</w:t>
            </w:r>
            <w:r>
              <w:rPr>
                <w:rFonts w:ascii="PT Astra Serif" w:hAnsi="PT Astra Serif"/>
                <w:sz w:val="18"/>
                <w:szCs w:val="18"/>
              </w:rPr>
              <w:t xml:space="preserve"> – количество значений информации о цене единицы </w:t>
            </w:r>
            <w:r>
              <w:rPr>
                <w:rFonts w:ascii="PT Astra Serif" w:hAnsi="PT Astra Serif"/>
                <w:sz w:val="18"/>
                <w:szCs w:val="18"/>
                <w:lang w:val="en-US"/>
              </w:rPr>
              <w:t>i</w:t>
            </w:r>
            <w:r>
              <w:rPr>
                <w:rFonts w:ascii="PT Astra Serif" w:hAnsi="PT Astra Serif"/>
                <w:sz w:val="18"/>
                <w:szCs w:val="18"/>
              </w:rPr>
              <w:t xml:space="preserve">-го медицинского изделия; </w:t>
            </w:r>
            <w:r>
              <w:rPr>
                <w:rFonts w:ascii="PT Astra Serif" w:hAnsi="PT Astra Serif"/>
                <w:sz w:val="18"/>
                <w:szCs w:val="18"/>
                <w:lang w:val="en-US"/>
              </w:rPr>
              <w:t>i</w:t>
            </w:r>
            <w:r>
              <w:rPr>
                <w:rFonts w:ascii="PT Astra Serif" w:hAnsi="PT Astra Serif"/>
                <w:sz w:val="18"/>
                <w:szCs w:val="18"/>
              </w:rPr>
              <w:t xml:space="preserve"> – номер информации о цене; ц</w:t>
            </w:r>
            <w:r>
              <w:rPr>
                <w:rFonts w:ascii="PT Astra Serif" w:hAnsi="PT Astra Serif"/>
                <w:sz w:val="18"/>
                <w:szCs w:val="18"/>
                <w:vertAlign w:val="subscript"/>
                <w:lang w:val="en-US"/>
              </w:rPr>
              <w:t>i</w:t>
            </w:r>
            <w:r>
              <w:rPr>
                <w:rFonts w:ascii="PT Astra Serif" w:hAnsi="PT Astra Serif"/>
                <w:sz w:val="18"/>
                <w:szCs w:val="18"/>
                <w:vertAlign w:val="subscript"/>
              </w:rPr>
              <w:t xml:space="preserve"> </w:t>
            </w:r>
            <w:r>
              <w:rPr>
                <w:rFonts w:ascii="PT Astra Serif" w:hAnsi="PT Astra Serif"/>
                <w:sz w:val="18"/>
                <w:szCs w:val="18"/>
              </w:rPr>
              <w:t xml:space="preserve">– цена единицы </w:t>
            </w:r>
            <w:r>
              <w:rPr>
                <w:rFonts w:ascii="PT Astra Serif" w:hAnsi="PT Astra Serif"/>
                <w:sz w:val="18"/>
                <w:szCs w:val="18"/>
                <w:lang w:val="en-US"/>
              </w:rPr>
              <w:t>i</w:t>
            </w:r>
            <w:r>
              <w:rPr>
                <w:rFonts w:ascii="PT Astra Serif" w:hAnsi="PT Astra Serif"/>
                <w:sz w:val="18"/>
                <w:szCs w:val="18"/>
              </w:rPr>
              <w:t>-го медицинского изделия, без учета НДС.</w:t>
            </w:r>
          </w:p>
          <w:p>
            <w:pPr>
              <w:pStyle w:val="Normal"/>
              <w:ind w:left="57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 соответствии с п. 17 Приказа Минздрава России от 15.05.2020 №450н расчет начальной (максимальной) цены контракта (НМЦК), в том числе при осуществлении закупки у единственного поставщика (подрядчика, исполнителя), осуществляется по формуле:</w:t>
            </w:r>
          </w:p>
          <w:p>
            <w:pPr>
              <w:pStyle w:val="Normal"/>
              <w:ind w:left="57"/>
              <w:rPr>
                <w:rFonts w:ascii="PT Astra Serif" w:hAnsi="PT Astra Serif"/>
                <w:sz w:val="18"/>
                <w:szCs w:val="18"/>
              </w:rPr>
            </w:pPr>
            <w:r>
              <w:rPr/>
              <w:drawing>
                <wp:inline distT="0" distB="0" distL="0" distR="0">
                  <wp:extent cx="1760855" cy="175895"/>
                  <wp:effectExtent l="0" t="0" r="0" b="0"/>
                  <wp:docPr id="2" name="Изображение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Изображение2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0855" cy="1758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PT Astra Serif" w:hAnsi="PT Astra Serif"/>
                <w:sz w:val="18"/>
                <w:szCs w:val="18"/>
              </w:rPr>
              <w:t xml:space="preserve">где: </w:t>
            </w:r>
            <w:r>
              <w:rPr>
                <w:rFonts w:ascii="PT Astra Serif" w:hAnsi="PT Astra Serif"/>
                <w:sz w:val="18"/>
                <w:szCs w:val="18"/>
                <w:lang w:val="en-US"/>
              </w:rPr>
              <w:t>n</w:t>
            </w:r>
            <w:r>
              <w:rPr>
                <w:rFonts w:ascii="PT Astra Serif" w:hAnsi="PT Astra Serif"/>
                <w:sz w:val="18"/>
                <w:szCs w:val="18"/>
              </w:rPr>
              <w:t>- количество позиций закупаемых медицинских изделий; НЦЕ</w:t>
            </w:r>
            <w:r>
              <w:rPr>
                <w:rFonts w:ascii="PT Astra Serif" w:hAnsi="PT Astra Serif"/>
                <w:sz w:val="18"/>
                <w:szCs w:val="18"/>
                <w:lang w:val="en-US"/>
              </w:rPr>
              <w:t>i</w:t>
            </w:r>
            <w:r>
              <w:rPr>
                <w:rFonts w:ascii="PT Astra Serif" w:hAnsi="PT Astra Serif"/>
                <w:sz w:val="18"/>
                <w:szCs w:val="18"/>
              </w:rPr>
              <w:t xml:space="preserve"> – начальная цена единицы </w:t>
            </w:r>
            <w:r>
              <w:rPr>
                <w:rFonts w:ascii="PT Astra Serif" w:hAnsi="PT Astra Serif"/>
                <w:sz w:val="18"/>
                <w:szCs w:val="18"/>
                <w:lang w:val="en-US"/>
              </w:rPr>
              <w:t>i</w:t>
            </w:r>
            <w:r>
              <w:rPr>
                <w:rFonts w:ascii="PT Astra Serif" w:hAnsi="PT Astra Serif"/>
                <w:sz w:val="18"/>
                <w:szCs w:val="18"/>
              </w:rPr>
              <w:t>-й позиции медицинского изделия, определяемая в соответствии с настоящим порядком (по применимости); НДС – налог на добавленную стоимость (</w:t>
            </w:r>
            <w:r>
              <w:rPr>
                <w:rFonts w:eastAsia="BatangChe" w:ascii="PT Astra Serif" w:hAnsi="PT Astra Serif"/>
                <w:i/>
                <w:sz w:val="18"/>
                <w:szCs w:val="18"/>
              </w:rPr>
              <w:t>на основании п. п. 1 п. 2 ст. 149 Налогового кодекса, в соответствии с постановлением Правительства Российской Федерации от 30 сентября 2015 г. №1042 данные медицинские изделия не облагаются НДС</w:t>
            </w:r>
            <w:r>
              <w:rPr>
                <w:rFonts w:ascii="PT Astra Serif" w:hAnsi="PT Astra Serif"/>
                <w:sz w:val="18"/>
                <w:szCs w:val="18"/>
              </w:rPr>
              <w:t xml:space="preserve">); </w:t>
            </w:r>
            <w:r>
              <w:rPr>
                <w:rFonts w:ascii="PT Astra Serif" w:hAnsi="PT Astra Serif"/>
                <w:sz w:val="18"/>
                <w:szCs w:val="18"/>
                <w:lang w:val="en-US"/>
              </w:rPr>
              <w:t>Vi</w:t>
            </w:r>
            <w:r>
              <w:rPr>
                <w:rFonts w:ascii="PT Astra Serif" w:hAnsi="PT Astra Serif"/>
                <w:sz w:val="18"/>
                <w:szCs w:val="18"/>
              </w:rPr>
              <w:t xml:space="preserve"> – количество (объем) </w:t>
            </w:r>
            <w:r>
              <w:rPr>
                <w:rFonts w:ascii="PT Astra Serif" w:hAnsi="PT Astra Serif"/>
                <w:sz w:val="18"/>
                <w:szCs w:val="18"/>
                <w:lang w:val="en-US"/>
              </w:rPr>
              <w:t>i</w:t>
            </w:r>
            <w:r>
              <w:rPr>
                <w:rFonts w:ascii="PT Astra Serif" w:hAnsi="PT Astra Serif"/>
                <w:sz w:val="18"/>
                <w:szCs w:val="18"/>
              </w:rPr>
              <w:t>-й позиции закупаемого медицинского изделия.</w:t>
            </w:r>
          </w:p>
          <w:p>
            <w:pPr>
              <w:pStyle w:val="Normal"/>
              <w:ind w:left="57"/>
              <w:jc w:val="both"/>
              <w:rPr>
                <w:rFonts w:ascii="PT Astra Serif" w:hAnsi="PT Astra Serif" w:cs="Helvetica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Для формирования НМЦК принята информация об исполненных контрактах из ЕИС.</w:t>
            </w:r>
          </w:p>
          <w:p>
            <w:pPr>
              <w:pStyle w:val="Normal"/>
              <w:ind w:left="57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1) Поставщик №1 – коммерческое предложение от 09.07.2026 г. № 648;</w:t>
            </w:r>
          </w:p>
          <w:p>
            <w:pPr>
              <w:pStyle w:val="Normal"/>
              <w:ind w:left="57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2) Поставщик №2 – информация из реестра контрактов, контракт в ЕИС № 2583501398625000518;</w:t>
            </w:r>
          </w:p>
          <w:p>
            <w:pPr>
              <w:pStyle w:val="Normal"/>
              <w:ind w:left="57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3) Поставщик №3 – информация из реестра контрактов, контракт в ЕИС № 2772605038926000067</w:t>
            </w:r>
          </w:p>
          <w:p>
            <w:pPr>
              <w:pStyle w:val="Normal"/>
              <w:ind w:left="57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Применение корректирующих коэффициентов не требуется.  Коэффициент вариации не превышает 33%.</w:t>
            </w:r>
          </w:p>
          <w:tbl>
            <w:tblPr>
              <w:tblW w:w="13665" w:type="dxa"/>
              <w:jc w:val="left"/>
              <w:tblInd w:w="0" w:type="dxa"/>
              <w:tblLayout w:type="fixed"/>
              <w:tblCellMar>
                <w:top w:w="28" w:type="dxa"/>
                <w:left w:w="28" w:type="dxa"/>
                <w:bottom w:w="0" w:type="dxa"/>
                <w:right w:w="28" w:type="dxa"/>
              </w:tblCellMar>
            </w:tblPr>
            <w:tblGrid>
              <w:gridCol w:w="505"/>
              <w:gridCol w:w="2252"/>
              <w:gridCol w:w="498"/>
              <w:gridCol w:w="750"/>
              <w:gridCol w:w="780"/>
              <w:gridCol w:w="794"/>
              <w:gridCol w:w="855"/>
              <w:gridCol w:w="736"/>
              <w:gridCol w:w="1139"/>
              <w:gridCol w:w="961"/>
              <w:gridCol w:w="735"/>
              <w:gridCol w:w="959"/>
              <w:gridCol w:w="1260"/>
              <w:gridCol w:w="1440"/>
            </w:tblGrid>
            <w:tr>
              <w:trPr/>
              <w:tc>
                <w:tcPr>
                  <w:tcW w:w="505" w:type="dxa"/>
                  <w:vMerge w:val="restart"/>
                  <w:tcBorders>
                    <w:top w:val="single" w:sz="2" w:space="0" w:color="000000"/>
                    <w:left w:val="single" w:sz="2" w:space="0" w:color="000000"/>
                    <w:right w:val="single" w:sz="2" w:space="0" w:color="000000"/>
                  </w:tcBorders>
                  <w:vAlign w:val="center"/>
                </w:tcPr>
                <w:p>
                  <w:pPr>
                    <w:pStyle w:val="Style22"/>
                    <w:ind w:hanging="0" w:left="0" w:right="0"/>
                    <w:jc w:val="left"/>
                    <w:rPr>
                      <w:rFonts w:ascii="PT Astra Serif" w:hAnsi="PT Astra Serif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color w:val="000000"/>
                      <w:sz w:val="18"/>
                      <w:szCs w:val="18"/>
                    </w:rPr>
                    <w:t xml:space="preserve">№ </w:t>
                  </w:r>
                  <w:r>
                    <w:rPr>
                      <w:rFonts w:ascii="PT Astra Serif" w:hAnsi="PT Astra Serif"/>
                      <w:b/>
                      <w:color w:val="000000"/>
                      <w:sz w:val="18"/>
                      <w:szCs w:val="18"/>
                    </w:rPr>
                    <w:t>п/п</w:t>
                  </w:r>
                </w:p>
              </w:tc>
              <w:tc>
                <w:tcPr>
                  <w:tcW w:w="2252" w:type="dxa"/>
                  <w:vMerge w:val="restart"/>
                  <w:tcBorders>
                    <w:top w:val="single" w:sz="2" w:space="0" w:color="000000"/>
                    <w:left w:val="single" w:sz="2" w:space="0" w:color="000000"/>
                    <w:right w:val="single" w:sz="2" w:space="0" w:color="000000"/>
                  </w:tcBorders>
                  <w:vAlign w:val="center"/>
                </w:tcPr>
                <w:p>
                  <w:pPr>
                    <w:pStyle w:val="Style22"/>
                    <w:ind w:hanging="0" w:left="0" w:right="0"/>
                    <w:jc w:val="left"/>
                    <w:rPr>
                      <w:rFonts w:ascii="PT Astra Serif" w:hAnsi="PT Astra Serif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b/>
                      <w:color w:val="000000"/>
                      <w:sz w:val="18"/>
                      <w:szCs w:val="18"/>
                    </w:rPr>
                    <w:t>Наименование товара</w:t>
                  </w:r>
                </w:p>
              </w:tc>
              <w:tc>
                <w:tcPr>
                  <w:tcW w:w="498" w:type="dxa"/>
                  <w:vMerge w:val="restart"/>
                  <w:tcBorders>
                    <w:top w:val="single" w:sz="2" w:space="0" w:color="000000"/>
                    <w:right w:val="single" w:sz="2" w:space="0" w:color="000000"/>
                  </w:tcBorders>
                  <w:tcMar>
                    <w:left w:w="0" w:type="dxa"/>
                  </w:tcMar>
                  <w:vAlign w:val="center"/>
                </w:tcPr>
                <w:p>
                  <w:pPr>
                    <w:pStyle w:val="Style22"/>
                    <w:ind w:hanging="0" w:left="0" w:right="0"/>
                    <w:jc w:val="center"/>
                    <w:rPr>
                      <w:rFonts w:ascii="PT Astra Serif" w:hAnsi="PT Astra Serif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b/>
                      <w:color w:val="000000"/>
                      <w:sz w:val="18"/>
                      <w:szCs w:val="18"/>
                    </w:rPr>
                    <w:t>Ед. изм.</w:t>
                  </w:r>
                </w:p>
              </w:tc>
              <w:tc>
                <w:tcPr>
                  <w:tcW w:w="750" w:type="dxa"/>
                  <w:vMerge w:val="restart"/>
                  <w:tcBorders>
                    <w:top w:val="single" w:sz="2" w:space="0" w:color="000000"/>
                    <w:left w:val="single" w:sz="2" w:space="0" w:color="000000"/>
                    <w:right w:val="single" w:sz="2" w:space="0" w:color="000000"/>
                  </w:tcBorders>
                  <w:vAlign w:val="center"/>
                </w:tcPr>
                <w:p>
                  <w:pPr>
                    <w:pStyle w:val="Style22"/>
                    <w:ind w:hanging="0" w:left="0" w:right="0"/>
                    <w:jc w:val="center"/>
                    <w:rPr>
                      <w:rFonts w:ascii="PT Astra Serif" w:hAnsi="PT Astra Serif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b/>
                      <w:color w:val="000000"/>
                      <w:sz w:val="18"/>
                      <w:szCs w:val="18"/>
                    </w:rPr>
                    <w:t>Кол-во</w:t>
                  </w:r>
                </w:p>
              </w:tc>
              <w:tc>
                <w:tcPr>
                  <w:tcW w:w="2429" w:type="dxa"/>
                  <w:gridSpan w:val="3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bottom w:w="28" w:type="dxa"/>
                  </w:tcMar>
                  <w:vAlign w:val="center"/>
                </w:tcPr>
                <w:p>
                  <w:pPr>
                    <w:pStyle w:val="Style22"/>
                    <w:ind w:hanging="0" w:left="0" w:right="0"/>
                    <w:jc w:val="center"/>
                    <w:rPr>
                      <w:rFonts w:ascii="PT Astra Serif" w:hAnsi="PT Astra Serif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b/>
                      <w:color w:val="000000"/>
                      <w:sz w:val="18"/>
                      <w:szCs w:val="18"/>
                    </w:rPr>
                    <w:t>Цена за единицу товара, руб.</w:t>
                  </w:r>
                </w:p>
              </w:tc>
              <w:tc>
                <w:tcPr>
                  <w:tcW w:w="736" w:type="dxa"/>
                  <w:vMerge w:val="restart"/>
                  <w:tcBorders>
                    <w:top w:val="single" w:sz="2" w:space="0" w:color="000000"/>
                    <w:left w:val="single" w:sz="2" w:space="0" w:color="000000"/>
                    <w:right w:val="single" w:sz="2" w:space="0" w:color="000000"/>
                  </w:tcBorders>
                  <w:vAlign w:val="center"/>
                </w:tcPr>
                <w:p>
                  <w:pPr>
                    <w:pStyle w:val="Style22"/>
                    <w:ind w:hanging="0" w:left="0" w:right="0"/>
                    <w:jc w:val="center"/>
                    <w:rPr>
                      <w:rFonts w:ascii="PT Astra Serif" w:hAnsi="PT Astra Serif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b/>
                      <w:color w:val="000000"/>
                      <w:sz w:val="18"/>
                      <w:szCs w:val="18"/>
                    </w:rPr>
                    <w:t>НЦЕ, руб</w:t>
                  </w:r>
                </w:p>
              </w:tc>
              <w:tc>
                <w:tcPr>
                  <w:tcW w:w="1139" w:type="dxa"/>
                  <w:vMerge w:val="restart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bottom w:w="28" w:type="dxa"/>
                  </w:tcMar>
                  <w:vAlign w:val="center"/>
                </w:tcPr>
                <w:p>
                  <w:pPr>
                    <w:pStyle w:val="Style22"/>
                    <w:ind w:hanging="0" w:left="0" w:right="0"/>
                    <w:jc w:val="center"/>
                    <w:rPr>
                      <w:rFonts w:ascii="PT Astra Serif" w:hAnsi="PT Astra Serif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b/>
                      <w:color w:val="000000"/>
                      <w:sz w:val="18"/>
                      <w:szCs w:val="18"/>
                    </w:rPr>
                    <w:t>НЦЕ со сниж., руб</w:t>
                  </w:r>
                </w:p>
              </w:tc>
              <w:tc>
                <w:tcPr>
                  <w:tcW w:w="961" w:type="dxa"/>
                  <w:vMerge w:val="restart"/>
                  <w:tcBorders>
                    <w:top w:val="single" w:sz="2" w:space="0" w:color="000000"/>
                    <w:left w:val="single" w:sz="2" w:space="0" w:color="000000"/>
                    <w:right w:val="single" w:sz="2" w:space="0" w:color="000000"/>
                  </w:tcBorders>
                  <w:vAlign w:val="center"/>
                </w:tcPr>
                <w:p>
                  <w:pPr>
                    <w:pStyle w:val="Style22"/>
                    <w:ind w:hanging="0" w:left="0" w:right="0"/>
                    <w:jc w:val="center"/>
                    <w:rPr>
                      <w:rFonts w:ascii="PT Astra Serif" w:hAnsi="PT Astra Serif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b/>
                      <w:color w:val="000000"/>
                      <w:sz w:val="18"/>
                      <w:szCs w:val="18"/>
                    </w:rPr>
                    <w:t>Кол-во Постав-щиков</w:t>
                  </w:r>
                </w:p>
              </w:tc>
              <w:tc>
                <w:tcPr>
                  <w:tcW w:w="735" w:type="dxa"/>
                  <w:vMerge w:val="restart"/>
                  <w:tcBorders>
                    <w:top w:val="single" w:sz="2" w:space="0" w:color="000000"/>
                    <w:left w:val="single" w:sz="2" w:space="0" w:color="000000"/>
                    <w:right w:val="single" w:sz="2" w:space="0" w:color="000000"/>
                  </w:tcBorders>
                  <w:vAlign w:val="center"/>
                </w:tcPr>
                <w:p>
                  <w:pPr>
                    <w:pStyle w:val="Style22"/>
                    <w:ind w:hanging="0" w:left="0" w:right="0"/>
                    <w:jc w:val="center"/>
                    <w:rPr>
                      <w:rFonts w:ascii="PT Astra Serif" w:hAnsi="PT Astra Serif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b/>
                      <w:color w:val="000000"/>
                      <w:sz w:val="18"/>
                      <w:szCs w:val="18"/>
                    </w:rPr>
                    <w:t>σ</w:t>
                  </w:r>
                </w:p>
              </w:tc>
              <w:tc>
                <w:tcPr>
                  <w:tcW w:w="959" w:type="dxa"/>
                  <w:vMerge w:val="restart"/>
                  <w:tcBorders>
                    <w:top w:val="single" w:sz="2" w:space="0" w:color="000000"/>
                    <w:left w:val="single" w:sz="2" w:space="0" w:color="000000"/>
                    <w:right w:val="single" w:sz="2" w:space="0" w:color="000000"/>
                  </w:tcBorders>
                  <w:vAlign w:val="center"/>
                </w:tcPr>
                <w:p>
                  <w:pPr>
                    <w:pStyle w:val="Style22"/>
                    <w:ind w:hanging="0" w:left="0" w:right="0"/>
                    <w:jc w:val="center"/>
                    <w:rPr>
                      <w:rFonts w:ascii="PT Astra Serif" w:hAnsi="PT Astra Serif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b/>
                      <w:color w:val="000000"/>
                      <w:sz w:val="18"/>
                      <w:szCs w:val="18"/>
                    </w:rPr>
                    <w:t>Коэф-т вариации, %</w:t>
                  </w:r>
                </w:p>
              </w:tc>
              <w:tc>
                <w:tcPr>
                  <w:tcW w:w="1260" w:type="dxa"/>
                  <w:vMerge w:val="restart"/>
                  <w:tcBorders>
                    <w:top w:val="single" w:sz="2" w:space="0" w:color="000000"/>
                    <w:left w:val="single" w:sz="2" w:space="0" w:color="000000"/>
                    <w:right w:val="single" w:sz="2" w:space="0" w:color="000000"/>
                  </w:tcBorders>
                  <w:vAlign w:val="center"/>
                </w:tcPr>
                <w:p>
                  <w:pPr>
                    <w:pStyle w:val="Style22"/>
                    <w:ind w:hanging="0" w:left="0" w:right="0"/>
                    <w:jc w:val="center"/>
                    <w:rPr>
                      <w:rFonts w:ascii="PT Astra Serif" w:hAnsi="PT Astra Serif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b/>
                      <w:color w:val="000000"/>
                      <w:sz w:val="18"/>
                      <w:szCs w:val="18"/>
                    </w:rPr>
                    <w:t>НМЦК по ср.цене, руб.</w:t>
                  </w:r>
                </w:p>
              </w:tc>
              <w:tc>
                <w:tcPr>
                  <w:tcW w:w="1440" w:type="dxa"/>
                  <w:vMerge w:val="restart"/>
                  <w:tcBorders>
                    <w:top w:val="single" w:sz="2" w:space="0" w:color="000000"/>
                    <w:left w:val="single" w:sz="2" w:space="0" w:color="000000"/>
                    <w:right w:val="single" w:sz="2" w:space="0" w:color="000000"/>
                  </w:tcBorders>
                  <w:vAlign w:val="center"/>
                </w:tcPr>
                <w:p>
                  <w:pPr>
                    <w:pStyle w:val="Style22"/>
                    <w:ind w:hanging="0" w:left="0" w:right="0"/>
                    <w:jc w:val="center"/>
                    <w:rPr>
                      <w:rFonts w:ascii="PT Astra Serif" w:hAnsi="PT Astra Serif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b/>
                      <w:color w:val="000000"/>
                      <w:sz w:val="18"/>
                      <w:szCs w:val="18"/>
                    </w:rPr>
                    <w:t>НМЦК по п.18 Приказа МЗ РФ от 15.05.2020 №450н, руб</w:t>
                  </w:r>
                </w:p>
              </w:tc>
            </w:tr>
            <w:tr>
              <w:trPr/>
              <w:tc>
                <w:tcPr>
                  <w:tcW w:w="505" w:type="dxa"/>
                  <w:vMerge w:val="continue"/>
                  <w:tcBorders>
                    <w:top w:val="single" w:sz="2" w:space="0" w:color="000000"/>
                    <w:left w:val="single" w:sz="2" w:space="0" w:color="000000"/>
                    <w:right w:val="single" w:sz="2" w:space="0" w:color="000000"/>
                  </w:tcBorders>
                  <w:vAlign w:val="center"/>
                </w:tcPr>
                <w:p>
                  <w:pPr>
                    <w:pStyle w:val="Style22"/>
                    <w:rPr>
                      <w:rFonts w:ascii="PT Astra Serif" w:hAnsi="PT Astra Serif"/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sz w:val="18"/>
                      <w:szCs w:val="18"/>
                    </w:rPr>
                  </w:r>
                </w:p>
              </w:tc>
              <w:tc>
                <w:tcPr>
                  <w:tcW w:w="2252" w:type="dxa"/>
                  <w:vMerge w:val="continue"/>
                  <w:tcBorders>
                    <w:top w:val="single" w:sz="2" w:space="0" w:color="000000"/>
                    <w:left w:val="single" w:sz="2" w:space="0" w:color="000000"/>
                    <w:right w:val="single" w:sz="2" w:space="0" w:color="000000"/>
                  </w:tcBorders>
                  <w:vAlign w:val="center"/>
                </w:tcPr>
                <w:p>
                  <w:pPr>
                    <w:pStyle w:val="Style22"/>
                    <w:rPr>
                      <w:rFonts w:ascii="PT Astra Serif" w:hAnsi="PT Astra Serif"/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sz w:val="18"/>
                      <w:szCs w:val="18"/>
                    </w:rPr>
                  </w:r>
                </w:p>
              </w:tc>
              <w:tc>
                <w:tcPr>
                  <w:tcW w:w="498" w:type="dxa"/>
                  <w:vMerge w:val="continue"/>
                  <w:tcBorders>
                    <w:top w:val="single" w:sz="2" w:space="0" w:color="000000"/>
                    <w:right w:val="single" w:sz="2" w:space="0" w:color="000000"/>
                  </w:tcBorders>
                  <w:tcMar>
                    <w:left w:w="0" w:type="dxa"/>
                  </w:tcMar>
                  <w:vAlign w:val="center"/>
                </w:tcPr>
                <w:p>
                  <w:pPr>
                    <w:pStyle w:val="Style22"/>
                    <w:rPr>
                      <w:rFonts w:ascii="PT Astra Serif" w:hAnsi="PT Astra Serif"/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sz w:val="18"/>
                      <w:szCs w:val="18"/>
                    </w:rPr>
                  </w:r>
                </w:p>
              </w:tc>
              <w:tc>
                <w:tcPr>
                  <w:tcW w:w="750" w:type="dxa"/>
                  <w:vMerge w:val="continue"/>
                  <w:tcBorders>
                    <w:top w:val="single" w:sz="2" w:space="0" w:color="000000"/>
                    <w:left w:val="single" w:sz="2" w:space="0" w:color="000000"/>
                    <w:right w:val="single" w:sz="2" w:space="0" w:color="000000"/>
                  </w:tcBorders>
                  <w:vAlign w:val="center"/>
                </w:tcPr>
                <w:p>
                  <w:pPr>
                    <w:pStyle w:val="Style22"/>
                    <w:rPr>
                      <w:rFonts w:ascii="PT Astra Serif" w:hAnsi="PT Astra Serif"/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sz w:val="18"/>
                      <w:szCs w:val="18"/>
                    </w:rPr>
                  </w:r>
                </w:p>
              </w:tc>
              <w:tc>
                <w:tcPr>
                  <w:tcW w:w="780" w:type="dxa"/>
                  <w:tcBorders>
                    <w:top w:val="single" w:sz="2" w:space="0" w:color="000000"/>
                    <w:left w:val="single" w:sz="2" w:space="0" w:color="000000"/>
                    <w:right w:val="single" w:sz="2" w:space="0" w:color="000000"/>
                  </w:tcBorders>
                  <w:vAlign w:val="center"/>
                </w:tcPr>
                <w:p>
                  <w:pPr>
                    <w:pStyle w:val="Style22"/>
                    <w:ind w:hanging="0" w:left="0" w:right="0"/>
                    <w:jc w:val="center"/>
                    <w:rPr>
                      <w:rFonts w:ascii="PT Astra Serif" w:hAnsi="PT Astra Serif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color w:val="000000"/>
                      <w:sz w:val="18"/>
                      <w:szCs w:val="18"/>
                    </w:rPr>
                    <w:t>Поставщик №1</w:t>
                  </w:r>
                </w:p>
              </w:tc>
              <w:tc>
                <w:tcPr>
                  <w:tcW w:w="794" w:type="dxa"/>
                  <w:tcBorders>
                    <w:top w:val="single" w:sz="2" w:space="0" w:color="000000"/>
                    <w:left w:val="single" w:sz="2" w:space="0" w:color="000000"/>
                    <w:right w:val="single" w:sz="2" w:space="0" w:color="000000"/>
                  </w:tcBorders>
                  <w:vAlign w:val="center"/>
                </w:tcPr>
                <w:p>
                  <w:pPr>
                    <w:pStyle w:val="Style22"/>
                    <w:ind w:hanging="0" w:left="0" w:right="0"/>
                    <w:jc w:val="center"/>
                    <w:rPr>
                      <w:rFonts w:ascii="PT Astra Serif" w:hAnsi="PT Astra Serif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color w:val="000000"/>
                      <w:sz w:val="18"/>
                      <w:szCs w:val="18"/>
                    </w:rPr>
                    <w:t>Поставщик №2</w:t>
                  </w:r>
                </w:p>
              </w:tc>
              <w:tc>
                <w:tcPr>
                  <w:tcW w:w="855" w:type="dxa"/>
                  <w:tcBorders>
                    <w:top w:val="single" w:sz="2" w:space="0" w:color="000000"/>
                    <w:left w:val="single" w:sz="2" w:space="0" w:color="000000"/>
                    <w:right w:val="single" w:sz="2" w:space="0" w:color="000000"/>
                  </w:tcBorders>
                  <w:vAlign w:val="center"/>
                </w:tcPr>
                <w:p>
                  <w:pPr>
                    <w:pStyle w:val="Style22"/>
                    <w:ind w:hanging="0" w:left="0" w:right="0"/>
                    <w:jc w:val="center"/>
                    <w:rPr>
                      <w:rFonts w:ascii="PT Astra Serif" w:hAnsi="PT Astra Serif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color w:val="000000"/>
                      <w:sz w:val="18"/>
                      <w:szCs w:val="18"/>
                    </w:rPr>
                    <w:t>Поставщик №3</w:t>
                  </w:r>
                </w:p>
              </w:tc>
              <w:tc>
                <w:tcPr>
                  <w:tcW w:w="736" w:type="dxa"/>
                  <w:vMerge w:val="continue"/>
                  <w:tcBorders>
                    <w:top w:val="single" w:sz="2" w:space="0" w:color="000000"/>
                    <w:left w:val="single" w:sz="2" w:space="0" w:color="000000"/>
                    <w:right w:val="single" w:sz="2" w:space="0" w:color="000000"/>
                  </w:tcBorders>
                  <w:vAlign w:val="center"/>
                </w:tcPr>
                <w:p>
                  <w:pPr>
                    <w:pStyle w:val="Style22"/>
                    <w:rPr>
                      <w:rFonts w:ascii="PT Astra Serif" w:hAnsi="PT Astra Serif"/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sz w:val="18"/>
                      <w:szCs w:val="18"/>
                    </w:rPr>
                  </w:r>
                </w:p>
              </w:tc>
              <w:tc>
                <w:tcPr>
                  <w:tcW w:w="1139" w:type="dxa"/>
                  <w:vMerge w:val="continue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bottom w:w="28" w:type="dxa"/>
                  </w:tcMar>
                  <w:vAlign w:val="center"/>
                </w:tcPr>
                <w:p>
                  <w:pPr>
                    <w:pStyle w:val="Style22"/>
                    <w:rPr>
                      <w:rFonts w:ascii="PT Astra Serif" w:hAnsi="PT Astra Serif"/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sz w:val="18"/>
                      <w:szCs w:val="18"/>
                    </w:rPr>
                  </w:r>
                </w:p>
              </w:tc>
              <w:tc>
                <w:tcPr>
                  <w:tcW w:w="961" w:type="dxa"/>
                  <w:vMerge w:val="continue"/>
                  <w:tcBorders>
                    <w:top w:val="single" w:sz="2" w:space="0" w:color="000000"/>
                    <w:left w:val="single" w:sz="2" w:space="0" w:color="000000"/>
                    <w:right w:val="single" w:sz="2" w:space="0" w:color="000000"/>
                  </w:tcBorders>
                  <w:vAlign w:val="center"/>
                </w:tcPr>
                <w:p>
                  <w:pPr>
                    <w:pStyle w:val="Style22"/>
                    <w:rPr>
                      <w:rFonts w:ascii="PT Astra Serif" w:hAnsi="PT Astra Serif"/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sz w:val="18"/>
                      <w:szCs w:val="18"/>
                    </w:rPr>
                  </w:r>
                </w:p>
              </w:tc>
              <w:tc>
                <w:tcPr>
                  <w:tcW w:w="735" w:type="dxa"/>
                  <w:vMerge w:val="continue"/>
                  <w:tcBorders>
                    <w:top w:val="single" w:sz="2" w:space="0" w:color="000000"/>
                    <w:left w:val="single" w:sz="2" w:space="0" w:color="000000"/>
                    <w:right w:val="single" w:sz="2" w:space="0" w:color="000000"/>
                  </w:tcBorders>
                  <w:vAlign w:val="center"/>
                </w:tcPr>
                <w:p>
                  <w:pPr>
                    <w:pStyle w:val="Style22"/>
                    <w:rPr>
                      <w:rFonts w:ascii="PT Astra Serif" w:hAnsi="PT Astra Serif"/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sz w:val="18"/>
                      <w:szCs w:val="18"/>
                    </w:rPr>
                  </w:r>
                </w:p>
              </w:tc>
              <w:tc>
                <w:tcPr>
                  <w:tcW w:w="959" w:type="dxa"/>
                  <w:vMerge w:val="continue"/>
                  <w:tcBorders>
                    <w:top w:val="single" w:sz="2" w:space="0" w:color="000000"/>
                    <w:left w:val="single" w:sz="2" w:space="0" w:color="000000"/>
                    <w:right w:val="single" w:sz="2" w:space="0" w:color="000000"/>
                  </w:tcBorders>
                  <w:vAlign w:val="center"/>
                </w:tcPr>
                <w:p>
                  <w:pPr>
                    <w:pStyle w:val="Style22"/>
                    <w:rPr>
                      <w:rFonts w:ascii="PT Astra Serif" w:hAnsi="PT Astra Serif"/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sz w:val="18"/>
                      <w:szCs w:val="18"/>
                    </w:rPr>
                  </w:r>
                </w:p>
              </w:tc>
              <w:tc>
                <w:tcPr>
                  <w:tcW w:w="1260" w:type="dxa"/>
                  <w:vMerge w:val="continue"/>
                  <w:tcBorders>
                    <w:top w:val="single" w:sz="2" w:space="0" w:color="000000"/>
                    <w:left w:val="single" w:sz="2" w:space="0" w:color="000000"/>
                    <w:right w:val="single" w:sz="2" w:space="0" w:color="000000"/>
                  </w:tcBorders>
                  <w:vAlign w:val="center"/>
                </w:tcPr>
                <w:p>
                  <w:pPr>
                    <w:pStyle w:val="Style22"/>
                    <w:rPr>
                      <w:rFonts w:ascii="PT Astra Serif" w:hAnsi="PT Astra Serif"/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sz w:val="18"/>
                      <w:szCs w:val="18"/>
                    </w:rPr>
                  </w:r>
                </w:p>
              </w:tc>
              <w:tc>
                <w:tcPr>
                  <w:tcW w:w="1440" w:type="dxa"/>
                  <w:vMerge w:val="continue"/>
                  <w:tcBorders>
                    <w:top w:val="single" w:sz="2" w:space="0" w:color="000000"/>
                    <w:left w:val="single" w:sz="2" w:space="0" w:color="000000"/>
                    <w:right w:val="single" w:sz="2" w:space="0" w:color="000000"/>
                  </w:tcBorders>
                  <w:vAlign w:val="center"/>
                </w:tcPr>
                <w:p>
                  <w:pPr>
                    <w:pStyle w:val="Style22"/>
                    <w:rPr>
                      <w:rFonts w:ascii="PT Astra Serif" w:hAnsi="PT Astra Serif"/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sz w:val="18"/>
                      <w:szCs w:val="18"/>
                    </w:rPr>
                  </w:r>
                </w:p>
              </w:tc>
            </w:tr>
            <w:tr>
              <w:trPr>
                <w:trHeight w:val="701" w:hRule="atLeast"/>
              </w:trPr>
              <w:tc>
                <w:tcPr>
                  <w:tcW w:w="50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tcMar>
                    <w:bottom w:w="28" w:type="dxa"/>
                    <w:right w:w="0" w:type="dxa"/>
                  </w:tcMar>
                  <w:vAlign w:val="center"/>
                </w:tcPr>
                <w:p>
                  <w:pPr>
                    <w:pStyle w:val="Style22"/>
                    <w:ind w:hanging="0" w:left="0" w:right="0"/>
                    <w:jc w:val="center"/>
                    <w:rPr>
                      <w:rFonts w:ascii="PT Astra Serif" w:hAnsi="PT Astra Serif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color w:val="00000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225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fill="FFFFFF" w:val="clear"/>
                  <w:tcMar>
                    <w:bottom w:w="28" w:type="dxa"/>
                  </w:tcMar>
                  <w:vAlign w:val="center"/>
                </w:tcPr>
                <w:p>
                  <w:pPr>
                    <w:pStyle w:val="Style22"/>
                    <w:ind w:hanging="0" w:left="0" w:right="0"/>
                    <w:jc w:val="left"/>
                    <w:rPr>
                      <w:rFonts w:ascii="PT Astra Serif" w:hAnsi="PT Astra Serif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color w:val="000000"/>
                      <w:sz w:val="18"/>
                      <w:szCs w:val="18"/>
                    </w:rPr>
                    <w:t>Система для проведения забора крови/внутривенной инфузии</w:t>
                  </w:r>
                </w:p>
              </w:tc>
              <w:tc>
                <w:tcPr>
                  <w:tcW w:w="49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tcMar>
                    <w:bottom w:w="28" w:type="dxa"/>
                    <w:right w:w="0" w:type="dxa"/>
                  </w:tcMar>
                  <w:vAlign w:val="center"/>
                </w:tcPr>
                <w:p>
                  <w:pPr>
                    <w:pStyle w:val="Style22"/>
                    <w:ind w:hanging="0" w:left="0" w:right="0"/>
                    <w:jc w:val="center"/>
                    <w:rPr>
                      <w:rFonts w:ascii="PT Astra Serif" w:hAnsi="PT Astra Serif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color w:val="000000"/>
                      <w:sz w:val="18"/>
                      <w:szCs w:val="18"/>
                    </w:rPr>
                    <w:t>шт</w:t>
                  </w:r>
                </w:p>
              </w:tc>
              <w:tc>
                <w:tcPr>
                  <w:tcW w:w="75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fill="FFFFFF" w:val="clear"/>
                  <w:tcMar>
                    <w:bottom w:w="28" w:type="dxa"/>
                  </w:tcMar>
                  <w:vAlign w:val="center"/>
                </w:tcPr>
                <w:p>
                  <w:pPr>
                    <w:pStyle w:val="Style22"/>
                    <w:ind w:hanging="0" w:left="0" w:right="0"/>
                    <w:jc w:val="center"/>
                    <w:rPr>
                      <w:rFonts w:ascii="PT Astra Serif" w:hAnsi="PT Astra Serif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color w:val="000000"/>
                      <w:sz w:val="18"/>
                      <w:szCs w:val="18"/>
                    </w:rPr>
                    <w:t>14 400</w:t>
                  </w:r>
                </w:p>
              </w:tc>
              <w:tc>
                <w:tcPr>
                  <w:tcW w:w="78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bottom w:w="28" w:type="dxa"/>
                  </w:tcMar>
                  <w:vAlign w:val="center"/>
                </w:tcPr>
                <w:p>
                  <w:pPr>
                    <w:pStyle w:val="Style22"/>
                    <w:ind w:hanging="0" w:left="0" w:right="0"/>
                    <w:jc w:val="right"/>
                    <w:rPr>
                      <w:rFonts w:ascii="PT Astra Serif" w:hAnsi="PT Astra Serif"/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sz w:val="18"/>
                      <w:szCs w:val="18"/>
                    </w:rPr>
                    <w:t>6,08</w:t>
                  </w:r>
                </w:p>
              </w:tc>
              <w:tc>
                <w:tcPr>
                  <w:tcW w:w="79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bottom w:w="28" w:type="dxa"/>
                  </w:tcMar>
                  <w:vAlign w:val="center"/>
                </w:tcPr>
                <w:p>
                  <w:pPr>
                    <w:pStyle w:val="Style22"/>
                    <w:ind w:hanging="0" w:left="0" w:right="0"/>
                    <w:jc w:val="right"/>
                    <w:rPr>
                      <w:rFonts w:ascii="PT Astra Serif" w:hAnsi="PT Astra Serif"/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sz w:val="18"/>
                      <w:szCs w:val="18"/>
                    </w:rPr>
                    <w:t>7,70</w:t>
                  </w:r>
                </w:p>
              </w:tc>
              <w:tc>
                <w:tcPr>
                  <w:tcW w:w="8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bottom w:w="28" w:type="dxa"/>
                  </w:tcMar>
                  <w:vAlign w:val="center"/>
                </w:tcPr>
                <w:p>
                  <w:pPr>
                    <w:pStyle w:val="Style22"/>
                    <w:ind w:hanging="0" w:left="0" w:right="0"/>
                    <w:jc w:val="right"/>
                    <w:rPr>
                      <w:rFonts w:ascii="PT Astra Serif" w:hAnsi="PT Astra Serif"/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sz w:val="18"/>
                      <w:szCs w:val="18"/>
                    </w:rPr>
                    <w:t>7,15</w:t>
                  </w:r>
                </w:p>
              </w:tc>
              <w:tc>
                <w:tcPr>
                  <w:tcW w:w="73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bottom w:w="28" w:type="dxa"/>
                  </w:tcMar>
                  <w:vAlign w:val="center"/>
                </w:tcPr>
                <w:p>
                  <w:pPr>
                    <w:pStyle w:val="Style22"/>
                    <w:ind w:hanging="0" w:left="0" w:right="0"/>
                    <w:jc w:val="center"/>
                    <w:rPr>
                      <w:rFonts w:ascii="PT Astra Serif" w:hAnsi="PT Astra Serif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color w:val="000000"/>
                      <w:sz w:val="18"/>
                      <w:szCs w:val="18"/>
                    </w:rPr>
                    <w:t>6,98</w:t>
                  </w:r>
                </w:p>
              </w:tc>
              <w:tc>
                <w:tcPr>
                  <w:tcW w:w="113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bottom w:w="28" w:type="dxa"/>
                  </w:tcMar>
                  <w:vAlign w:val="center"/>
                </w:tcPr>
                <w:p>
                  <w:pPr>
                    <w:pStyle w:val="Style22"/>
                    <w:ind w:hanging="0" w:left="0" w:right="0"/>
                    <w:jc w:val="center"/>
                    <w:rPr>
                      <w:rFonts w:ascii="PT Astra Serif" w:hAnsi="PT Astra Serif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b/>
                      <w:color w:val="000000"/>
                      <w:sz w:val="18"/>
                      <w:szCs w:val="18"/>
                    </w:rPr>
                    <w:t>6,08</w:t>
                  </w:r>
                </w:p>
              </w:tc>
              <w:tc>
                <w:tcPr>
                  <w:tcW w:w="96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bottom w:w="28" w:type="dxa"/>
                  </w:tcMar>
                  <w:vAlign w:val="center"/>
                </w:tcPr>
                <w:p>
                  <w:pPr>
                    <w:pStyle w:val="Style22"/>
                    <w:ind w:hanging="0" w:left="0" w:right="0"/>
                    <w:jc w:val="center"/>
                    <w:rPr>
                      <w:rFonts w:ascii="PT Astra Serif" w:hAnsi="PT Astra Serif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color w:val="000000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73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bottom w:w="28" w:type="dxa"/>
                  </w:tcMar>
                  <w:vAlign w:val="center"/>
                </w:tcPr>
                <w:p>
                  <w:pPr>
                    <w:pStyle w:val="Style22"/>
                    <w:ind w:hanging="0" w:left="0" w:right="0"/>
                    <w:jc w:val="center"/>
                    <w:rPr>
                      <w:rFonts w:ascii="PT Astra Serif" w:hAnsi="PT Astra Serif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color w:val="000000"/>
                      <w:sz w:val="18"/>
                      <w:szCs w:val="18"/>
                    </w:rPr>
                    <w:t>0,82</w:t>
                  </w:r>
                </w:p>
              </w:tc>
              <w:tc>
                <w:tcPr>
                  <w:tcW w:w="95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bottom w:w="28" w:type="dxa"/>
                  </w:tcMar>
                  <w:vAlign w:val="center"/>
                </w:tcPr>
                <w:p>
                  <w:pPr>
                    <w:pStyle w:val="Style22"/>
                    <w:ind w:hanging="0" w:left="0" w:right="0"/>
                    <w:jc w:val="center"/>
                    <w:rPr>
                      <w:rFonts w:ascii="PT Astra Serif" w:hAnsi="PT Astra Serif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color w:val="000000"/>
                      <w:sz w:val="18"/>
                      <w:szCs w:val="18"/>
                    </w:rPr>
                    <w:t>11,80</w:t>
                  </w:r>
                </w:p>
              </w:tc>
              <w:tc>
                <w:tcPr>
                  <w:tcW w:w="126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bottom w:w="28" w:type="dxa"/>
                  </w:tcMar>
                  <w:vAlign w:val="center"/>
                </w:tcPr>
                <w:p>
                  <w:pPr>
                    <w:pStyle w:val="Style22"/>
                    <w:ind w:hanging="0" w:left="0" w:right="0"/>
                    <w:jc w:val="center"/>
                    <w:rPr>
                      <w:rFonts w:ascii="PT Astra Serif" w:hAnsi="PT Astra Serif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color w:val="000000"/>
                      <w:sz w:val="18"/>
                      <w:szCs w:val="18"/>
                    </w:rPr>
                    <w:t>100 512,00</w:t>
                  </w:r>
                </w:p>
              </w:tc>
              <w:tc>
                <w:tcPr>
                  <w:tcW w:w="144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bottom w:w="28" w:type="dxa"/>
                  </w:tcMar>
                  <w:vAlign w:val="center"/>
                </w:tcPr>
                <w:p>
                  <w:pPr>
                    <w:pStyle w:val="Style22"/>
                    <w:ind w:hanging="0" w:left="0" w:right="0"/>
                    <w:jc w:val="center"/>
                    <w:rPr>
                      <w:rFonts w:ascii="PT Astra Serif" w:hAnsi="PT Astra Serif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color w:val="000000"/>
                      <w:sz w:val="18"/>
                      <w:szCs w:val="18"/>
                    </w:rPr>
                    <w:t>87 552,00</w:t>
                  </w:r>
                </w:p>
              </w:tc>
            </w:tr>
            <w:tr>
              <w:trPr>
                <w:trHeight w:val="356" w:hRule="atLeast"/>
              </w:trPr>
              <w:tc>
                <w:tcPr>
                  <w:tcW w:w="50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bottom w:w="28" w:type="dxa"/>
                  </w:tcMar>
                  <w:vAlign w:val="bottom"/>
                </w:tcPr>
                <w:p>
                  <w:pPr>
                    <w:pStyle w:val="Style22"/>
                    <w:ind w:hanging="0" w:left="0" w:right="0"/>
                    <w:rPr>
                      <w:rFonts w:ascii="PT Astra Serif" w:hAnsi="PT Astra Serif"/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sz w:val="18"/>
                      <w:szCs w:val="18"/>
                    </w:rPr>
                  </w:r>
                </w:p>
              </w:tc>
              <w:tc>
                <w:tcPr>
                  <w:tcW w:w="2252" w:type="dxa"/>
                  <w:tcBorders>
                    <w:bottom w:val="single" w:sz="2" w:space="0" w:color="000000"/>
                    <w:right w:val="single" w:sz="2" w:space="0" w:color="000000"/>
                  </w:tcBorders>
                  <w:tcMar>
                    <w:top w:w="0" w:type="dxa"/>
                    <w:left w:w="0" w:type="dxa"/>
                    <w:bottom w:w="28" w:type="dxa"/>
                  </w:tcMar>
                  <w:vAlign w:val="center"/>
                </w:tcPr>
                <w:p>
                  <w:pPr>
                    <w:pStyle w:val="Style22"/>
                    <w:ind w:hanging="0" w:left="0" w:right="0"/>
                    <w:jc w:val="left"/>
                    <w:rPr>
                      <w:rFonts w:ascii="PT Astra Serif" w:hAnsi="PT Astra Serif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b/>
                      <w:color w:val="000000"/>
                      <w:sz w:val="18"/>
                      <w:szCs w:val="18"/>
                    </w:rPr>
                    <w:t>ИТОГО</w:t>
                  </w:r>
                </w:p>
              </w:tc>
              <w:tc>
                <w:tcPr>
                  <w:tcW w:w="498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0" w:type="dxa"/>
                    <w:bottom w:w="28" w:type="dxa"/>
                  </w:tcMar>
                  <w:vAlign w:val="center"/>
                </w:tcPr>
                <w:p>
                  <w:pPr>
                    <w:pStyle w:val="Style22"/>
                    <w:ind w:hanging="0" w:left="0" w:right="0"/>
                    <w:rPr>
                      <w:rFonts w:ascii="PT Astra Serif" w:hAnsi="PT Astra Serif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b/>
                      <w:color w:val="000000"/>
                      <w:sz w:val="18"/>
                      <w:szCs w:val="18"/>
                    </w:rPr>
                  </w:r>
                </w:p>
              </w:tc>
              <w:tc>
                <w:tcPr>
                  <w:tcW w:w="750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0" w:type="dxa"/>
                    <w:bottom w:w="28" w:type="dxa"/>
                  </w:tcMar>
                  <w:vAlign w:val="bottom"/>
                </w:tcPr>
                <w:p>
                  <w:pPr>
                    <w:pStyle w:val="Style22"/>
                    <w:ind w:hanging="0" w:left="0" w:right="0"/>
                    <w:rPr>
                      <w:rFonts w:ascii="PT Astra Serif" w:hAnsi="PT Astra Serif"/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sz w:val="18"/>
                      <w:szCs w:val="18"/>
                    </w:rPr>
                  </w:r>
                </w:p>
              </w:tc>
              <w:tc>
                <w:tcPr>
                  <w:tcW w:w="780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0" w:type="dxa"/>
                    <w:bottom w:w="28" w:type="dxa"/>
                  </w:tcMar>
                  <w:vAlign w:val="bottom"/>
                </w:tcPr>
                <w:p>
                  <w:pPr>
                    <w:pStyle w:val="Style22"/>
                    <w:ind w:hanging="0" w:left="0" w:right="0"/>
                    <w:rPr>
                      <w:rFonts w:ascii="PT Astra Serif" w:hAnsi="PT Astra Serif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b/>
                      <w:color w:val="000000"/>
                      <w:sz w:val="18"/>
                      <w:szCs w:val="18"/>
                    </w:rPr>
                  </w:r>
                </w:p>
              </w:tc>
              <w:tc>
                <w:tcPr>
                  <w:tcW w:w="794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0" w:type="dxa"/>
                    <w:bottom w:w="28" w:type="dxa"/>
                  </w:tcMar>
                  <w:vAlign w:val="bottom"/>
                </w:tcPr>
                <w:p>
                  <w:pPr>
                    <w:pStyle w:val="Style22"/>
                    <w:ind w:hanging="0" w:left="0" w:right="0"/>
                    <w:rPr>
                      <w:rFonts w:ascii="PT Astra Serif" w:hAnsi="PT Astra Serif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b/>
                      <w:color w:val="000000"/>
                      <w:sz w:val="18"/>
                      <w:szCs w:val="18"/>
                    </w:rPr>
                  </w:r>
                </w:p>
              </w:tc>
              <w:tc>
                <w:tcPr>
                  <w:tcW w:w="855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0" w:type="dxa"/>
                    <w:bottom w:w="28" w:type="dxa"/>
                  </w:tcMar>
                  <w:vAlign w:val="bottom"/>
                </w:tcPr>
                <w:p>
                  <w:pPr>
                    <w:pStyle w:val="Style22"/>
                    <w:ind w:hanging="0" w:left="0" w:right="0"/>
                    <w:rPr>
                      <w:rFonts w:ascii="PT Astra Serif" w:hAnsi="PT Astra Serif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b/>
                      <w:color w:val="000000"/>
                      <w:sz w:val="18"/>
                      <w:szCs w:val="18"/>
                    </w:rPr>
                  </w:r>
                </w:p>
              </w:tc>
              <w:tc>
                <w:tcPr>
                  <w:tcW w:w="736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0" w:type="dxa"/>
                    <w:bottom w:w="28" w:type="dxa"/>
                  </w:tcMar>
                  <w:vAlign w:val="bottom"/>
                </w:tcPr>
                <w:p>
                  <w:pPr>
                    <w:pStyle w:val="Style22"/>
                    <w:ind w:hanging="0" w:left="0" w:right="0"/>
                    <w:rPr>
                      <w:rFonts w:ascii="PT Astra Serif" w:hAnsi="PT Astra Serif"/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sz w:val="18"/>
                      <w:szCs w:val="18"/>
                    </w:rPr>
                  </w:r>
                </w:p>
              </w:tc>
              <w:tc>
                <w:tcPr>
                  <w:tcW w:w="1139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0" w:type="dxa"/>
                    <w:bottom w:w="28" w:type="dxa"/>
                  </w:tcMar>
                  <w:vAlign w:val="bottom"/>
                </w:tcPr>
                <w:p>
                  <w:pPr>
                    <w:pStyle w:val="Style22"/>
                    <w:ind w:hanging="0" w:left="0" w:right="0"/>
                    <w:rPr>
                      <w:rFonts w:ascii="PT Astra Serif" w:hAnsi="PT Astra Serif"/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sz w:val="18"/>
                      <w:szCs w:val="18"/>
                    </w:rPr>
                  </w:r>
                </w:p>
              </w:tc>
              <w:tc>
                <w:tcPr>
                  <w:tcW w:w="961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0" w:type="dxa"/>
                    <w:bottom w:w="28" w:type="dxa"/>
                  </w:tcMar>
                  <w:vAlign w:val="bottom"/>
                </w:tcPr>
                <w:p>
                  <w:pPr>
                    <w:pStyle w:val="Style22"/>
                    <w:ind w:hanging="0" w:left="0" w:right="0"/>
                    <w:rPr>
                      <w:rFonts w:ascii="PT Astra Serif" w:hAnsi="PT Astra Serif"/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sz w:val="18"/>
                      <w:szCs w:val="18"/>
                    </w:rPr>
                  </w:r>
                </w:p>
              </w:tc>
              <w:tc>
                <w:tcPr>
                  <w:tcW w:w="735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0" w:type="dxa"/>
                    <w:bottom w:w="28" w:type="dxa"/>
                  </w:tcMar>
                  <w:vAlign w:val="bottom"/>
                </w:tcPr>
                <w:p>
                  <w:pPr>
                    <w:pStyle w:val="Style22"/>
                    <w:ind w:hanging="0" w:left="0" w:right="0"/>
                    <w:rPr>
                      <w:rFonts w:ascii="PT Astra Serif" w:hAnsi="PT Astra Serif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color w:val="000000"/>
                      <w:sz w:val="18"/>
                      <w:szCs w:val="18"/>
                    </w:rPr>
                  </w:r>
                </w:p>
              </w:tc>
              <w:tc>
                <w:tcPr>
                  <w:tcW w:w="959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0" w:type="dxa"/>
                    <w:bottom w:w="28" w:type="dxa"/>
                  </w:tcMar>
                  <w:vAlign w:val="bottom"/>
                </w:tcPr>
                <w:p>
                  <w:pPr>
                    <w:pStyle w:val="Style22"/>
                    <w:ind w:hanging="0" w:left="0" w:right="0"/>
                    <w:rPr>
                      <w:rFonts w:ascii="PT Astra Serif" w:hAnsi="PT Astra Serif"/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sz w:val="18"/>
                      <w:szCs w:val="18"/>
                    </w:rPr>
                  </w:r>
                </w:p>
              </w:tc>
              <w:tc>
                <w:tcPr>
                  <w:tcW w:w="1260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0" w:type="dxa"/>
                    <w:bottom w:w="28" w:type="dxa"/>
                  </w:tcMar>
                  <w:vAlign w:val="center"/>
                </w:tcPr>
                <w:p>
                  <w:pPr>
                    <w:pStyle w:val="Style22"/>
                    <w:ind w:hanging="0" w:left="0" w:right="0"/>
                    <w:jc w:val="center"/>
                    <w:rPr>
                      <w:rFonts w:ascii="PT Astra Serif" w:hAnsi="PT Astra Serif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b/>
                      <w:color w:val="000000"/>
                      <w:sz w:val="18"/>
                      <w:szCs w:val="18"/>
                    </w:rPr>
                    <w:t>100 512,00</w:t>
                  </w:r>
                </w:p>
              </w:tc>
              <w:tc>
                <w:tcPr>
                  <w:tcW w:w="1440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0" w:type="dxa"/>
                    <w:bottom w:w="28" w:type="dxa"/>
                  </w:tcMar>
                  <w:vAlign w:val="center"/>
                </w:tcPr>
                <w:p>
                  <w:pPr>
                    <w:pStyle w:val="Style22"/>
                    <w:jc w:val="center"/>
                    <w:rPr>
                      <w:rFonts w:ascii="PT Astra Serif" w:hAnsi="PT Astra Serif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b/>
                      <w:color w:val="000000"/>
                      <w:sz w:val="18"/>
                      <w:szCs w:val="18"/>
                    </w:rPr>
                    <w:t>87 552,00</w:t>
                  </w:r>
                </w:p>
              </w:tc>
            </w:tr>
          </w:tbl>
          <w:p>
            <w:pPr>
              <w:pStyle w:val="Normal"/>
              <w:ind w:left="57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eastAsia="BatangChe" w:ascii="PT Astra Serif" w:hAnsi="PT Astra Serif"/>
                <w:sz w:val="18"/>
                <w:szCs w:val="18"/>
              </w:rPr>
              <w:t>В соответствии с п. 18</w:t>
            </w:r>
            <w:r>
              <w:rPr>
                <w:rFonts w:eastAsia="BatangChe" w:ascii="PT Astra Serif" w:hAnsi="PT Astra Serif"/>
                <w:b/>
                <w:sz w:val="18"/>
                <w:szCs w:val="18"/>
              </w:rPr>
              <w:t xml:space="preserve"> </w:t>
            </w:r>
            <w:r>
              <w:rPr>
                <w:rFonts w:ascii="PT Astra Serif" w:hAnsi="PT Astra Serif"/>
                <w:sz w:val="18"/>
                <w:szCs w:val="18"/>
              </w:rPr>
              <w:t>Приказа Минздрава России от 15.05.2020 №450н НМЦК снижена заказчиком по сравнению с НМЦК, определенной в соответствии с настоящим порядком, исходя из имеющегося у заказчика объема финансового обеспечения для осуществления соответствующей закупки, с пропорциональным снижением начальных цен единиц закупаемых медицинских изделий и определена в размере 87 552,00 руб.</w:t>
            </w:r>
          </w:p>
        </w:tc>
      </w:tr>
      <w:tr>
        <w:trPr/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ind w:hanging="0" w:left="0"/>
              <w:outlineLvl w:val="1"/>
              <w:rPr>
                <w:rFonts w:ascii="PT Astra Serif" w:hAnsi="PT Astra Serif"/>
                <w:bCs/>
                <w:sz w:val="18"/>
                <w:szCs w:val="18"/>
              </w:rPr>
            </w:pPr>
            <w:r>
              <w:rPr>
                <w:rFonts w:ascii="PT Astra Serif" w:hAnsi="PT Astra Serif"/>
                <w:bCs/>
                <w:sz w:val="18"/>
                <w:szCs w:val="18"/>
              </w:rPr>
              <w:t>Дата подготовки обоснования:</w:t>
            </w:r>
          </w:p>
        </w:tc>
        <w:tc>
          <w:tcPr>
            <w:tcW w:w="1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ind w:hanging="0" w:left="0"/>
              <w:jc w:val="both"/>
              <w:outlineLvl w:val="1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  <w:lang w:val="ru-RU"/>
              </w:rPr>
              <w:t>20.07.2026</w:t>
            </w:r>
            <w:r>
              <w:rPr>
                <w:rFonts w:ascii="PT Astra Serif" w:hAnsi="PT Astra Serif"/>
                <w:sz w:val="18"/>
                <w:szCs w:val="18"/>
              </w:rPr>
              <w:t xml:space="preserve"> г.</w:t>
            </w:r>
          </w:p>
        </w:tc>
      </w:tr>
    </w:tbl>
    <w:p>
      <w:pPr>
        <w:pStyle w:val="1"/>
        <w:spacing w:lineRule="auto" w:line="240"/>
        <w:rPr>
          <w:rFonts w:ascii="PT Astra Serif" w:hAnsi="PT Astra Serif"/>
        </w:rPr>
      </w:pPr>
      <w:r>
        <w:rPr>
          <w:rFonts w:ascii="PT Astra Serif" w:hAnsi="PT Astra Serif"/>
          <w:b/>
          <w:bCs/>
        </w:rPr>
        <w:t>Руководитель контрактной службы:</w:t>
      </w:r>
    </w:p>
    <w:tbl>
      <w:tblPr>
        <w:tblW w:w="6946" w:type="dxa"/>
        <w:jc w:val="left"/>
        <w:tblInd w:w="28" w:type="dxa"/>
        <w:tblLayout w:type="fixed"/>
        <w:tblCellMar>
          <w:top w:w="0" w:type="dxa"/>
          <w:left w:w="28" w:type="dxa"/>
          <w:bottom w:w="0" w:type="dxa"/>
          <w:right w:w="28" w:type="dxa"/>
        </w:tblCellMar>
        <w:tblLook w:firstRow="0" w:noVBand="0" w:lastRow="0" w:firstColumn="0" w:lastColumn="0" w:noHBand="0" w:val="0000"/>
      </w:tblPr>
      <w:tblGrid>
        <w:gridCol w:w="1701"/>
        <w:gridCol w:w="170"/>
        <w:gridCol w:w="2721"/>
        <w:gridCol w:w="2353"/>
      </w:tblGrid>
      <w:tr>
        <w:trPr/>
        <w:tc>
          <w:tcPr>
            <w:tcW w:w="6945" w:type="dxa"/>
            <w:gridSpan w:val="4"/>
            <w:tcBorders>
              <w:bottom w:val="single" w:sz="4" w:space="0" w:color="000000"/>
            </w:tcBorders>
            <w:vAlign w:val="bottom"/>
          </w:tcPr>
          <w:p>
            <w:pPr>
              <w:pStyle w:val="1"/>
              <w:snapToGrid w:val="false"/>
              <w:spacing w:lineRule="auto" w:line="24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Заместитель главного врача по экономическим вопросам</w:t>
            </w:r>
          </w:p>
        </w:tc>
      </w:tr>
      <w:tr>
        <w:trPr>
          <w:trHeight w:val="64" w:hRule="atLeast"/>
        </w:trPr>
        <w:tc>
          <w:tcPr>
            <w:tcW w:w="1701" w:type="dxa"/>
            <w:tcBorders>
              <w:bottom w:val="single" w:sz="4" w:space="0" w:color="000000"/>
            </w:tcBorders>
            <w:vAlign w:val="bottom"/>
          </w:tcPr>
          <w:p>
            <w:pPr>
              <w:pStyle w:val="1"/>
              <w:snapToGrid w:val="false"/>
              <w:spacing w:lineRule="auto" w:line="24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  <w:tc>
          <w:tcPr>
            <w:tcW w:w="170" w:type="dxa"/>
            <w:tcBorders/>
            <w:vAlign w:val="bottom"/>
          </w:tcPr>
          <w:p>
            <w:pPr>
              <w:pStyle w:val="1"/>
              <w:snapToGrid w:val="false"/>
              <w:spacing w:lineRule="auto" w:line="240"/>
              <w:jc w:val="righ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/</w:t>
            </w:r>
          </w:p>
        </w:tc>
        <w:tc>
          <w:tcPr>
            <w:tcW w:w="2721" w:type="dxa"/>
            <w:tcBorders>
              <w:bottom w:val="single" w:sz="4" w:space="0" w:color="000000"/>
            </w:tcBorders>
            <w:vAlign w:val="bottom"/>
          </w:tcPr>
          <w:p>
            <w:pPr>
              <w:pStyle w:val="1"/>
              <w:snapToGrid w:val="false"/>
              <w:spacing w:lineRule="auto" w:line="24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Е.Н.Стратонова</w:t>
            </w:r>
          </w:p>
        </w:tc>
        <w:tc>
          <w:tcPr>
            <w:tcW w:w="2353" w:type="dxa"/>
            <w:tcBorders/>
            <w:vAlign w:val="bottom"/>
          </w:tcPr>
          <w:p>
            <w:pPr>
              <w:pStyle w:val="1"/>
              <w:snapToGrid w:val="false"/>
              <w:spacing w:lineRule="auto" w:line="24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/</w:t>
            </w:r>
          </w:p>
        </w:tc>
      </w:tr>
    </w:tbl>
    <w:p>
      <w:pPr>
        <w:pStyle w:val="Normal"/>
        <w:rPr>
          <w:rFonts w:ascii="PT Astra Serif" w:hAnsi="PT Astra Serif"/>
          <w:b/>
          <w:bCs/>
          <w:lang w:eastAsia="ar-SA"/>
        </w:rPr>
      </w:pPr>
      <w:r>
        <w:rPr>
          <w:rFonts w:ascii="PT Astra Serif" w:hAnsi="PT Astra Serif"/>
          <w:i/>
        </w:rPr>
        <w:t xml:space="preserve">Ф.И.О. исполнителя/контактный телефон </w:t>
      </w:r>
      <w:r>
        <w:rPr>
          <w:rFonts w:ascii="PT Astra Serif" w:hAnsi="PT Astra Serif"/>
          <w:b/>
          <w:bCs/>
          <w:lang w:eastAsia="ar-SA"/>
        </w:rPr>
        <w:t xml:space="preserve">   </w:t>
      </w:r>
    </w:p>
    <w:p>
      <w:pPr>
        <w:pStyle w:val="Normal"/>
        <w:rPr>
          <w:rFonts w:ascii="PT Astra Serif" w:hAnsi="PT Astra Serif"/>
          <w:b/>
        </w:rPr>
      </w:pPr>
      <w:r>
        <w:rPr>
          <w:rFonts w:ascii="PT Astra Serif" w:hAnsi="PT Astra Serif"/>
          <w:i/>
        </w:rPr>
        <w:t>Гридин В.В.             /44-23-29</w:t>
      </w:r>
      <w:r>
        <w:rPr>
          <w:rFonts w:ascii="PT Astra Serif" w:hAnsi="PT Astra Serif"/>
          <w:b/>
          <w:bCs/>
          <w:lang w:eastAsia="ar-SA"/>
        </w:rPr>
        <w:t xml:space="preserve">              </w:t>
      </w:r>
    </w:p>
    <w:sectPr>
      <w:footerReference w:type="even" r:id="rId4"/>
      <w:footerReference w:type="default" r:id="rId5"/>
      <w:footerReference w:type="first" r:id="rId6"/>
      <w:type w:val="nextPage"/>
      <w:pgSz w:orient="landscape" w:w="16838" w:h="11906"/>
      <w:pgMar w:left="1134" w:right="1134" w:gutter="0" w:header="0" w:top="567" w:footer="0" w:bottom="567"/>
      <w:pgNumType w:start="7"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swiss"/>
    <w:pitch w:val="variable"/>
  </w:font>
  <w:font w:name="Times New Roman">
    <w:charset w:val="cc"/>
    <w:family w:val="roman"/>
    <w:pitch w:val="variable"/>
  </w:font>
  <w:font w:name="Tahoma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Verdana">
    <w:charset w:val="cc"/>
    <w:family w:val="swiss"/>
    <w:pitch w:val="variable"/>
  </w:font>
  <w:font w:name="PT Astra Serif"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spacing w:before="0" w:after="200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spacing w:before="0" w:after="200"/>
      <w:jc w:val="right"/>
      <w:rPr>
        <w:sz w:val="24"/>
        <w:szCs w:val="24"/>
      </w:rPr>
    </w:pPr>
    <w:r>
      <w:rPr>
        <w:sz w:val="24"/>
        <w:szCs w:val="24"/>
      </w:rPr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spacing w:before="0" w:after="200"/>
      <w:jc w:val="right"/>
      <w:rPr>
        <w:sz w:val="24"/>
        <w:szCs w:val="24"/>
      </w:rPr>
    </w:pPr>
    <w:r>
      <w:rPr>
        <w:sz w:val="24"/>
        <w:szCs w:val="24"/>
      </w:rPr>
    </w:r>
  </w:p>
</w:ftr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semiHidden="1" w:unhideWhenUsed="1" w:qFormat="1"/>
    <w:lsdException w:name="heading 3" w:locked="1" w:uiPriority="0" w:semiHidden="1" w:unhideWhenUsed="1" w:qFormat="1"/>
    <w:lsdException w:name="heading 4" w:locked="1" w:uiPriority="0" w:semiHidden="1" w:unhideWhenUsed="1" w:qFormat="1"/>
    <w:lsdException w:name="heading 5" w:locked="1" w:uiPriority="0" w:semiHidden="1" w:unhideWhenUsed="1" w:qFormat="1"/>
    <w:lsdException w:name="heading 6" w:locked="1" w:uiPriority="0" w:semiHidden="1" w:unhideWhenUsed="1" w:qFormat="1"/>
    <w:lsdException w:name="heading 7" w:locked="1" w:uiPriority="0" w:semiHidden="1" w:unhideWhenUsed="1" w:qFormat="1"/>
    <w:lsdException w:name="heading 8" w:locked="1" w:uiPriority="0" w:semiHidden="1" w:unhideWhenUsed="1" w:qFormat="1"/>
    <w:lsdException w:name="heading 9" w:locked="1" w:uiPriority="0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a66359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locked/>
    <w:rsid w:val="00331762"/>
    <w:rPr>
      <w:rFonts w:ascii="Tahoma" w:hAnsi="Tahoma" w:cs="Times New Roman"/>
      <w:sz w:val="16"/>
    </w:rPr>
  </w:style>
  <w:style w:type="character" w:styleId="Style15" w:customStyle="1">
    <w:name w:val="Верхний колонтитул Знак"/>
    <w:basedOn w:val="DefaultParagraphFont"/>
    <w:uiPriority w:val="99"/>
    <w:semiHidden/>
    <w:qFormat/>
    <w:locked/>
    <w:rsid w:val="002022a6"/>
    <w:rPr>
      <w:rFonts w:cs="Times New Roman"/>
      <w:sz w:val="22"/>
      <w:szCs w:val="22"/>
    </w:rPr>
  </w:style>
  <w:style w:type="character" w:styleId="Style16" w:customStyle="1">
    <w:name w:val="Нижний колонтитул Знак"/>
    <w:basedOn w:val="DefaultParagraphFont"/>
    <w:uiPriority w:val="99"/>
    <w:qFormat/>
    <w:locked/>
    <w:rsid w:val="002022a6"/>
    <w:rPr>
      <w:rFonts w:cs="Times New Roman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191b36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61821"/>
    <w:rPr>
      <w:color w:val="954F72"/>
      <w:u w:val="single"/>
    </w:rPr>
  </w:style>
  <w:style w:type="character" w:styleId="Style17" w:customStyle="1">
    <w:name w:val="Основной текст Знак"/>
    <w:basedOn w:val="DefaultParagraphFont"/>
    <w:qFormat/>
    <w:rsid w:val="00e616eb"/>
    <w:rPr>
      <w:rFonts w:ascii="Calibri" w:hAnsi="Calibri" w:eastAsia="Calibri" w:cs="" w:asciiTheme="minorHAnsi" w:cstheme="minorBidi" w:eastAsiaTheme="minorHAnsi" w:hAnsiTheme="minorHAnsi"/>
      <w:sz w:val="22"/>
      <w:szCs w:val="22"/>
      <w:lang w:eastAsia="en-US"/>
    </w:rPr>
  </w:style>
  <w:style w:type="character" w:styleId="hl" w:customStyle="1">
    <w:name w:val="hl"/>
    <w:basedOn w:val="DefaultParagraphFont"/>
    <w:qFormat/>
    <w:rsid w:val="00446ffe"/>
    <w:rPr/>
  </w:style>
  <w:style w:type="character" w:styleId="cardmaininfopurchaselink2" w:customStyle="1">
    <w:name w:val="cardmaininfo__purchaselink2"/>
    <w:basedOn w:val="DefaultParagraphFont"/>
    <w:qFormat/>
    <w:rsid w:val="00d33309"/>
    <w:rPr>
      <w:color w:val="0065DD"/>
    </w:rPr>
  </w:style>
  <w:style w:type="paragraph" w:styleId="Style18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link w:val="Style17"/>
    <w:unhideWhenUsed/>
    <w:rsid w:val="00e616eb"/>
    <w:pPr>
      <w:spacing w:lineRule="auto" w:line="276" w:before="0" w:after="120"/>
    </w:pPr>
    <w:rPr>
      <w:rFonts w:ascii="Calibri" w:hAnsi="Calibri" w:eastAsia="Calibri" w:cs="" w:asciiTheme="minorHAnsi" w:cstheme="minorBidi" w:eastAsiaTheme="minorHAnsi" w:hAnsiTheme="minorHAnsi"/>
      <w:sz w:val="22"/>
      <w:szCs w:val="22"/>
      <w:lang w:eastAsia="en-US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Arial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Arial"/>
    </w:rPr>
  </w:style>
  <w:style w:type="paragraph" w:styleId="xl66" w:customStyle="1">
    <w:name w:val="xl66"/>
    <w:basedOn w:val="Normal"/>
    <w:qFormat/>
    <w:rsid w:val="000c393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20"/>
      <w:szCs w:val="20"/>
    </w:rPr>
  </w:style>
  <w:style w:type="paragraph" w:styleId="BalloonText">
    <w:name w:val="Balloon Text"/>
    <w:basedOn w:val="Normal"/>
    <w:link w:val="Style14"/>
    <w:uiPriority w:val="99"/>
    <w:semiHidden/>
    <w:qFormat/>
    <w:rsid w:val="00331762"/>
    <w:pPr/>
    <w:rPr>
      <w:rFonts w:ascii="Tahoma" w:hAnsi="Tahoma"/>
      <w:sz w:val="16"/>
      <w:szCs w:val="16"/>
    </w:rPr>
  </w:style>
  <w:style w:type="paragraph" w:styleId="user2">
    <w:name w:val="Колонтитулы (user)"/>
    <w:basedOn w:val="Normal"/>
    <w:qFormat/>
    <w:pPr/>
    <w:rPr/>
  </w:style>
  <w:style w:type="paragraph" w:styleId="Style20">
    <w:name w:val="Колонтитулы"/>
    <w:basedOn w:val="Normal"/>
    <w:qFormat/>
    <w:pPr/>
    <w:rPr/>
  </w:style>
  <w:style w:type="paragraph" w:styleId="Header">
    <w:name w:val="header"/>
    <w:basedOn w:val="Normal"/>
    <w:link w:val="Style15"/>
    <w:uiPriority w:val="99"/>
    <w:semiHidden/>
    <w:rsid w:val="002022a6"/>
    <w:pPr>
      <w:tabs>
        <w:tab w:val="clear" w:pos="709"/>
        <w:tab w:val="center" w:pos="4677" w:leader="none"/>
        <w:tab w:val="right" w:pos="9355" w:leader="none"/>
      </w:tabs>
      <w:spacing w:lineRule="auto" w:line="276" w:before="0" w:after="200"/>
    </w:pPr>
    <w:rPr>
      <w:sz w:val="22"/>
      <w:szCs w:val="22"/>
    </w:rPr>
  </w:style>
  <w:style w:type="paragraph" w:styleId="Footer">
    <w:name w:val="footer"/>
    <w:basedOn w:val="Normal"/>
    <w:link w:val="Style16"/>
    <w:uiPriority w:val="99"/>
    <w:rsid w:val="002022a6"/>
    <w:pPr>
      <w:tabs>
        <w:tab w:val="clear" w:pos="709"/>
        <w:tab w:val="center" w:pos="4677" w:leader="none"/>
        <w:tab w:val="right" w:pos="9355" w:leader="none"/>
      </w:tabs>
      <w:spacing w:lineRule="auto" w:line="276" w:before="0" w:after="200"/>
    </w:pPr>
    <w:rPr>
      <w:sz w:val="22"/>
      <w:szCs w:val="22"/>
    </w:rPr>
  </w:style>
  <w:style w:type="paragraph" w:styleId="Style21" w:customStyle="1">
    <w:name w:val="Знак Знак Знак Знак Знак Знак Знак Знак Знак"/>
    <w:basedOn w:val="Normal"/>
    <w:qFormat/>
    <w:rsid w:val="00af5c8e"/>
    <w:pPr>
      <w:spacing w:lineRule="exact" w:line="240" w:before="0" w:after="160"/>
    </w:pPr>
    <w:rPr>
      <w:rFonts w:ascii="Verdana" w:hAnsi="Verdana"/>
      <w:sz w:val="20"/>
      <w:szCs w:val="20"/>
      <w:lang w:val="en-US" w:eastAsia="en-US"/>
    </w:rPr>
  </w:style>
  <w:style w:type="paragraph" w:styleId="xl64" w:customStyle="1">
    <w:name w:val="xl64"/>
    <w:basedOn w:val="Normal"/>
    <w:qFormat/>
    <w:rsid w:val="0096182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/>
  </w:style>
  <w:style w:type="paragraph" w:styleId="xl65" w:customStyle="1">
    <w:name w:val="xl65"/>
    <w:basedOn w:val="Normal"/>
    <w:qFormat/>
    <w:rsid w:val="0096182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/>
  </w:style>
  <w:style w:type="paragraph" w:styleId="xl67" w:customStyle="1">
    <w:name w:val="xl67"/>
    <w:basedOn w:val="Normal"/>
    <w:qFormat/>
    <w:rsid w:val="0096182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/>
  </w:style>
  <w:style w:type="paragraph" w:styleId="xl68" w:customStyle="1">
    <w:name w:val="xl68"/>
    <w:basedOn w:val="Normal"/>
    <w:qFormat/>
    <w:rsid w:val="0096182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b/>
      <w:bCs/>
    </w:rPr>
  </w:style>
  <w:style w:type="paragraph" w:styleId="xl69" w:customStyle="1">
    <w:name w:val="xl69"/>
    <w:basedOn w:val="Normal"/>
    <w:qFormat/>
    <w:rsid w:val="00961821"/>
    <w:pPr>
      <w:spacing w:beforeAutospacing="1" w:afterAutospacing="1"/>
    </w:pPr>
    <w:rPr>
      <w:color w:val="000000"/>
      <w:sz w:val="18"/>
      <w:szCs w:val="18"/>
    </w:rPr>
  </w:style>
  <w:style w:type="paragraph" w:styleId="xl70" w:customStyle="1">
    <w:name w:val="xl70"/>
    <w:basedOn w:val="Normal"/>
    <w:qFormat/>
    <w:rsid w:val="0096182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18"/>
      <w:szCs w:val="18"/>
    </w:rPr>
  </w:style>
  <w:style w:type="paragraph" w:styleId="xl71" w:customStyle="1">
    <w:name w:val="xl71"/>
    <w:basedOn w:val="Normal"/>
    <w:qFormat/>
    <w:rsid w:val="0096182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</w:rPr>
  </w:style>
  <w:style w:type="paragraph" w:styleId="xl72" w:customStyle="1">
    <w:name w:val="xl72"/>
    <w:basedOn w:val="Normal"/>
    <w:qFormat/>
    <w:rsid w:val="0096182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</w:rPr>
  </w:style>
  <w:style w:type="paragraph" w:styleId="xl74" w:customStyle="1">
    <w:name w:val="xl74"/>
    <w:basedOn w:val="Normal"/>
    <w:qFormat/>
    <w:rsid w:val="0096182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/>
  </w:style>
  <w:style w:type="paragraph" w:styleId="xl75" w:customStyle="1">
    <w:name w:val="xl75"/>
    <w:basedOn w:val="Normal"/>
    <w:qFormat/>
    <w:rsid w:val="0096182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b/>
      <w:bCs/>
      <w:sz w:val="18"/>
      <w:szCs w:val="18"/>
    </w:rPr>
  </w:style>
  <w:style w:type="paragraph" w:styleId="xl76" w:customStyle="1">
    <w:name w:val="xl76"/>
    <w:basedOn w:val="Normal"/>
    <w:qFormat/>
    <w:rsid w:val="0096182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b/>
      <w:bCs/>
      <w:sz w:val="18"/>
      <w:szCs w:val="18"/>
    </w:rPr>
  </w:style>
  <w:style w:type="paragraph" w:styleId="xl77" w:customStyle="1">
    <w:name w:val="xl77"/>
    <w:basedOn w:val="Normal"/>
    <w:qFormat/>
    <w:rsid w:val="00961821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textAlignment w:val="top"/>
    </w:pPr>
    <w:rPr/>
  </w:style>
  <w:style w:type="paragraph" w:styleId="xl78" w:customStyle="1">
    <w:name w:val="xl78"/>
    <w:basedOn w:val="Normal"/>
    <w:qFormat/>
    <w:rsid w:val="00961821"/>
    <w:pPr>
      <w:pBdr>
        <w:top w:val="single" w:sz="4" w:space="0" w:color="000000"/>
        <w:bottom w:val="single" w:sz="4" w:space="0" w:color="000000"/>
      </w:pBdr>
      <w:spacing w:beforeAutospacing="1" w:afterAutospacing="1"/>
      <w:textAlignment w:val="top"/>
    </w:pPr>
    <w:rPr/>
  </w:style>
  <w:style w:type="paragraph" w:styleId="xl79" w:customStyle="1">
    <w:name w:val="xl79"/>
    <w:basedOn w:val="Normal"/>
    <w:qFormat/>
    <w:rsid w:val="0096182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18"/>
      <w:szCs w:val="18"/>
    </w:rPr>
  </w:style>
  <w:style w:type="paragraph" w:styleId="xl80" w:customStyle="1">
    <w:name w:val="xl80"/>
    <w:basedOn w:val="Normal"/>
    <w:qFormat/>
    <w:rsid w:val="0096182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18"/>
      <w:szCs w:val="18"/>
    </w:rPr>
  </w:style>
  <w:style w:type="paragraph" w:styleId="ListParagraph">
    <w:name w:val="List Paragraph"/>
    <w:basedOn w:val="Normal"/>
    <w:uiPriority w:val="34"/>
    <w:qFormat/>
    <w:rsid w:val="00894613"/>
    <w:pPr>
      <w:spacing w:lineRule="auto" w:line="276" w:before="0" w:after="200"/>
      <w:ind w:left="720"/>
      <w:contextualSpacing/>
    </w:pPr>
    <w:rPr>
      <w:sz w:val="22"/>
      <w:szCs w:val="22"/>
    </w:rPr>
  </w:style>
  <w:style w:type="paragraph" w:styleId="NoSpacing">
    <w:name w:val="No Spacing"/>
    <w:uiPriority w:val="1"/>
    <w:qFormat/>
    <w:rsid w:val="00e616eb"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Times New Roman"/>
      <w:color w:val="auto"/>
      <w:kern w:val="0"/>
      <w:sz w:val="22"/>
      <w:szCs w:val="22"/>
      <w:lang w:val="ru-RU" w:eastAsia="ru-RU" w:bidi="ar-SA"/>
    </w:rPr>
  </w:style>
  <w:style w:type="paragraph" w:styleId="1" w:customStyle="1">
    <w:name w:val="Обычный1"/>
    <w:qFormat/>
    <w:rsid w:val="00d33309"/>
    <w:pPr>
      <w:widowControl/>
      <w:suppressAutoHyphens w:val="true"/>
      <w:bidi w:val="0"/>
      <w:spacing w:lineRule="atLeast" w:line="100" w:before="0" w:after="0"/>
      <w:jc w:val="left"/>
      <w:textAlignment w:val="baseline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ar-SA" w:bidi="ar-SA"/>
    </w:rPr>
  </w:style>
  <w:style w:type="paragraph" w:styleId="user3">
    <w:name w:val="Содержимое таблицы (user)"/>
    <w:basedOn w:val="Normal"/>
    <w:qFormat/>
    <w:pPr>
      <w:widowControl w:val="false"/>
      <w:suppressLineNumbers/>
    </w:pPr>
    <w:rPr/>
  </w:style>
  <w:style w:type="paragraph" w:styleId="user4">
    <w:name w:val="Заголовок таблицы (user)"/>
    <w:basedOn w:val="user3"/>
    <w:qFormat/>
    <w:pPr>
      <w:suppressLineNumbers/>
      <w:jc w:val="center"/>
    </w:pPr>
    <w:rPr>
      <w:b/>
      <w:bCs/>
    </w:rPr>
  </w:style>
  <w:style w:type="paragraph" w:styleId="Style22">
    <w:name w:val="Содержимое таблицы"/>
    <w:basedOn w:val="Normal"/>
    <w:qFormat/>
    <w:pPr>
      <w:widowControl w:val="false"/>
      <w:suppressLineNumbers/>
    </w:pPr>
    <w:rPr/>
  </w:style>
  <w:style w:type="paragraph" w:styleId="Style23">
    <w:name w:val="Заголовок таблицы"/>
    <w:basedOn w:val="Style22"/>
    <w:qFormat/>
    <w:pPr>
      <w:suppressLineNumbers/>
      <w:jc w:val="center"/>
    </w:pPr>
    <w:rPr>
      <w:b/>
      <w:bCs/>
    </w:rPr>
  </w:style>
  <w:style w:type="numbering" w:styleId="user5" w:default="1">
    <w:name w:val="Без списка (user)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9">
    <w:name w:val="Table Grid"/>
    <w:basedOn w:val="a1"/>
    <w:uiPriority w:val="99"/>
    <w:rsid w:val="00e30708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footer" Target="footer1.xml"/><Relationship Id="rId5" Type="http://schemas.openxmlformats.org/officeDocument/2006/relationships/footer" Target="footer2.xml"/><Relationship Id="rId6" Type="http://schemas.openxmlformats.org/officeDocument/2006/relationships/footer" Target="footer3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A6D2FD-277E-4480-B6A1-3FD08CFD30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Application>LibreOffice/25.2.7.2$Windows_X86_64 LibreOffice_project/5cbfd1ab6520636bb5f7b99185aa69bd7456825d</Application>
  <AppVersion>15.0000</AppVersion>
  <Pages>1</Pages>
  <Words>464</Words>
  <Characters>3051</Characters>
  <CharactersWithSpaces>3499</CharactersWithSpaces>
  <Paragraphs>58</Paragraphs>
  <Company>RePack by SPecialiST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2024-07-19T09:24:00Z</dcterms:created>
  <dc:creator>Костюков А.А.</dc:creator>
  <dc:description/>
  <dc:language>ru-RU</dc:language>
  <cp:lastModifiedBy/>
  <cp:lastPrinted>2026-07-28T12:51:51Z</cp:lastPrinted>
  <dcterms:modified xsi:type="dcterms:W3CDTF">2026-07-30T12:52:45Z</dcterms:modified>
  <cp:revision>10</cp:revision>
  <dc:subject>автозапчасти</dc:subject>
  <dc:title>Приложение №2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