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Приложение к контракту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</w:p>
    <w:p>
      <w:pPr>
        <w:jc w:val="right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№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</w:p>
    <w:p>
      <w:pPr>
        <w:jc w:val="right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  <w:r/>
    </w:p>
    <w:p>
      <w:pPr>
        <w:jc w:val="center"/>
        <w:spacing w:after="24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Техническое задание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  <w:r/>
    </w:p>
    <w:p>
      <w:pPr>
        <w:jc w:val="center"/>
        <w:spacing w:after="12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 Общие положения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1.1.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Объект закупки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оказание услуг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по подключению пурифайера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(далее - Услуги)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1.2.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Место оказания услуг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г. Москва, ул.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Новослободская, д.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21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1.3.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Срок оказания услуг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в течение 10 рабочих дней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 даты заключения контракта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center"/>
        <w:spacing w:before="120" w:after="12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 Требование к оказанию услуг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pStyle w:val="904"/>
        <w:ind w:left="0"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2.1. Количес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тво подключаемых пурифайеров – 1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 шт.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  <w:r/>
    </w:p>
    <w:p>
      <w:pPr>
        <w:pStyle w:val="904"/>
        <w:ind w:left="0"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2.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.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Места подключения пурифайера согласовываются с Заказчиком.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  <w:r/>
    </w:p>
    <w:p>
      <w:pPr>
        <w:pStyle w:val="904"/>
        <w:ind w:left="0"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2.3.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В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 перечень оказания Услуг входит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 следующие виды работ, в том числе, но не ограничиваясь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: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  <w:r/>
    </w:p>
    <w:p>
      <w:pPr>
        <w:pStyle w:val="904"/>
        <w:ind w:left="0"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-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сантехнические работы -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подключение пурифай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е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ров к системе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холодного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водоснабжения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 и разводка от места подключения до пурифайера;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  <w:r/>
    </w:p>
    <w:p>
      <w:pPr>
        <w:pStyle w:val="904"/>
        <w:ind w:left="0"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- установка тройника на отводящую трубу подачи холодной воды;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установка шарового крана в месте присоединения гибкого шланга;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протяжка шланга от системы водоснабжения до пурифайера (в том числе сверление стены);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установка пластикового короба (шириной 40-50 мм.) в местах открытой проводки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уборка мусора в месте проведения работ.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Все расходные материалы необходимые при оказании Услуг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приобретаются Исполнителем своими силами и за свой счет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осстановление отделки поверхностей стен, потолков здания,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арушенных при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монтаже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(в случае нарушения).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Оказанные Услуги предъявить представителю Заказчика, продемонстрировать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надлежащее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функционирование пурифайера.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/>
    </w:p>
    <w:p>
      <w:pPr>
        <w:ind w:firstLine="709"/>
        <w:jc w:val="center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 Права и обязанности Сторон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3.1. Исполнитель вправе: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3.1.1. Требовать своевременного подписания Заказчиком акта сдачи-приемки услуг (приложение № 1 к настоящему Техническому заданию) на основании представленных Исполнителем документов, предусмотренных пунктом 5.2 настоящего Технического задания.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  <w14:ligatures w14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3.1.2. Требовать своевременной оплаты оказанных Услуг в соответствии с условиями Контракта.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3.1.3. Требовать уплаты неустоек (штрафов, пеней) в случае неисполнения или ненадлежащего исполнения (в том числе просрочки исполнения) Заказчиком обязательств, предусмотренных Контрактом.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3.1.4. Досрочно исполнить обязательства, установленные Контрактом с согласия Заказчика.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Исполнитель обязан: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3.2.1. Оказать Услуги в полном объеме в порядке, установленном Контрактом и настоящим Техническим заданием.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3.2.2. За свой счет, не нарушая сроков оказания Услуг, устранять допущенные по своей вине несоответствия Услуг условиям Контракта и настоящего Технического задания.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3.2.3. Приостановить исполнен</w:t>
      </w:r>
      <w:r>
        <w:rPr>
          <w:rFonts w:ascii="Times New Roman" w:hAnsi="Times New Roman" w:cs="Times New Roman"/>
          <w:sz w:val="26"/>
          <w:szCs w:val="26"/>
        </w:rPr>
        <w:t xml:space="preserve">ие Контракта, письменно поставив об этом в известность Заказчика за 5 (пять) дней до приостановления оказания Услуг в случае, если в процессе оказания Услуг выясняется неизбежность получения отрицательного результата, несоответствующего условиям Контракта.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3.2.4. Гарантировать Заказчику оказание качественных Услуг с соблюдением всех требований законодательства Российской Федерации.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3.2.5. </w:t>
      </w:r>
      <w:r>
        <w:rPr>
          <w:rFonts w:ascii="Times New Roman" w:hAnsi="Times New Roman" w:cs="Times New Roman"/>
          <w:sz w:val="26"/>
          <w:szCs w:val="26"/>
        </w:rPr>
        <w:t xml:space="preserve">В случае изменения банковских или иных реквизитов в течение 3 (трех) рабочих дней письменно известить Заказчика, в противном случае все риски, связанные с перечислением Заказчиком денежных средств на указанный в Контракте расчетный счет, несет Исполнитель.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Заказчик вправе: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3.3.1.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3.3.2. Требовать от Исполнителя представления надлежащим образом оформленных документов, предусмотренных пунктом 5.2 настоящего Технического задания и подтверждающих исполнение обязательств по Контракту.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3.3.3. Запрашивать у Исполнителя информацию о ходе исполнения обязательств по Контракту.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3.3.4. Отказаться от приемки Услуг в случаях, предусмотренных законодательством Российской Федерации и Контрактом, в том числе в случае обнаружения неустранимых недостатков.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3.3.5. По соглашению с Исполнителем изменить существенные условия Контракта в случаях, установленных законодательством Российской Федерации и Контрактом.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3.3.6. Осуществить выплату Исполнителю суммы, уменьшенной на сумму неустойки (штрафа, пени), рассчитанной в порядке, предусмотренном частью 7 настоящего Технического задания.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3.3.7. Пользоваться иными правами, установленными Контрактом и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Заказчик обязан: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3.4.1. Принять и оплатить оказанные Услуги в соответствии с условиями Контракта.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3.4.2. Осуществлять контроль за порядком оказания Услуг.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3.4.3. Требовать уплаты неустоек (штрафов, пеней) в случае неисполнения или ненадлежащего исполнения (в том числе просрочки исполнения) Исполнителем обязательств, предусмотренных Контрактом и настоящим Техническим заданием.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Стороны обязуются не уступать (не передавать) и не обременять каким-либо образом свои права и (или) обязанности по Контракту без предварительного письменного согласия другой Стороны.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Порядок расчетов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Сумма, подлежащая уплате Заказчиком Исполнителю,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sz w:val="26"/>
          <w:szCs w:val="26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r>
        <w:rPr>
          <w:rFonts w:ascii="Times New Roman" w:hAnsi="Times New Roman" w:cs="Times New Roman"/>
          <w:sz w:val="26"/>
          <w:szCs w:val="26"/>
        </w:rPr>
        <w:t xml:space="preserve">Цена Контракта является твердой и определяется на весь срок его исполнения. Изменение цены Контракта в процессе его исполнения не допускается, за исключением следующих случаев, предусмотренных частью 1 статьи 95 Федерального закона </w:t>
      </w:r>
      <w:r>
        <w:rPr>
          <w:rFonts w:ascii="Times New Roman" w:hAnsi="Times New Roman" w:cs="Times New Roman"/>
          <w:sz w:val="26"/>
          <w:szCs w:val="26"/>
        </w:rPr>
        <w:t xml:space="preserve">от 05.04.2013 </w:t>
      </w:r>
      <w:r>
        <w:rPr>
          <w:rFonts w:ascii="Times New Roman" w:hAnsi="Times New Roman" w:cs="Times New Roman"/>
          <w:sz w:val="26"/>
          <w:szCs w:val="26"/>
        </w:rPr>
        <w:t xml:space="preserve">№ 44-ФЗ.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r>
        <w:rPr>
          <w:rFonts w:ascii="Times New Roman" w:hAnsi="Times New Roman" w:cs="Times New Roman"/>
          <w:sz w:val="26"/>
          <w:szCs w:val="26"/>
        </w:rPr>
        <w:t xml:space="preserve">Оплата по настоящему Контракту производится Заказчиком по факту оказания Услуг путем перечисления денежных средств на расчетный счет Исполнителя.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</w:t>
      </w:r>
      <w:r>
        <w:rPr>
          <w:rFonts w:ascii="Times New Roman" w:hAnsi="Times New Roman" w:cs="Times New Roman"/>
          <w:sz w:val="26"/>
          <w:szCs w:val="26"/>
        </w:rPr>
        <w:t xml:space="preserve">Оплата Услуг, оказанных, производится Заказчиком по факту оказания Услуг не позднее </w:t>
      </w:r>
      <w:r>
        <w:rPr>
          <w:rFonts w:ascii="Times New Roman" w:hAnsi="Times New Roman" w:cs="Times New Roman"/>
          <w:sz w:val="26"/>
          <w:szCs w:val="26"/>
        </w:rPr>
        <w:t xml:space="preserve">10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десяти</w:t>
      </w:r>
      <w:r>
        <w:rPr>
          <w:rFonts w:ascii="Times New Roman" w:hAnsi="Times New Roman" w:cs="Times New Roman"/>
          <w:sz w:val="26"/>
          <w:szCs w:val="26"/>
        </w:rPr>
        <w:t xml:space="preserve">) рабочих дней с даты подписания Заказчиком </w:t>
      </w:r>
      <w:r>
        <w:rPr>
          <w:rFonts w:ascii="Times New Roman" w:hAnsi="Times New Roman" w:cs="Times New Roman"/>
          <w:sz w:val="26"/>
          <w:szCs w:val="26"/>
        </w:rPr>
        <w:t xml:space="preserve">акт</w:t>
      </w:r>
      <w:r>
        <w:rPr>
          <w:rFonts w:ascii="Times New Roman" w:hAnsi="Times New Roman" w:cs="Times New Roman"/>
          <w:sz w:val="26"/>
          <w:szCs w:val="26"/>
        </w:rPr>
        <w:t xml:space="preserve">а</w:t>
      </w:r>
      <w:r>
        <w:rPr>
          <w:rFonts w:ascii="Times New Roman" w:hAnsi="Times New Roman" w:cs="Times New Roman"/>
          <w:sz w:val="26"/>
          <w:szCs w:val="26"/>
        </w:rPr>
        <w:t xml:space="preserve"> сдачи-приемки услуг (приложение № 1 к настоящему Техническому заданию)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Датой оплаты Услуг считается дата списания денежных средств с лицевого счета Заказчика.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 Оплата по Контракту осуществляется за счет и в пределах средств федерального бюджета, выделенных Заказчику в 202</w:t>
      </w:r>
      <w:r>
        <w:rPr>
          <w:rFonts w:ascii="Times New Roman" w:hAnsi="Times New Roman" w:cs="Times New Roman"/>
          <w:sz w:val="26"/>
          <w:szCs w:val="26"/>
        </w:rPr>
        <w:t xml:space="preserve">6 году.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 Цена Контракта формируется с учетом всех расходов Исполнителя, связанных с оказанием Услуг, а также налогов, сборов и других обязательных платежей в соответствии с законодательством Российской Федерации и Контрактом.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Порядок оказания Услуг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Порядок оказания Услуг по Контракту определяется настоящим Техническим заданием.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Исполнитель не позднее 5 (пяти) рабочих дней с даты окончания оказания Услуг с сопроводительным письмом передает Заказчику подписанные со своей стороны и заверенные печатью (при наличии) следующие документы: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акт сдачи-приемки услуг (приложение № 1 к настоящему Техническому заданию) в 2 (двух) экземплярах;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счет в 1 (одном) экземпляре;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счет-фактуру или универсальный передаточный документ в 1 (одном) экземпляре (в случае, если Исполнитель является плательщиком НДС);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иные документы, подтверждающие качество оказанных Услуг.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Передаваемые документы должны соответствовать Контракту и настоящему Техническому заданию.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Услуги считаются оказанными с даты получения Заказчиком документов, указанных в пункте 5.2 настоящего Технического задания, но не ранее фактического окончания оказания Услуг Заказчику.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Порядок приемки Услуг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случае если Исполнитель некорректно оформил счет, счет-</w:t>
      </w:r>
      <w:r>
        <w:rPr>
          <w:rFonts w:ascii="Times New Roman" w:hAnsi="Times New Roman" w:cs="Times New Roman"/>
          <w:sz w:val="26"/>
          <w:szCs w:val="26"/>
        </w:rPr>
        <w:t xml:space="preserve">фактуру (при наличии) или акт сдачи-приемки услуг (приложение № 1 к настоящему Техническому заданию) в предоставляемом комплекте документов, Заказчик вправе приостановить приемку Услуг до устранения Исполнителем замечаний к оформлению указанных документов.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В целях приемки оказанных Услуг по решению Заказчика может создаваться приемочная комиссия.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При приемке оказанных Услуг для проверки предоставленных Исполнителем результатов, предусмотренных Контрактом, в части их соответствия условиям Контракта и настоящего Технического задания, Заказчик проводит экспертизу.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Экспертиза результатов, предусмотренных Контрактом, может проводиться Заказчиком своими силами и (или) к ее проведению могут привлекаться эксперты, экспертные организации.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результатам проведенной экспертизы эксперт (экспертная организация) готовит экспертное заключение и направляет его на рассмотрение Заказчику.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6.4. Заказчик проверяет оказанные Услуги на соответствие требованиям Контракта, в том числе настоящего Технического задания.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6.5. В случае принятия З</w:t>
      </w:r>
      <w:r>
        <w:rPr>
          <w:rFonts w:ascii="Times New Roman" w:hAnsi="Times New Roman" w:cs="Times New Roman"/>
          <w:sz w:val="26"/>
          <w:szCs w:val="26"/>
        </w:rPr>
        <w:t xml:space="preserve">аказчиком решения о приемке Услуг акт сдачи-приемки услуг (приложение № 1 к настоящему Техническому заданию) подписывается Заказчиком не позднее 20 (двадцати) рабочих дней с даты получения документов, указанных в пункте 5.2 настоящего Технического задания.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6.6. При выявлении несоответствия о</w:t>
      </w:r>
      <w:r>
        <w:rPr>
          <w:rFonts w:ascii="Times New Roman" w:hAnsi="Times New Roman" w:cs="Times New Roman"/>
          <w:sz w:val="26"/>
          <w:szCs w:val="26"/>
        </w:rPr>
        <w:t xml:space="preserve">казанных Услуг требованиям Контракта, в том числе настоящего Технического задания, препятствующего приемке Услуг, Заказчиком в срок, указанный в пункте 6.5 настоящего Технического задания, составляется акт, содержащий мотивированный отказ от приемки Услуг.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6.7. В течение 2 (двух) рабочих дней со дня составления акта в соответствии с пунктом 6.6 настоящего Технического з</w:t>
      </w:r>
      <w:r>
        <w:rPr>
          <w:rFonts w:ascii="Times New Roman" w:hAnsi="Times New Roman" w:cs="Times New Roman"/>
          <w:sz w:val="26"/>
          <w:szCs w:val="26"/>
        </w:rPr>
        <w:t xml:space="preserve">адания Заказчиком по адресу Исполнителя, указанному Контракте, направляется мотивированный отказ от приемки Услуг с указанием выявленных несоответствий оказанных Услуг требованиям Контракта и сроков их устранения с момента получения мотивированного отказа.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6.8. После устранения Исполнителем выявленных несоответствий повторная приемка Услуг 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в порядке, предусмотренном пунктами 6.3 – 6.6 настоящего Технического задания. В случае выявления при повторной приемке несоответствия Услуг требованиям Контракта, Услуги считаются неоказанными, а обязательства Исполнителя по их оказанию – невыполненными.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6.9. Услуги считаются принятым с даты подписания Заказчиком акта сдачи-приемки Услуг (приложение № 1 к настоящему Техническому заданию) при условии исполнения Исполнителем всех обязательств по Контракту.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Ответственность Сторон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За неисполнение или ненадлежащее исполнение своих обязательств, установленных Контрактом и настоящим Техническим заданием, Стороны несут ответственность в соответствии с законодательством Российской Федерации и Контрактом.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</w:t>
      </w:r>
      <w:r>
        <w:rPr>
          <w:rFonts w:ascii="Times New Roman" w:hAnsi="Times New Roman" w:cs="Times New Roman"/>
          <w:sz w:val="26"/>
          <w:szCs w:val="26"/>
        </w:rPr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штрафов, пеней.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 (одн</w:t>
      </w:r>
      <w:r>
        <w:rPr>
          <w:rFonts w:ascii="Times New Roman" w:hAnsi="Times New Roman" w:cs="Times New Roman"/>
          <w:sz w:val="26"/>
          <w:szCs w:val="26"/>
        </w:rPr>
        <w:t xml:space="preserve">у</w:t>
      </w:r>
      <w:r>
        <w:rPr>
          <w:rFonts w:ascii="Times New Roman" w:hAnsi="Times New Roman" w:cs="Times New Roman"/>
          <w:sz w:val="26"/>
          <w:szCs w:val="26"/>
        </w:rPr>
        <w:t xml:space="preserve"> тысяч</w:t>
      </w:r>
      <w:r>
        <w:rPr>
          <w:rFonts w:ascii="Times New Roman" w:hAnsi="Times New Roman" w:cs="Times New Roman"/>
          <w:sz w:val="26"/>
          <w:szCs w:val="26"/>
        </w:rPr>
        <w:t xml:space="preserve">у</w:t>
      </w:r>
      <w:r>
        <w:rPr>
          <w:rFonts w:ascii="Times New Roman" w:hAnsi="Times New Roman" w:cs="Times New Roman"/>
          <w:sz w:val="26"/>
          <w:szCs w:val="26"/>
        </w:rPr>
        <w:t xml:space="preserve"> рублей 00 копеек).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7.4. Пеня начисляется за каждый день просрочки исполнения Заказчиком обязательства, предусмотренного Контрактом, начиная со дня, следующего после </w:t>
      </w:r>
      <w:r>
        <w:rPr>
          <w:rFonts w:ascii="Times New Roman" w:hAnsi="Times New Roman" w:cs="Times New Roman"/>
          <w:sz w:val="26"/>
          <w:szCs w:val="26"/>
        </w:rPr>
        <w:t xml:space="preserve">дня истечения установленного Контрактом срока исполнения такого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7.5. В случае просрочки исполнения Исполнителем обязательств, предусмотренных Контрактом, а также в иных случаях неисполнения или ненадлежащего исполнен</w:t>
      </w:r>
      <w:r>
        <w:rPr>
          <w:rFonts w:ascii="Times New Roman" w:hAnsi="Times New Roman" w:cs="Times New Roman"/>
          <w:sz w:val="26"/>
          <w:szCs w:val="26"/>
        </w:rPr>
        <w:t xml:space="preserve">ия Исполнителем обязательств, предусмотренных Контрактом и настоящим Техническим заданием, Заказчик направляет Исполнителю требование об уплате штрафов, пеней или осуществляет оплату оказанных Услуг в размере, уменьшенном на сумму неустойки (штрафа, пени).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7.6. За каждый факт неисполнения или ненадлежащего исполнения Исполнителем обязательств</w:t>
      </w:r>
      <w:r>
        <w:rPr>
          <w:rFonts w:ascii="Times New Roman" w:hAnsi="Times New Roman" w:cs="Times New Roman"/>
          <w:sz w:val="26"/>
          <w:szCs w:val="26"/>
        </w:rPr>
        <w:t xml:space="preserve">, предусмотренных Контрактом, за исключением просрочки исполнения обязательств (в том числе гарантийного обязательства), предусмотренных Контрактом и настоящим Техническим заданием, размер штрафа составляет 10% (десять процентов) от цены Контракта (этапа).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7.7. За каждый факт неи</w:t>
      </w:r>
      <w:r>
        <w:rPr>
          <w:rFonts w:ascii="Times New Roman" w:hAnsi="Times New Roman" w:cs="Times New Roman"/>
          <w:sz w:val="26"/>
          <w:szCs w:val="26"/>
        </w:rPr>
        <w:t xml:space="preserve">сполнения или ненадлежащего исполнения Исполнителем обязательства, предусмотренного Контрактом и настоящим Техническим заданием, которое не имеет стоимостного выражения, размер штрафа составляет (при наличии в Контракте таких обязательств) 1000 рублей (одн</w:t>
      </w:r>
      <w:r>
        <w:rPr>
          <w:rFonts w:ascii="Times New Roman" w:hAnsi="Times New Roman" w:cs="Times New Roman"/>
          <w:sz w:val="26"/>
          <w:szCs w:val="26"/>
        </w:rPr>
        <w:t xml:space="preserve">у</w:t>
      </w:r>
      <w:r>
        <w:rPr>
          <w:rFonts w:ascii="Times New Roman" w:hAnsi="Times New Roman" w:cs="Times New Roman"/>
          <w:sz w:val="26"/>
          <w:szCs w:val="26"/>
        </w:rPr>
        <w:t xml:space="preserve"> тысяч</w:t>
      </w:r>
      <w:r>
        <w:rPr>
          <w:rFonts w:ascii="Times New Roman" w:hAnsi="Times New Roman" w:cs="Times New Roman"/>
          <w:sz w:val="26"/>
          <w:szCs w:val="26"/>
        </w:rPr>
        <w:t xml:space="preserve">у</w:t>
      </w:r>
      <w:r>
        <w:rPr>
          <w:rFonts w:ascii="Times New Roman" w:hAnsi="Times New Roman" w:cs="Times New Roman"/>
          <w:sz w:val="26"/>
          <w:szCs w:val="26"/>
        </w:rPr>
        <w:t xml:space="preserve"> рублей 00 копеек).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7.8. Пеня начисляется за каждый день просрочки исполнения Исполнителем обязательства, предусмотренного Контрактом и настоящим</w:t>
      </w:r>
      <w:r>
        <w:rPr>
          <w:rFonts w:ascii="Times New Roman" w:hAnsi="Times New Roman" w:cs="Times New Roman"/>
          <w:sz w:val="26"/>
          <w:szCs w:val="26"/>
        </w:rPr>
        <w:t xml:space="preserve"> Техническим заданием, начиная со дня, следующего после дня истечения установленного Контрактом срока исполнения такого обязательства, в размере одной трехсотой действующей на дату уплаты пени ключевой ставки Центрального банка Российской Федерации от цены</w:t>
      </w:r>
      <w:r>
        <w:rPr>
          <w:rFonts w:ascii="Times New Roman" w:hAnsi="Times New Roman" w:cs="Times New Roman"/>
          <w:sz w:val="26"/>
          <w:szCs w:val="26"/>
        </w:rPr>
        <w:t xml:space="preserve"> контракта, уменьшенной на сумму, пропорциональную объему обязательств, предусмотренных настоящим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7.11. Стороны настоящего Контракта освобождаются от уплаты штрафов, пени,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7.12. Уплата Стороной штрафов, пени или применение иной формы ответственности не освобождает его от исполнения обязательств по Контракту.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7.13. Расторжение или прекращение срока действия Контракта не освобождает Стороны от уплаты неустоек, штрафов, пени.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Обстоятельства непреодолимой силы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8.1. Стороны освобождаются от ответственности за полное или частичное неисполнение своих обязательств по Контракту, в случае если оно явилось следствием обст</w:t>
      </w:r>
      <w:r>
        <w:rPr>
          <w:rFonts w:ascii="Times New Roman" w:hAnsi="Times New Roman" w:cs="Times New Roman"/>
          <w:sz w:val="26"/>
          <w:szCs w:val="26"/>
        </w:rPr>
        <w:t xml:space="preserve">оятельств непреодолимой силы, а именно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в том числе решения органа государстве</w:t>
      </w:r>
      <w:r>
        <w:rPr>
          <w:rFonts w:ascii="Times New Roman" w:hAnsi="Times New Roman" w:cs="Times New Roman"/>
          <w:sz w:val="26"/>
          <w:szCs w:val="26"/>
        </w:rPr>
        <w:t xml:space="preserve">нной власти, государственных органов, уполномоченных должностных лиц,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8.2. Сторона, подвергшаяся действию обстоятельств непреодолимой силы, не позднее 5 (пяти) рабочих дней с момента их наступления обязана в письменной форме уведомить другую Стор</w:t>
      </w:r>
      <w:r>
        <w:rPr>
          <w:rFonts w:ascii="Times New Roman" w:hAnsi="Times New Roman" w:cs="Times New Roman"/>
          <w:sz w:val="26"/>
          <w:szCs w:val="26"/>
        </w:rPr>
        <w:t xml:space="preserve">ону о возникновении, виде и возможной продолжительности действия указанных обстоятельств с приложением документов, удостоверяющих факт наступления указанных обстоятельств. Такие документы должны быть получены от компетентных органов территории, где данные </w:t>
      </w:r>
      <w:r>
        <w:rPr>
          <w:rFonts w:ascii="Times New Roman" w:hAnsi="Times New Roman" w:cs="Times New Roman"/>
          <w:sz w:val="26"/>
          <w:szCs w:val="26"/>
        </w:rPr>
        <w:t xml:space="preserve">обстоятельства имели место (в случае, если Исполнителем является нерезидент Российской Федерации – то торгово-промышленной палаты страны, где данные обстоятельства имели место).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8.3. В случае </w:t>
      </w:r>
      <w:r>
        <w:rPr>
          <w:rFonts w:ascii="Times New Roman" w:hAnsi="Times New Roman" w:cs="Times New Roman"/>
          <w:sz w:val="26"/>
          <w:szCs w:val="26"/>
        </w:rPr>
        <w:t xml:space="preserve">своевременного уведомления Стороной, подвергшейся действию обстоятельств непреодолимой силы, другой Стороны о возникновении, виде и возможной продолжительности действия указанных обстоятельств с приложением документов, удостоверяющих факт наступления указа</w:t>
      </w:r>
      <w:r>
        <w:rPr>
          <w:rFonts w:ascii="Times New Roman" w:hAnsi="Times New Roman" w:cs="Times New Roman"/>
          <w:sz w:val="26"/>
          <w:szCs w:val="26"/>
        </w:rPr>
        <w:t xml:space="preserve">нных обстоятельств, Стороны проводят переговоры о продлении или прекращении действия Контракта, либо об изменении его условий. В результате переговоров составляется двусторонний акт, подписанный лицами, уполномоченными Сторонами подписывать такой документ.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8.4. Если обстоятельства непреодо</w:t>
      </w:r>
      <w:r>
        <w:rPr>
          <w:rFonts w:ascii="Times New Roman" w:hAnsi="Times New Roman" w:cs="Times New Roman"/>
          <w:sz w:val="26"/>
          <w:szCs w:val="26"/>
        </w:rPr>
        <w:t xml:space="preserve">лимой силы будут действовать свыше 6 (шести) месяцев, то каждая из Сторон будет вправе требовать расторжения Контракта полностью или частично, и в таком случае ни одна из Сторон не будет иметь права требовать от другой Стороны возмещения возможных убытков.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Порядок изменения и расторжения Контракта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9.1. При исполнении Контракта по согласованию Заказчика с Исполнителем доп</w:t>
      </w:r>
      <w:r>
        <w:rPr>
          <w:rFonts w:ascii="Times New Roman" w:hAnsi="Times New Roman" w:cs="Times New Roman"/>
          <w:sz w:val="26"/>
          <w:szCs w:val="26"/>
        </w:rPr>
        <w:t xml:space="preserve">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и настоящем Техническом задании.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9.2. Изменения и дополнения Контракта и настоящ</w:t>
      </w:r>
      <w:r>
        <w:rPr>
          <w:rFonts w:ascii="Times New Roman" w:hAnsi="Times New Roman" w:cs="Times New Roman"/>
          <w:sz w:val="26"/>
          <w:szCs w:val="26"/>
        </w:rPr>
        <w:t xml:space="preserve">его Технического задания, в том числе по основанию, предусмотренному пунктом 4.2 настоящего Технического задания, вносятся по соглашению Сторон, которое оформляется соответствующим дополнительным соглашением, которое является неотъемлемой частью Контракта.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9.3. Расторжение Контракта допускается по соглашению Сторон, по решению суда или в связи с одностор</w:t>
      </w:r>
      <w:r>
        <w:rPr>
          <w:rFonts w:ascii="Times New Roman" w:hAnsi="Times New Roman" w:cs="Times New Roman"/>
          <w:sz w:val="26"/>
          <w:szCs w:val="26"/>
        </w:rPr>
        <w:t xml:space="preserve">онним отказом Стороны от исполнения Контракта в соответствии с гражданским законодательством Российской Федерации. При этом факт подписания Сторонами соглашения о расторжении Контракта не освобождает Стороны от обязанности урегулирования взаимных расчетов.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9.5. В случае расторжения Контракта в соответствии с пунктом 9.4 настоящего Технического задания, Заказчик в установленном порядке направляет сведения об Исполнителе в реестр недобросовестных поставщиков (подрядчиков, исполнителей).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Порядок разрешения споров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10.1. Претензионный порядок рассмотрения споров по настоящему Контракту является для Сторон обязательным.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10.2. Претензионные письма направляются Сторонами нарочным, либо заказным почтовым отправлением с уведомлением о вручении по адресам Сторон, указанным в Контракте.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10.3. Направление Сторонами претензионных писем иным способом, чем указано в пункте 10.2 настоящего Технического задания, не допускается.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10.4. Срок рассмотрения претензионного письма составляет 10 (десять) рабочих дней со дня получения адресатом.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10.5. Споры, по которым не было достигнуто соглашение при соблюдении претензионного порядка, подлежат передаче в Арбитражный суд г. Москвы.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Заключительные положения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11.1. Все изменения и дополнения к Контракту оформляются в письменном виде и согласовываются Сторонами.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11.2. В случае изменения реквизитов, указанных в Контракте, Сторона письменно извещает об этом другую Сторону в течение 3 (трех) рабочих дней с даты такого изменения.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11.3. Во всем остальном, что не предусмотрено Контрактом и настоящим Техническим заданием,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11.4. Все изменения и приложения к настоящему Техническому заданию являются неотъемлемой частью Контракта, в том числе: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</w:rPr>
        <w:t xml:space="preserve"> </w:t>
      </w:r>
      <w:r>
        <w:rPr>
          <w:rFonts w:ascii="Times New Roman" w:hAnsi="Times New Roman" w:cs="Times New Roman"/>
          <w:sz w:val="26"/>
          <w:szCs w:val="26"/>
        </w:rPr>
        <w:t xml:space="preserve">приложение</w:t>
      </w:r>
      <w:r>
        <w:rPr>
          <w:rFonts w:ascii="Times New Roman" w:hAnsi="Times New Roman" w:cs="Times New Roman"/>
          <w:sz w:val="26"/>
          <w:szCs w:val="26"/>
        </w:rPr>
        <w:t xml:space="preserve"> </w:t>
      </w:r>
      <w:r>
        <w:rPr>
          <w:rFonts w:ascii="Times New Roman" w:hAnsi="Times New Roman" w:cs="Times New Roman"/>
          <w:sz w:val="26"/>
          <w:szCs w:val="26"/>
        </w:rPr>
        <w:t xml:space="preserve">№</w:t>
      </w:r>
      <w:r>
        <w:rPr>
          <w:rFonts w:ascii="Times New Roman" w:hAnsi="Times New Roman" w:cs="Times New Roman"/>
          <w:sz w:val="26"/>
          <w:szCs w:val="26"/>
        </w:rPr>
        <w:t xml:space="preserve"> 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 </w:t>
      </w:r>
      <w:r>
        <w:rPr>
          <w:rFonts w:ascii="Times New Roman" w:hAnsi="Times New Roman" w:cs="Times New Roman"/>
          <w:sz w:val="26"/>
          <w:szCs w:val="26"/>
        </w:rPr>
        <w:t xml:space="preserve">- Форма акта сдачи-приемки услуг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 w:clear="all"/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left="709"/>
        <w:jc w:val="right"/>
        <w:pageBreakBefore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Приложение № 1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r>
      <w:r/>
    </w:p>
    <w:p>
      <w:pPr>
        <w:ind w:left="709"/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к Техническому заданию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r>
      <w:r/>
    </w:p>
    <w:p>
      <w:pPr>
        <w:ind w:right="141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ФОРМА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АКТ № 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сдачи-приемки услуг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center"/>
        <w:spacing w:after="12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к контракту от «____» _____202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г. № 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Федеральная пробирная палата, именуемая в дальнейшем «Заказчик», в лице _______________, де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йствующего на основании ______________, с одной стороны, и ___________, именуемое в дальнейшем «Исполнитель», в лице _______, действующего на основании __________, с другой стороны, совместно именуемые в дальнейшем «Стороны», составили акт о нижеследующем: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 В соответствии с контрактом от «____» _______202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г. № _____________ (далее – Контракт) Исполнитель выполнил свои обязательства по оказанию услуг __________ (далее – Услуги).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2. Общая стоимость оказанных Услуг составляет _________ рублей (_______ рублей __ копеек).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 Услуги согласно Контракту должны быть оказаны с «__» ____ по «__» ____ 202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г.,  фактически Услуги оказаны «___» _______202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 Оказанные Услуги (соответствуют / не соответствуют) по объему, составу, содержанию, срокам, качеству условиям Контракта.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5. Выявленные несоответствия оказанных Услуг условиям Контракта: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_____________________________________________________________________.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6. В соответствии с пунктом ____ Технического задания сумма неустойки (штрафа, пени) составляет _______________________________________________________.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7. Итоговая сумма, подлежащая оплате Исполнителю, составляет ________ рублей (____ рублей __ копеек).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8. К акту прилагаются следующие документы: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а) счет от «____» ___________ 202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г. № ______;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б) счет-фактура от «____» _______ 202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г. № _________ </w:t>
      </w:r>
      <w:r>
        <w:rPr>
          <w:rFonts w:ascii="Times New Roman" w:hAnsi="Times New Roman" w:eastAsia="Times New Roman" w:cs="Times New Roman"/>
          <w:i/>
          <w:sz w:val="26"/>
          <w:szCs w:val="26"/>
          <w:lang w:eastAsia="ru-RU"/>
        </w:rPr>
        <w:t xml:space="preserve">(в случае, если Исполнитель является плательщиком НДС)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в) </w:t>
      </w:r>
      <w:r>
        <w:rPr>
          <w:rFonts w:ascii="Times New Roman" w:hAnsi="Times New Roman" w:eastAsia="Times New Roman" w:cs="Times New Roman"/>
          <w:spacing w:val="-6"/>
          <w:sz w:val="26"/>
          <w:szCs w:val="26"/>
          <w:lang w:eastAsia="ru-RU"/>
        </w:rPr>
        <w:t xml:space="preserve">документы, подтверждающие качество оказанных услуг.</w:t>
      </w:r>
      <w:r>
        <w:rPr>
          <w:rFonts w:ascii="Times New Roman" w:hAnsi="Times New Roman" w:eastAsia="Times New Roman" w:cs="Times New Roman"/>
          <w:spacing w:val="-6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tbl>
      <w:tblPr>
        <w:tblStyle w:val="910"/>
        <w:tblW w:w="0" w:type="auto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51"/>
        <w:gridCol w:w="4758"/>
      </w:tblGrid>
      <w:tr>
        <w:trPr>
          <w:trHeight w:val="2072"/>
        </w:trPr>
        <w:tc>
          <w:tcPr>
            <w:tcW w:w="50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Федеральная пробирная палата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r>
            <w:r/>
          </w:p>
          <w:p>
            <w:pPr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(должность)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/>
          </w:p>
          <w:p>
            <w:pPr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(ФИО)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/>
          </w:p>
          <w:p>
            <w:pPr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«____»______________202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/>
          </w:p>
        </w:tc>
        <w:tc>
          <w:tcPr>
            <w:tcW w:w="47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r>
            <w:r/>
          </w:p>
          <w:p>
            <w:pP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r>
            <w:r/>
          </w:p>
          <w:p>
            <w:pPr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(должность)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/>
          </w:p>
          <w:p>
            <w:pPr>
              <w:jc w:val="right"/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(ФИО)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</w:r>
            <w:r/>
          </w:p>
          <w:p>
            <w:pPr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«____»______________202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/>
          </w:p>
        </w:tc>
      </w:tr>
    </w:tbl>
    <w:p>
      <w:r/>
      <w:r/>
    </w:p>
    <w:sectPr>
      <w:headerReference w:type="default" r:id="rId8"/>
      <w:footnotePr/>
      <w:endnotePr/>
      <w:type w:val="nextPage"/>
      <w:pgSz w:w="11906" w:h="16838" w:orient="portrait"/>
      <w:pgMar w:top="851" w:right="851" w:bottom="851" w:left="1418" w:header="227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Tahoma">
    <w:panose1 w:val="020B0604030504040204"/>
  </w:font>
  <w:font w:name="Noto Sans Devanagari">
    <w:panose1 w:val="020B0502040504020204"/>
  </w:font>
  <w:font w:name="PT Sans">
    <w:panose1 w:val="020B0503020203020204"/>
  </w:font>
  <w:font w:name="Calibri">
    <w:panose1 w:val="020F0502020204030204"/>
  </w:font>
  <w:font w:name="Consolas">
    <w:panose1 w:val="020B0609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80181087"/>
      <w:docPartObj>
        <w:docPartGallery w:val="Page Numbers (Top of Page)"/>
        <w:docPartUnique w:val="true"/>
      </w:docPartObj>
      <w:rPr/>
    </w:sdtPr>
    <w:sdtContent>
      <w:p>
        <w:pPr>
          <w:pStyle w:val="89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  <w:r/>
      </w:p>
    </w:sdtContent>
  </w:sdt>
  <w:p>
    <w:pPr>
      <w:pStyle w:val="89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1">
    <w:name w:val="Heading 1 Char"/>
    <w:basedOn w:val="833"/>
    <w:link w:val="829"/>
    <w:uiPriority w:val="9"/>
    <w:rPr>
      <w:rFonts w:ascii="Arial" w:hAnsi="Arial" w:eastAsia="Arial" w:cs="Arial"/>
      <w:sz w:val="40"/>
      <w:szCs w:val="40"/>
    </w:rPr>
  </w:style>
  <w:style w:type="character" w:styleId="662">
    <w:name w:val="Heading 2 Char"/>
    <w:basedOn w:val="833"/>
    <w:link w:val="830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28"/>
    <w:next w:val="828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3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28"/>
    <w:next w:val="828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3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28"/>
    <w:next w:val="828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3"/>
    <w:link w:val="667"/>
    <w:uiPriority w:val="9"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basedOn w:val="833"/>
    <w:link w:val="831"/>
    <w:uiPriority w:val="9"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basedOn w:val="833"/>
    <w:link w:val="8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28"/>
    <w:next w:val="828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3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28"/>
    <w:next w:val="828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3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character" w:styleId="676">
    <w:name w:val="Title Char"/>
    <w:basedOn w:val="833"/>
    <w:link w:val="896"/>
    <w:uiPriority w:val="10"/>
    <w:rPr>
      <w:sz w:val="48"/>
      <w:szCs w:val="48"/>
    </w:rPr>
  </w:style>
  <w:style w:type="paragraph" w:styleId="677">
    <w:name w:val="Subtitle"/>
    <w:basedOn w:val="828"/>
    <w:next w:val="828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28"/>
    <w:next w:val="828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8"/>
    <w:next w:val="828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3"/>
    <w:link w:val="895"/>
    <w:uiPriority w:val="99"/>
  </w:style>
  <w:style w:type="character" w:styleId="684">
    <w:name w:val="Footer Char"/>
    <w:basedOn w:val="833"/>
    <w:link w:val="901"/>
    <w:uiPriority w:val="99"/>
  </w:style>
  <w:style w:type="character" w:styleId="685">
    <w:name w:val="Caption Char"/>
    <w:basedOn w:val="889"/>
    <w:link w:val="901"/>
    <w:uiPriority w:val="99"/>
  </w:style>
  <w:style w:type="table" w:styleId="686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5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6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7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8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9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0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2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3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4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5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6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7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character" w:styleId="812">
    <w:name w:val="Footnote Text Char"/>
    <w:link w:val="891"/>
    <w:uiPriority w:val="99"/>
    <w:rPr>
      <w:sz w:val="18"/>
    </w:rPr>
  </w:style>
  <w:style w:type="character" w:styleId="813">
    <w:name w:val="footnote reference"/>
    <w:basedOn w:val="833"/>
    <w:uiPriority w:val="99"/>
    <w:unhideWhenUsed/>
    <w:rPr>
      <w:vertAlign w:val="superscript"/>
    </w:rPr>
  </w:style>
  <w:style w:type="paragraph" w:styleId="814">
    <w:name w:val="endnote text"/>
    <w:basedOn w:val="828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33"/>
    <w:uiPriority w:val="99"/>
    <w:semiHidden/>
    <w:unhideWhenUsed/>
    <w:rPr>
      <w:vertAlign w:val="superscript"/>
    </w:rPr>
  </w:style>
  <w:style w:type="paragraph" w:styleId="817">
    <w:name w:val="toc 1"/>
    <w:basedOn w:val="828"/>
    <w:next w:val="828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8"/>
    <w:next w:val="828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8"/>
    <w:next w:val="828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8"/>
    <w:next w:val="828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8"/>
    <w:next w:val="828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qFormat/>
    <w:pPr>
      <w:spacing w:after="160" w:line="259" w:lineRule="auto"/>
    </w:pPr>
    <w:rPr>
      <w:sz w:val="22"/>
    </w:rPr>
  </w:style>
  <w:style w:type="paragraph" w:styleId="829">
    <w:name w:val="Heading 1"/>
    <w:basedOn w:val="828"/>
    <w:link w:val="846"/>
    <w:qFormat/>
    <w:pPr>
      <w:keepNext/>
      <w:spacing w:before="240" w:after="60" w:line="240" w:lineRule="auto"/>
      <w:outlineLvl w:val="0"/>
    </w:pPr>
    <w:rPr>
      <w:rFonts w:ascii="Arial" w:hAnsi="Arial" w:eastAsia="Times New Roman" w:cs="Arial"/>
      <w:b/>
      <w:bCs/>
      <w:sz w:val="32"/>
      <w:szCs w:val="32"/>
      <w:lang w:eastAsia="ru-RU"/>
    </w:rPr>
  </w:style>
  <w:style w:type="paragraph" w:styleId="830">
    <w:name w:val="Heading 2"/>
    <w:basedOn w:val="828"/>
    <w:uiPriority w:val="9"/>
    <w:semiHidden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831">
    <w:name w:val="Heading 6"/>
    <w:basedOn w:val="828"/>
    <w:link w:val="847"/>
    <w:qFormat/>
    <w:p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832">
    <w:name w:val="Heading 7"/>
    <w:basedOn w:val="828"/>
    <w:link w:val="848"/>
    <w:qFormat/>
    <w:pPr>
      <w:spacing w:before="240" w:after="60" w:line="240" w:lineRule="auto"/>
      <w:outlineLvl w:val="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Текст сноски Знак"/>
    <w:basedOn w:val="833"/>
    <w:uiPriority w:val="99"/>
    <w:qFormat/>
    <w:rPr>
      <w:sz w:val="20"/>
      <w:szCs w:val="20"/>
    </w:rPr>
  </w:style>
  <w:style w:type="character" w:styleId="837" w:customStyle="1">
    <w:name w:val="Привязка сноски"/>
    <w:rPr>
      <w:vertAlign w:val="superscript"/>
    </w:rPr>
  </w:style>
  <w:style w:type="character" w:styleId="838" w:customStyle="1">
    <w:name w:val="Footnote Characters"/>
    <w:basedOn w:val="833"/>
    <w:uiPriority w:val="99"/>
    <w:unhideWhenUsed/>
    <w:qFormat/>
    <w:rPr>
      <w:vertAlign w:val="superscript"/>
    </w:rPr>
  </w:style>
  <w:style w:type="character" w:styleId="839">
    <w:name w:val="annotation reference"/>
    <w:basedOn w:val="833"/>
    <w:unhideWhenUsed/>
    <w:qFormat/>
    <w:rPr>
      <w:sz w:val="16"/>
      <w:szCs w:val="16"/>
    </w:rPr>
  </w:style>
  <w:style w:type="character" w:styleId="840" w:customStyle="1">
    <w:name w:val="Текст примечания Знак"/>
    <w:basedOn w:val="833"/>
    <w:qFormat/>
    <w:rPr>
      <w:sz w:val="20"/>
      <w:szCs w:val="20"/>
    </w:rPr>
  </w:style>
  <w:style w:type="character" w:styleId="841" w:customStyle="1">
    <w:name w:val="Тема примечания Знак"/>
    <w:basedOn w:val="840"/>
    <w:qFormat/>
    <w:rPr>
      <w:b/>
      <w:bCs/>
      <w:sz w:val="20"/>
      <w:szCs w:val="20"/>
    </w:rPr>
  </w:style>
  <w:style w:type="character" w:styleId="842" w:customStyle="1">
    <w:name w:val="Текст выноски Знак"/>
    <w:basedOn w:val="833"/>
    <w:qFormat/>
    <w:rPr>
      <w:rFonts w:ascii="Segoe UI" w:hAnsi="Segoe UI" w:cs="Segoe UI"/>
      <w:sz w:val="18"/>
      <w:szCs w:val="18"/>
    </w:rPr>
  </w:style>
  <w:style w:type="character" w:styleId="843" w:customStyle="1">
    <w:name w:val="Интернет-ссылка"/>
    <w:basedOn w:val="833"/>
    <w:uiPriority w:val="99"/>
    <w:unhideWhenUsed/>
    <w:rPr>
      <w:color w:val="0563c1" w:themeColor="hyperlink"/>
      <w:u w:val="single"/>
    </w:rPr>
  </w:style>
  <w:style w:type="character" w:styleId="844">
    <w:name w:val="FollowedHyperlink"/>
    <w:basedOn w:val="833"/>
    <w:uiPriority w:val="99"/>
    <w:semiHidden/>
    <w:unhideWhenUsed/>
    <w:qFormat/>
    <w:rPr>
      <w:color w:val="954f72" w:themeColor="followedHyperlink"/>
      <w:u w:val="single"/>
    </w:rPr>
  </w:style>
  <w:style w:type="character" w:styleId="845" w:customStyle="1">
    <w:name w:val="Верхний колонтитул Знак"/>
    <w:basedOn w:val="833"/>
    <w:uiPriority w:val="99"/>
    <w:qFormat/>
  </w:style>
  <w:style w:type="character" w:styleId="846" w:customStyle="1">
    <w:name w:val="Заголовок 1 Знак"/>
    <w:basedOn w:val="833"/>
    <w:link w:val="829"/>
    <w:qFormat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847" w:customStyle="1">
    <w:name w:val="Заголовок 6 Знак"/>
    <w:basedOn w:val="833"/>
    <w:link w:val="831"/>
    <w:qFormat/>
    <w:rPr>
      <w:rFonts w:ascii="Times New Roman" w:hAnsi="Times New Roman" w:eastAsia="Times New Roman" w:cs="Times New Roman"/>
      <w:b/>
      <w:bCs/>
      <w:lang w:eastAsia="ru-RU"/>
    </w:rPr>
  </w:style>
  <w:style w:type="character" w:styleId="848" w:customStyle="1">
    <w:name w:val="Заголовок 7 Знак"/>
    <w:basedOn w:val="833"/>
    <w:link w:val="832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9" w:customStyle="1">
    <w:name w:val="Название Знак"/>
    <w:basedOn w:val="833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850" w:customStyle="1">
    <w:name w:val="Текст Знак"/>
    <w:basedOn w:val="833"/>
    <w:qFormat/>
    <w:rPr>
      <w:rFonts w:ascii="Consolas" w:hAnsi="Consolas" w:eastAsia="Calibri" w:cs="Times New Roman"/>
      <w:sz w:val="21"/>
      <w:szCs w:val="21"/>
      <w:lang w:val="en-US" w:bidi="en-US"/>
    </w:rPr>
  </w:style>
  <w:style w:type="character" w:styleId="851" w:customStyle="1">
    <w:name w:val="Основной текст с отступом Знак"/>
    <w:basedOn w:val="833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2" w:customStyle="1">
    <w:name w:val="Основной текст 2 Знак"/>
    <w:qFormat/>
    <w:rPr>
      <w:sz w:val="24"/>
    </w:rPr>
  </w:style>
  <w:style w:type="character" w:styleId="853" w:customStyle="1">
    <w:name w:val="Основной текст 2 Знак1"/>
    <w:basedOn w:val="833"/>
    <w:uiPriority w:val="99"/>
    <w:semiHidden/>
    <w:qFormat/>
  </w:style>
  <w:style w:type="character" w:styleId="854" w:customStyle="1">
    <w:name w:val="Основной текст с отступом 3 Знак"/>
    <w:basedOn w:val="83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855">
    <w:name w:val="page number"/>
    <w:basedOn w:val="833"/>
    <w:qFormat/>
  </w:style>
  <w:style w:type="character" w:styleId="856" w:customStyle="1">
    <w:name w:val="Нижний колонтитул Знак"/>
    <w:basedOn w:val="833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7" w:customStyle="1">
    <w:name w:val="Знак Знак4"/>
    <w:qFormat/>
    <w:rPr>
      <w:rFonts w:ascii="Consolas" w:hAnsi="Consolas" w:eastAsia="Calibri"/>
      <w:sz w:val="21"/>
      <w:szCs w:val="21"/>
      <w:lang w:val="en-US" w:eastAsia="en-US" w:bidi="en-US"/>
    </w:rPr>
  </w:style>
  <w:style w:type="character" w:styleId="858" w:customStyle="1">
    <w:name w:val="Основной текст Знак"/>
    <w:basedOn w:val="833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9" w:customStyle="1">
    <w:name w:val="Основной текст 2 Знак2"/>
    <w:basedOn w:val="833"/>
    <w:link w:val="908"/>
    <w:uiPriority w:val="9"/>
    <w:semiHidden/>
    <w:qFormat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860" w:customStyle="1">
    <w:name w:val="ListLabel 1"/>
    <w:qFormat/>
    <w:rPr>
      <w:b w:val="0"/>
      <w:i w:val="0"/>
      <w:sz w:val="24"/>
      <w:szCs w:val="24"/>
    </w:rPr>
  </w:style>
  <w:style w:type="character" w:styleId="861" w:customStyle="1">
    <w:name w:val="ListLabel 2"/>
    <w:qFormat/>
    <w:rPr>
      <w:b/>
    </w:rPr>
  </w:style>
  <w:style w:type="character" w:styleId="862" w:customStyle="1">
    <w:name w:val="ListLabel 3"/>
    <w:qFormat/>
    <w:rPr>
      <w:rFonts w:cs="Times New Roman"/>
    </w:rPr>
  </w:style>
  <w:style w:type="character" w:styleId="863" w:customStyle="1">
    <w:name w:val="ListLabel 4"/>
    <w:qFormat/>
    <w:rPr>
      <w:rFonts w:cs="Times New Roman"/>
    </w:rPr>
  </w:style>
  <w:style w:type="character" w:styleId="864" w:customStyle="1">
    <w:name w:val="ListLabel 5"/>
    <w:qFormat/>
    <w:rPr>
      <w:rFonts w:cs="Times New Roman"/>
    </w:rPr>
  </w:style>
  <w:style w:type="character" w:styleId="865" w:customStyle="1">
    <w:name w:val="ListLabel 6"/>
    <w:qFormat/>
    <w:rPr>
      <w:rFonts w:cs="Times New Roman"/>
    </w:rPr>
  </w:style>
  <w:style w:type="character" w:styleId="866" w:customStyle="1">
    <w:name w:val="ListLabel 7"/>
    <w:qFormat/>
    <w:rPr>
      <w:rFonts w:cs="Times New Roman"/>
    </w:rPr>
  </w:style>
  <w:style w:type="character" w:styleId="867" w:customStyle="1">
    <w:name w:val="ListLabel 8"/>
    <w:qFormat/>
    <w:rPr>
      <w:rFonts w:cs="Times New Roman"/>
    </w:rPr>
  </w:style>
  <w:style w:type="character" w:styleId="868" w:customStyle="1">
    <w:name w:val="ListLabel 9"/>
    <w:qFormat/>
    <w:rPr>
      <w:b/>
      <w:color w:val="000000"/>
      <w:sz w:val="28"/>
      <w:szCs w:val="28"/>
    </w:rPr>
  </w:style>
  <w:style w:type="character" w:styleId="869" w:customStyle="1">
    <w:name w:val="ListLabel 10"/>
    <w:qFormat/>
    <w:rPr>
      <w:b w:val="0"/>
      <w:color w:val="000000"/>
    </w:rPr>
  </w:style>
  <w:style w:type="character" w:styleId="870" w:customStyle="1">
    <w:name w:val="ListLabel 11"/>
    <w:qFormat/>
    <w:rPr>
      <w:b w:val="0"/>
      <w:color w:val="000000"/>
    </w:rPr>
  </w:style>
  <w:style w:type="character" w:styleId="871" w:customStyle="1">
    <w:name w:val="ListLabel 12"/>
    <w:qFormat/>
    <w:rPr>
      <w:b w:val="0"/>
      <w:color w:val="000000"/>
    </w:rPr>
  </w:style>
  <w:style w:type="character" w:styleId="872" w:customStyle="1">
    <w:name w:val="ListLabel 13"/>
    <w:qFormat/>
    <w:rPr>
      <w:b w:val="0"/>
      <w:color w:val="000000"/>
    </w:rPr>
  </w:style>
  <w:style w:type="character" w:styleId="873" w:customStyle="1">
    <w:name w:val="ListLabel 14"/>
    <w:qFormat/>
    <w:rPr>
      <w:b w:val="0"/>
      <w:color w:val="000000"/>
    </w:rPr>
  </w:style>
  <w:style w:type="character" w:styleId="874" w:customStyle="1">
    <w:name w:val="ListLabel 15"/>
    <w:qFormat/>
    <w:rPr>
      <w:b w:val="0"/>
      <w:color w:val="000000"/>
    </w:rPr>
  </w:style>
  <w:style w:type="character" w:styleId="875" w:customStyle="1">
    <w:name w:val="ListLabel 16"/>
    <w:qFormat/>
    <w:rPr>
      <w:b w:val="0"/>
      <w:color w:val="000000"/>
    </w:rPr>
  </w:style>
  <w:style w:type="character" w:styleId="876" w:customStyle="1">
    <w:name w:val="ListLabel 17"/>
    <w:qFormat/>
    <w:rPr>
      <w:b w:val="0"/>
      <w:color w:val="000000"/>
    </w:rPr>
  </w:style>
  <w:style w:type="character" w:styleId="877" w:customStyle="1">
    <w:name w:val="ListLabel 18"/>
    <w:qFormat/>
    <w:rPr>
      <w:b/>
      <w:sz w:val="28"/>
      <w:szCs w:val="28"/>
    </w:rPr>
  </w:style>
  <w:style w:type="character" w:styleId="878" w:customStyle="1">
    <w:name w:val="ListLabel 19"/>
    <w:qFormat/>
    <w:rPr>
      <w:rFonts w:eastAsia="Calibri"/>
      <w:b w:val="0"/>
      <w:i w:val="0"/>
    </w:rPr>
  </w:style>
  <w:style w:type="character" w:styleId="879" w:customStyle="1">
    <w:name w:val="ListLabel 20"/>
    <w:qFormat/>
    <w:rPr>
      <w:rFonts w:eastAsia="Calibri" w:cs="Times New Roman"/>
      <w:b w:val="0"/>
      <w:color w:val="auto"/>
      <w:sz w:val="26"/>
      <w:szCs w:val="26"/>
    </w:rPr>
  </w:style>
  <w:style w:type="character" w:styleId="880" w:customStyle="1">
    <w:name w:val="ListLabel 21"/>
    <w:qFormat/>
    <w:rPr>
      <w:rFonts w:eastAsia="Calibri"/>
      <w:b w:val="0"/>
      <w:lang w:val="en-US"/>
    </w:rPr>
  </w:style>
  <w:style w:type="character" w:styleId="881" w:customStyle="1">
    <w:name w:val="ListLabel 22"/>
    <w:qFormat/>
    <w:rPr>
      <w:rFonts w:eastAsia="Calibri" w:cs="Times New Roman"/>
      <w:b w:val="0"/>
    </w:rPr>
  </w:style>
  <w:style w:type="character" w:styleId="882" w:customStyle="1">
    <w:name w:val="ListLabel 23"/>
    <w:qFormat/>
    <w:rPr>
      <w:rFonts w:eastAsia="Calibri" w:cs="Times New Roman"/>
      <w:b w:val="0"/>
    </w:rPr>
  </w:style>
  <w:style w:type="character" w:styleId="883" w:customStyle="1">
    <w:name w:val="ListLabel 24"/>
    <w:qFormat/>
    <w:rPr>
      <w:rFonts w:eastAsia="Calibri" w:cs="Times New Roman"/>
      <w:b w:val="0"/>
    </w:rPr>
  </w:style>
  <w:style w:type="character" w:styleId="884" w:customStyle="1">
    <w:name w:val="ListLabel 25"/>
    <w:qFormat/>
    <w:rPr>
      <w:rFonts w:eastAsia="Calibri"/>
      <w:b w:val="0"/>
    </w:rPr>
  </w:style>
  <w:style w:type="character" w:styleId="885" w:customStyle="1">
    <w:name w:val="ListLabel 26"/>
    <w:qFormat/>
    <w:rPr>
      <w:rFonts w:eastAsia="Calibri"/>
      <w:b/>
    </w:rPr>
  </w:style>
  <w:style w:type="paragraph" w:styleId="886" w:customStyle="1">
    <w:name w:val="Заголовок1"/>
    <w:basedOn w:val="828"/>
    <w:next w:val="887"/>
    <w:qFormat/>
    <w:pPr>
      <w:keepNext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887">
    <w:name w:val="Body Text"/>
    <w:basedOn w:val="828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8">
    <w:name w:val="List"/>
    <w:basedOn w:val="887"/>
    <w:rPr>
      <w:rFonts w:ascii="PT Sans" w:hAnsi="PT Sans" w:cs="Noto Sans Devanagari"/>
    </w:rPr>
  </w:style>
  <w:style w:type="paragraph" w:styleId="889">
    <w:name w:val="Caption"/>
    <w:basedOn w:val="828"/>
    <w:qFormat/>
    <w:pPr>
      <w:spacing w:before="120" w:after="120"/>
      <w:suppressLineNumbers/>
    </w:pPr>
    <w:rPr>
      <w:rFonts w:ascii="PT Sans" w:hAnsi="PT Sans" w:cs="Noto Sans Devanagari"/>
      <w:i/>
      <w:iCs/>
      <w:sz w:val="24"/>
      <w:szCs w:val="24"/>
    </w:rPr>
  </w:style>
  <w:style w:type="paragraph" w:styleId="890">
    <w:name w:val="index heading"/>
    <w:basedOn w:val="828"/>
    <w:qFormat/>
    <w:pPr>
      <w:suppressLineNumbers/>
    </w:pPr>
    <w:rPr>
      <w:rFonts w:ascii="PT Sans" w:hAnsi="PT Sans" w:cs="Noto Sans Devanagari"/>
    </w:rPr>
  </w:style>
  <w:style w:type="paragraph" w:styleId="891">
    <w:name w:val="footnote text"/>
    <w:basedOn w:val="828"/>
    <w:uiPriority w:val="99"/>
    <w:unhideWhenUsed/>
    <w:pPr>
      <w:spacing w:after="0" w:line="240" w:lineRule="auto"/>
    </w:pPr>
    <w:rPr>
      <w:sz w:val="20"/>
      <w:szCs w:val="20"/>
    </w:rPr>
  </w:style>
  <w:style w:type="paragraph" w:styleId="892">
    <w:name w:val="annotation text"/>
    <w:basedOn w:val="828"/>
    <w:unhideWhenUsed/>
    <w:qFormat/>
    <w:pPr>
      <w:spacing w:line="240" w:lineRule="auto"/>
    </w:pPr>
    <w:rPr>
      <w:sz w:val="20"/>
      <w:szCs w:val="20"/>
    </w:rPr>
  </w:style>
  <w:style w:type="paragraph" w:styleId="893">
    <w:name w:val="annotation subject"/>
    <w:basedOn w:val="892"/>
    <w:unhideWhenUsed/>
    <w:qFormat/>
    <w:rPr>
      <w:b/>
      <w:bCs/>
    </w:rPr>
  </w:style>
  <w:style w:type="paragraph" w:styleId="894">
    <w:name w:val="Balloon Text"/>
    <w:basedOn w:val="828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95">
    <w:name w:val="Header"/>
    <w:basedOn w:val="82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896">
    <w:name w:val="Title"/>
    <w:basedOn w:val="828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897">
    <w:name w:val="Plain Text"/>
    <w:basedOn w:val="828"/>
    <w:unhideWhenUsed/>
    <w:qFormat/>
    <w:pPr>
      <w:spacing w:after="0" w:line="240" w:lineRule="auto"/>
    </w:pPr>
    <w:rPr>
      <w:rFonts w:ascii="Consolas" w:hAnsi="Consolas" w:eastAsia="Calibri" w:cs="Times New Roman"/>
      <w:sz w:val="21"/>
      <w:szCs w:val="21"/>
      <w:lang w:val="en-US" w:bidi="en-US"/>
    </w:rPr>
  </w:style>
  <w:style w:type="paragraph" w:styleId="898">
    <w:name w:val="Body Text Indent"/>
    <w:basedOn w:val="828"/>
    <w:pPr>
      <w:ind w:left="283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9">
    <w:name w:val="Body Text 2"/>
    <w:basedOn w:val="828"/>
    <w:qFormat/>
    <w:pPr>
      <w:jc w:val="both"/>
      <w:spacing w:after="0" w:line="240" w:lineRule="auto"/>
    </w:pPr>
    <w:rPr>
      <w:sz w:val="24"/>
    </w:rPr>
  </w:style>
  <w:style w:type="paragraph" w:styleId="900">
    <w:name w:val="Body Text Indent 3"/>
    <w:basedOn w:val="828"/>
    <w:link w:val="902"/>
    <w:qFormat/>
    <w:pPr>
      <w:ind w:left="283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1">
    <w:name w:val="Footer"/>
    <w:basedOn w:val="828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2" w:customStyle="1">
    <w:name w:val="Основной текст с отступом 3 Знак1"/>
    <w:link w:val="900"/>
    <w:qFormat/>
    <w:pPr>
      <w:spacing w:line="100" w:lineRule="atLeast"/>
    </w:pPr>
    <w:rPr>
      <w:rFonts w:eastAsia="SimSun" w:cs="Tahoma"/>
      <w:sz w:val="22"/>
      <w:lang w:eastAsia="ar-SA"/>
    </w:rPr>
  </w:style>
  <w:style w:type="paragraph" w:styleId="903" w:customStyle="1">
    <w:name w:val="Default"/>
    <w:qFormat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04">
    <w:name w:val="List Paragraph"/>
    <w:basedOn w:val="828"/>
    <w:uiPriority w:val="34"/>
    <w:qFormat/>
    <w:pPr>
      <w:contextualSpacing/>
      <w:ind w:left="720"/>
    </w:pPr>
  </w:style>
  <w:style w:type="paragraph" w:styleId="905" w:customStyle="1">
    <w:name w:val="Содержимое таблицы"/>
    <w:basedOn w:val="828"/>
    <w:qFormat/>
    <w:pPr>
      <w:suppressLineNumbers/>
    </w:pPr>
  </w:style>
  <w:style w:type="paragraph" w:styleId="906" w:customStyle="1">
    <w:name w:val="Заголовок таблицы"/>
    <w:basedOn w:val="905"/>
    <w:qFormat/>
    <w:pPr>
      <w:jc w:val="center"/>
    </w:pPr>
    <w:rPr>
      <w:b/>
      <w:bCs/>
    </w:rPr>
  </w:style>
  <w:style w:type="numbering" w:styleId="907" w:customStyle="1">
    <w:name w:val="Нет списка1"/>
    <w:semiHidden/>
    <w:qFormat/>
  </w:style>
  <w:style w:type="numbering" w:styleId="908" w:customStyle="1">
    <w:name w:val="Нет списка2"/>
    <w:link w:val="859"/>
    <w:semiHidden/>
    <w:qFormat/>
  </w:style>
  <w:style w:type="table" w:styleId="909" w:customStyle="1">
    <w:name w:val="Сетка таблицы2"/>
    <w:basedOn w:val="83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0">
    <w:name w:val="Table Grid"/>
    <w:basedOn w:val="83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1" w:customStyle="1">
    <w:name w:val="Сетка таблицы1"/>
    <w:basedOn w:val="834"/>
    <w:uiPriority w:val="99"/>
    <w:pPr>
      <w:jc w:val="both"/>
      <w:spacing w:after="60"/>
    </w:pPr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2" w:customStyle="1">
    <w:name w:val="Сетка таблицы3"/>
    <w:basedOn w:val="834"/>
    <w:uiPriority w:val="99"/>
    <w:pPr>
      <w:jc w:val="both"/>
      <w:spacing w:after="60"/>
    </w:pPr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3" w:customStyle="1">
    <w:name w:val="Сетка таблицы4"/>
    <w:basedOn w:val="834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4" w:customStyle="1">
    <w:name w:val="Сетка таблицы5"/>
    <w:basedOn w:val="834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5" w:customStyle="1">
    <w:name w:val="Сетка таблицы6"/>
    <w:basedOn w:val="834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46797-E1ED-4087-B3A7-56656561B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 Наиль Рафаэлевич</dc:creator>
  <dc:language>ru-RU</dc:language>
  <cp:revision>12</cp:revision>
  <dcterms:created xsi:type="dcterms:W3CDTF">2024-08-13T05:57:00Z</dcterms:created>
  <dcterms:modified xsi:type="dcterms:W3CDTF">2026-04-08T13:53:18Z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