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sz w:val="24"/>
        </w:rPr>
        <w:t>на изготовление авторской сувенирной продукции-фарфоровая статуэтка сайгака автора Николая Абромовича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</w:p>
    <w:p w14:paraId="0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>Элиста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«___</w:t>
      </w:r>
      <w:r>
        <w:rPr>
          <w:rFonts w:ascii="Times New Roman" w:hAnsi="Times New Roman"/>
          <w:sz w:val="24"/>
        </w:rPr>
        <w:t>» июля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14:paraId="0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7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Федеральное государственное бюджетное учреждение  «Государственный природный биосферный заповедник «Черные земли»)</w:t>
      </w:r>
      <w:r>
        <w:rPr>
          <w:rFonts w:ascii="Times New Roman" w:hAnsi="Times New Roman"/>
          <w:sz w:val="24"/>
        </w:rPr>
        <w:t xml:space="preserve">, именуемое в дальнейшем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, в лице </w:t>
      </w:r>
      <w:r>
        <w:rPr>
          <w:rFonts w:ascii="Times New Roman" w:hAnsi="Times New Roman"/>
          <w:sz w:val="24"/>
        </w:rPr>
        <w:t>директора Убушаева Батаара Ивановича</w:t>
      </w:r>
      <w:r>
        <w:rPr>
          <w:rFonts w:ascii="Times New Roman" w:hAnsi="Times New Roman"/>
          <w:sz w:val="24"/>
        </w:rPr>
        <w:t>, действующего на основании Устава, с одной стороны,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именуемое  в дальнейшем «Заказчик»,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индивидуальный</w:t>
      </w:r>
      <w:r>
        <w:rPr>
          <w:rFonts w:ascii="Times New Roman" w:hAnsi="Times New Roman"/>
          <w:sz w:val="24"/>
        </w:rPr>
        <w:t xml:space="preserve"> предприниматель ___________</w:t>
      </w:r>
      <w:r>
        <w:rPr>
          <w:rFonts w:ascii="Times New Roman" w:hAnsi="Times New Roman"/>
          <w:sz w:val="24"/>
        </w:rPr>
        <w:t xml:space="preserve">, именуемое в дальнейшем «Поставщик»,  с другой стороны, здесь и далее именуемые «Стороны», в порядке статьи ч.1 п.5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о нижеследующем:</w:t>
      </w:r>
    </w:p>
    <w:p w14:paraId="0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Предмет </w:t>
      </w:r>
      <w:r>
        <w:rPr>
          <w:rFonts w:ascii="Times New Roman" w:hAnsi="Times New Roman"/>
          <w:sz w:val="24"/>
        </w:rPr>
        <w:t>договора</w:t>
      </w:r>
    </w:p>
    <w:p w14:paraId="0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изготовить и поставить </w:t>
      </w:r>
      <w:r>
        <w:rPr>
          <w:rFonts w:ascii="Times New Roman" w:hAnsi="Times New Roman"/>
          <w:sz w:val="24"/>
        </w:rPr>
        <w:t xml:space="preserve">авторскую сувенирную продукцию-фарфоровая статуэтка сайгака автора Николая Абромовича </w:t>
      </w:r>
      <w:r>
        <w:rPr>
          <w:rFonts w:ascii="Times New Roman" w:hAnsi="Times New Roman"/>
          <w:sz w:val="24"/>
        </w:rPr>
        <w:t xml:space="preserve">(далее - Товар), а Заказчик обязуется принять и оплатить Товар в порядке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0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Наименование, количество и иные характеристики поставляемого Товара указаны в спецификации и Техническом задании </w:t>
      </w:r>
      <w:r>
        <w:rPr>
          <w:rFonts w:ascii="Times New Roman" w:hAnsi="Times New Roman"/>
          <w:b w:val="0"/>
          <w:color w:val="000000"/>
          <w:sz w:val="24"/>
        </w:rPr>
        <w:t>(</w:t>
      </w:r>
      <w:r>
        <w:rPr>
          <w:rFonts w:ascii="Times New Roman" w:hAnsi="Times New Roman"/>
          <w:b w:val="0"/>
          <w:color w:val="000000"/>
          <w:sz w:val="24"/>
        </w:rPr>
        <w:t>приложение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), являющейся неотъемлемой частью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0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0E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 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и порядок расчетов</w:t>
      </w:r>
    </w:p>
    <w:p w14:paraId="0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0000000">
      <w:pPr>
        <w:pStyle w:val="Style_2"/>
        <w:widowControl w:val="1"/>
        <w:ind w:firstLine="284"/>
        <w:jc w:val="both"/>
        <w:rPr>
          <w:rFonts w:ascii="Times New Roman" w:hAnsi="Times New Roman"/>
          <w:b w:val="1"/>
          <w:sz w:val="24"/>
        </w:rPr>
      </w:pPr>
      <w:bookmarkStart w:id="1" w:name="P1440"/>
      <w:bookmarkEnd w:id="1"/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 xml:space="preserve">2.1. Цена </w:t>
      </w:r>
      <w:r>
        <w:rPr>
          <w:rFonts w:ascii="Times New Roman" w:hAnsi="Times New Roman"/>
          <w:b w:val="1"/>
          <w:sz w:val="24"/>
        </w:rPr>
        <w:t>договора</w:t>
      </w:r>
      <w:r>
        <w:rPr>
          <w:rFonts w:ascii="Times New Roman" w:hAnsi="Times New Roman"/>
          <w:b w:val="1"/>
          <w:sz w:val="24"/>
        </w:rPr>
        <w:t xml:space="preserve"> составляет _____</w:t>
      </w:r>
      <w:r>
        <w:rPr>
          <w:rFonts w:ascii="Times New Roman" w:hAnsi="Times New Roman"/>
          <w:b w:val="1"/>
          <w:sz w:val="24"/>
        </w:rPr>
        <w:t xml:space="preserve"> (__________</w:t>
      </w:r>
      <w:r>
        <w:rPr>
          <w:rFonts w:ascii="Times New Roman" w:hAnsi="Times New Roman"/>
          <w:b w:val="1"/>
          <w:sz w:val="24"/>
        </w:rPr>
        <w:t>) рублей</w:t>
      </w:r>
      <w:r>
        <w:rPr>
          <w:rFonts w:ascii="Times New Roman" w:hAnsi="Times New Roman"/>
          <w:b w:val="1"/>
          <w:sz w:val="24"/>
        </w:rPr>
        <w:t xml:space="preserve"> 00</w:t>
      </w:r>
      <w:r>
        <w:rPr>
          <w:rFonts w:ascii="Times New Roman" w:hAnsi="Times New Roman"/>
          <w:b w:val="1"/>
          <w:sz w:val="24"/>
        </w:rPr>
        <w:t xml:space="preserve"> копеек,  НДС/</w:t>
      </w:r>
      <w:r>
        <w:rPr>
          <w:rFonts w:ascii="Times New Roman" w:hAnsi="Times New Roman"/>
          <w:b w:val="1"/>
          <w:sz w:val="24"/>
        </w:rPr>
        <w:t>НДС не облагается.</w:t>
      </w:r>
    </w:p>
    <w:p w14:paraId="1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" w:name="P1452"/>
      <w:bookmarkEnd w:id="2"/>
      <w:bookmarkStart w:id="3" w:name="P1445"/>
      <w:bookmarkEnd w:id="3"/>
      <w:bookmarkStart w:id="4" w:name="P1457"/>
      <w:bookmarkEnd w:id="4"/>
      <w:r>
        <w:rPr>
          <w:rFonts w:ascii="Times New Roman" w:hAnsi="Times New Roman"/>
          <w:sz w:val="24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5" w:name="P1458"/>
      <w:bookmarkEnd w:id="5"/>
      <w:r>
        <w:rPr>
          <w:rFonts w:ascii="Times New Roman" w:hAnsi="Times New Roman"/>
          <w:sz w:val="24"/>
        </w:rPr>
        <w:t xml:space="preserve">2.3.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НДС, другие установленные налоги, сборы и иные расходы, связанные с исполнением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а. </w:t>
      </w:r>
    </w:p>
    <w:p w14:paraId="1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6" w:name="P1459"/>
      <w:bookmarkEnd w:id="6"/>
      <w:r>
        <w:rPr>
          <w:rFonts w:ascii="Times New Roman" w:hAnsi="Times New Roman"/>
          <w:sz w:val="24"/>
        </w:rPr>
        <w:t xml:space="preserve">2.4.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является твердой и определяется на весь срок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 исключением случаев,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1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7" w:name="P1460"/>
      <w:bookmarkEnd w:id="7"/>
      <w:r>
        <w:rPr>
          <w:rFonts w:ascii="Times New Roman" w:hAnsi="Times New Roman"/>
          <w:sz w:val="24"/>
        </w:rPr>
        <w:t xml:space="preserve">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может быть снижена по соглашению Сторон без изменения, предусмотренного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количества и качества поставляемого Товара и иных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15000000">
      <w:pPr>
        <w:widowControl w:val="1"/>
        <w:tabs>
          <w:tab w:leader="none" w:pos="567" w:val="left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</w:t>
      </w:r>
      <w:bookmarkStart w:id="8" w:name="P1473"/>
      <w:bookmarkEnd w:id="8"/>
      <w:bookmarkStart w:id="9" w:name="P1462"/>
      <w:bookmarkEnd w:id="9"/>
      <w:bookmarkStart w:id="10" w:name="P1464"/>
      <w:bookmarkEnd w:id="10"/>
      <w:r>
        <w:rPr>
          <w:rFonts w:ascii="Times New Roman" w:hAnsi="Times New Roman"/>
          <w:sz w:val="24"/>
        </w:rPr>
        <w:t xml:space="preserve">Оплата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за поставленный Товар </w:t>
      </w:r>
      <w:r>
        <w:rPr>
          <w:rFonts w:ascii="Times New Roman" w:hAnsi="Times New Roman"/>
          <w:spacing w:val="-1"/>
          <w:sz w:val="24"/>
        </w:rPr>
        <w:t xml:space="preserve">осуществляется за счет </w:t>
      </w:r>
      <w:r>
        <w:rPr>
          <w:rFonts w:ascii="Times New Roman" w:hAnsi="Times New Roman"/>
          <w:spacing w:val="-1"/>
          <w:sz w:val="24"/>
        </w:rPr>
        <w:t>федеральных и приносящих доход деятельности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средств</w:t>
      </w:r>
      <w:r>
        <w:rPr>
          <w:rFonts w:ascii="Times New Roman" w:hAnsi="Times New Roman"/>
          <w:spacing w:val="-1"/>
          <w:sz w:val="24"/>
        </w:rPr>
        <w:t>.</w:t>
      </w:r>
    </w:p>
    <w:p w14:paraId="1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Расчеты между Заказчиком и Поставщиком производятся </w:t>
      </w:r>
      <w:r>
        <w:rPr>
          <w:rFonts w:ascii="Times New Roman" w:hAnsi="Times New Roman"/>
          <w:b w:val="1"/>
          <w:sz w:val="24"/>
        </w:rPr>
        <w:t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позднее 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b w:val="1"/>
          <w:sz w:val="24"/>
        </w:rPr>
        <w:t>семи</w:t>
      </w:r>
      <w:r>
        <w:rPr>
          <w:rFonts w:ascii="Times New Roman" w:hAnsi="Times New Roman"/>
          <w:b w:val="1"/>
          <w:sz w:val="24"/>
        </w:rPr>
        <w:t>) рабочих дней</w:t>
      </w:r>
      <w:r>
        <w:rPr>
          <w:rFonts w:ascii="Times New Roman" w:hAnsi="Times New Roman"/>
          <w:sz w:val="24"/>
        </w:rPr>
        <w:t xml:space="preserve"> с даты подписания Заказчиком документа о приемке на основании выставленного счета.</w:t>
      </w:r>
    </w:p>
    <w:p w14:paraId="1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1" w:name="P1475"/>
      <w:bookmarkEnd w:id="11"/>
      <w:r>
        <w:rPr>
          <w:rFonts w:ascii="Times New Roman" w:hAnsi="Times New Roman"/>
          <w:sz w:val="24"/>
        </w:rPr>
        <w:t xml:space="preserve">2.7. Оплата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 счет Поставщика, несет Поставщик. 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12" w:name="P1477"/>
      <w:bookmarkEnd w:id="12"/>
      <w:r>
        <w:rPr>
          <w:rFonts w:ascii="Times New Roman" w:hAnsi="Times New Roman"/>
          <w:sz w:val="24"/>
        </w:rPr>
        <w:t>III. Порядок, сроки и условия поставки</w:t>
      </w:r>
    </w:p>
    <w:p w14:paraId="1A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приемки Товара </w:t>
      </w:r>
    </w:p>
    <w:p w14:paraId="1B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C000000">
      <w:pPr>
        <w:pStyle w:val="Style_1"/>
        <w:widowControl w:val="1"/>
        <w:ind w:firstLine="540"/>
        <w:jc w:val="both"/>
        <w:rPr>
          <w:rFonts w:ascii="Times New Roman" w:hAnsi="Times New Roman"/>
          <w:b w:val="1"/>
          <w:sz w:val="24"/>
          <w:highlight w:val="yellow"/>
        </w:rPr>
      </w:pPr>
      <w:bookmarkStart w:id="13" w:name="P1480"/>
      <w:bookmarkEnd w:id="13"/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b w:val="1"/>
          <w:sz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/>
          <w:b w:val="1"/>
          <w:color w:val="000000"/>
          <w:sz w:val="24"/>
        </w:rPr>
        <w:t>35</w:t>
      </w:r>
      <w:r>
        <w:rPr>
          <w:rFonts w:ascii="Times New Roman" w:hAnsi="Times New Roman"/>
          <w:b w:val="1"/>
          <w:color w:val="000000"/>
          <w:sz w:val="24"/>
        </w:rPr>
        <w:t>0000</w:t>
      </w:r>
      <w:r>
        <w:rPr>
          <w:rFonts w:ascii="Times New Roman" w:hAnsi="Times New Roman"/>
          <w:b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color w:val="000000"/>
          <w:sz w:val="24"/>
        </w:rPr>
        <w:t>Республика</w:t>
      </w:r>
      <w:r>
        <w:rPr>
          <w:rFonts w:ascii="Times New Roman" w:hAnsi="Times New Roman"/>
          <w:b w:val="1"/>
          <w:color w:val="000000"/>
          <w:sz w:val="24"/>
        </w:rPr>
        <w:t xml:space="preserve"> Калмыкия</w:t>
      </w:r>
      <w:r>
        <w:rPr>
          <w:rFonts w:ascii="Times New Roman" w:hAnsi="Times New Roman"/>
          <w:b w:val="1"/>
          <w:color w:val="000000"/>
          <w:sz w:val="24"/>
        </w:rPr>
        <w:t xml:space="preserve">, г. </w:t>
      </w:r>
      <w:r>
        <w:rPr>
          <w:rFonts w:ascii="Times New Roman" w:hAnsi="Times New Roman"/>
          <w:b w:val="1"/>
          <w:color w:val="000000"/>
          <w:sz w:val="24"/>
        </w:rPr>
        <w:t>Элиста</w:t>
      </w:r>
      <w:r>
        <w:rPr>
          <w:rFonts w:ascii="Times New Roman" w:hAnsi="Times New Roman"/>
          <w:b w:val="1"/>
          <w:color w:val="000000"/>
          <w:sz w:val="24"/>
        </w:rPr>
        <w:t xml:space="preserve">, ул. </w:t>
      </w:r>
      <w:r>
        <w:rPr>
          <w:rFonts w:ascii="Times New Roman" w:hAnsi="Times New Roman"/>
          <w:b w:val="1"/>
          <w:color w:val="000000"/>
          <w:sz w:val="24"/>
        </w:rPr>
        <w:t>Лермонтова</w:t>
      </w:r>
      <w:r>
        <w:rPr>
          <w:rFonts w:ascii="Times New Roman" w:hAnsi="Times New Roman"/>
          <w:b w:val="1"/>
          <w:color w:val="000000"/>
          <w:sz w:val="24"/>
        </w:rPr>
        <w:t xml:space="preserve">, д. </w:t>
      </w:r>
      <w:r>
        <w:rPr>
          <w:rFonts w:ascii="Times New Roman" w:hAnsi="Times New Roman"/>
          <w:b w:val="1"/>
          <w:color w:val="000000"/>
          <w:sz w:val="24"/>
        </w:rPr>
        <w:t>4</w:t>
      </w:r>
      <w:r>
        <w:rPr>
          <w:rFonts w:ascii="Times New Roman" w:hAnsi="Times New Roman"/>
          <w:b w:val="1"/>
          <w:color w:val="000000"/>
          <w:sz w:val="24"/>
        </w:rPr>
        <w:t xml:space="preserve">, (далее – Место доставки). </w:t>
      </w:r>
      <w:r>
        <w:rPr>
          <w:rFonts w:ascii="Times New Roman" w:hAnsi="Times New Roman"/>
          <w:b w:val="1"/>
          <w:color w:val="000000"/>
          <w:sz w:val="24"/>
        </w:rPr>
        <w:t>Срок поставки 7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(рабочих</w:t>
      </w:r>
      <w:r>
        <w:rPr>
          <w:rFonts w:ascii="Times New Roman" w:hAnsi="Times New Roman"/>
          <w:b w:val="1"/>
          <w:color w:val="000000"/>
          <w:sz w:val="24"/>
        </w:rPr>
        <w:t xml:space="preserve">) дней с даты заключения </w:t>
      </w:r>
      <w:r>
        <w:rPr>
          <w:rFonts w:ascii="Times New Roman" w:hAnsi="Times New Roman"/>
          <w:b w:val="1"/>
          <w:sz w:val="24"/>
        </w:rPr>
        <w:t>договора.</w:t>
      </w:r>
    </w:p>
    <w:p w14:paraId="1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14" w:name="P1482"/>
      <w:bookmarkEnd w:id="14"/>
      <w:bookmarkStart w:id="15" w:name="P1485"/>
      <w:bookmarkEnd w:id="15"/>
      <w:r>
        <w:rPr>
          <w:rFonts w:ascii="Times New Roman" w:hAnsi="Times New Roman"/>
          <w:sz w:val="24"/>
        </w:rPr>
        <w:t>3.2.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1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1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 проверку полноты и правильности оформления комплекта сопроводительных документов в соответствии с условиями договора;</w:t>
      </w:r>
    </w:p>
    <w:p w14:paraId="2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контроль наличия/отсутствия внешних повреждений оригинальной упаковки Товара;</w:t>
      </w:r>
    </w:p>
    <w:p w14:paraId="2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2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 проверку комплектности и целостности поставленного Товара.</w:t>
      </w:r>
    </w:p>
    <w:p w14:paraId="2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3.3. При поставке Поставщик предоставляет пакет документов, в том числе: </w:t>
      </w:r>
    </w:p>
    <w:p w14:paraId="24000000">
      <w:pPr>
        <w:pStyle w:val="Style_3"/>
        <w:widowControl w:val="0"/>
        <w:spacing w:after="0" w:before="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а) счет на оплату и (или) счет-фактуру и (или) УПД;</w:t>
      </w:r>
    </w:p>
    <w:p w14:paraId="25000000">
      <w:pPr>
        <w:pStyle w:val="Style_3"/>
        <w:widowControl w:val="0"/>
        <w:spacing w:after="0" w:before="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б) УПД или товарная накладная (далее документ о приемке).</w:t>
      </w:r>
    </w:p>
    <w:p w14:paraId="2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3.4. В срок не позднее </w:t>
      </w:r>
      <w:r>
        <w:rPr>
          <w:rFonts w:ascii="Times New Roman" w:hAnsi="Times New Roman"/>
          <w:b w:val="1"/>
          <w:color w:val="000000"/>
          <w:sz w:val="24"/>
        </w:rPr>
        <w:t>пяти рабочих дней</w:t>
      </w:r>
      <w:r>
        <w:rPr>
          <w:rFonts w:ascii="Times New Roman" w:hAnsi="Times New Roman"/>
          <w:color w:val="000000"/>
          <w:sz w:val="24"/>
        </w:rPr>
        <w:t>, следующих за днем поступления заказчику документа о приемке:</w:t>
      </w:r>
    </w:p>
    <w:p w14:paraId="27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2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Заказчик вправе отказаться принять Товар в случаях:</w:t>
      </w:r>
    </w:p>
    <w:p w14:paraId="29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отсутствия товаросопроводительных документов, установленных законодательством;</w:t>
      </w:r>
    </w:p>
    <w:p w14:paraId="2A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стоимости;</w:t>
      </w:r>
    </w:p>
    <w:p w14:paraId="2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количеству, указанному в товаросопроводительных документах и/или в заявке Заказчика;</w:t>
      </w:r>
    </w:p>
    <w:p w14:paraId="2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упаковки и маркировки Товара требованиям пунктов 4.2, 4.3 настоящего Договора;</w:t>
      </w:r>
    </w:p>
    <w:p w14:paraId="2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качеству, в том числе в части наличия видимых повреждений тары (упаковки);</w:t>
      </w:r>
    </w:p>
    <w:p w14:paraId="2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иного несоответствия Товара и прилагаемых документов требованиям договора. </w:t>
      </w:r>
    </w:p>
    <w:p w14:paraId="2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3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3.7.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14:paraId="3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3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3.10. Заказчик вправе не отказывать в приемке поставленного Товара в случае выявления несоответствия Товара условиям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если выявленное несоответствие не препятствует приемке этого Товара и устранено Поставщиком.</w:t>
      </w:r>
    </w:p>
    <w:p w14:paraId="3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3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Взаимодействие Сторон</w:t>
      </w:r>
    </w:p>
    <w:p w14:paraId="3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3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6" w:name="P1497"/>
      <w:bookmarkEnd w:id="16"/>
      <w:r>
        <w:rPr>
          <w:rFonts w:ascii="Times New Roman" w:hAnsi="Times New Roman"/>
          <w:sz w:val="24"/>
        </w:rPr>
        <w:t xml:space="preserve">4.1. Поставщик обязан: </w:t>
      </w:r>
    </w:p>
    <w:p w14:paraId="3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 поставить Товар в порядке, количестве, в срок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и спецификацией;</w:t>
      </w:r>
    </w:p>
    <w:p w14:paraId="3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7" w:name="P1499"/>
      <w:bookmarkEnd w:id="17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3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;</w:t>
      </w:r>
    </w:p>
    <w:p w14:paraId="3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8" w:name="P1504"/>
      <w:bookmarkEnd w:id="18"/>
      <w:bookmarkStart w:id="19" w:name="P1502"/>
      <w:bookmarkEnd w:id="19"/>
      <w:bookmarkStart w:id="20" w:name="P1505"/>
      <w:bookmarkEnd w:id="20"/>
      <w:r>
        <w:rPr>
          <w:rFonts w:ascii="Times New Roman" w:hAnsi="Times New Roman"/>
          <w:sz w:val="24"/>
        </w:rPr>
        <w:t xml:space="preserve">4.1.4. предоставлять Заказчику по его требованию документы, относящиеся к предмету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3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1" w:name="P1511"/>
      <w:bookmarkEnd w:id="21"/>
      <w:bookmarkStart w:id="22" w:name="P1508"/>
      <w:bookmarkEnd w:id="22"/>
      <w:bookmarkStart w:id="23" w:name="P1507"/>
      <w:bookmarkEnd w:id="23"/>
      <w:r>
        <w:rPr>
          <w:rFonts w:ascii="Times New Roman" w:hAnsi="Times New Roman"/>
          <w:sz w:val="24"/>
        </w:rPr>
        <w:t>4.2. Поставщик вправе:</w:t>
      </w:r>
    </w:p>
    <w:p w14:paraId="3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 требовать от Заказчика произвести приемку Товара в порядке и в сроки, предусмотренные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3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4" w:name="P1518"/>
      <w:bookmarkEnd w:id="24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надлежащим образом поставленного и принятого Заказчиком Товара; </w:t>
      </w:r>
    </w:p>
    <w:p w14:paraId="3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5" w:name="P1519"/>
      <w:bookmarkEnd w:id="25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законодательством; </w:t>
      </w:r>
    </w:p>
    <w:p w14:paraId="40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6" w:name="P1521"/>
      <w:bookmarkEnd w:id="26"/>
      <w:r>
        <w:rPr>
          <w:rFonts w:ascii="Times New Roman" w:hAnsi="Times New Roman"/>
          <w:sz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2015, № 29, ст. 4353).</w:t>
      </w:r>
    </w:p>
    <w:p w14:paraId="4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 w14:paraId="4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</w:t>
      </w:r>
    </w:p>
    <w:p w14:paraId="44000000">
      <w:pPr>
        <w:pStyle w:val="Style_4"/>
        <w:widowControl w:val="1"/>
        <w:ind w:firstLine="709"/>
        <w:jc w:val="both"/>
        <w:rPr>
          <w:rFonts w:ascii="Times New Roman" w:hAnsi="Times New Roman"/>
          <w:sz w:val="24"/>
        </w:rPr>
      </w:pPr>
      <w:bookmarkStart w:id="27" w:name="P1525"/>
      <w:bookmarkEnd w:id="27"/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случае, если в ходе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Товару или при определении поставщика; </w:t>
      </w:r>
    </w:p>
    <w:p w14:paraId="4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8" w:name="P1526"/>
      <w:bookmarkEnd w:id="28"/>
      <w:r>
        <w:rPr>
          <w:rFonts w:ascii="Times New Roman" w:hAnsi="Times New Roman"/>
          <w:sz w:val="24"/>
        </w:rPr>
        <w:t xml:space="preserve">4.3.3.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4.3.4.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9" w:name="P1529"/>
      <w:bookmarkEnd w:id="29"/>
      <w:r>
        <w:rPr>
          <w:rFonts w:ascii="Times New Roman" w:hAnsi="Times New Roman"/>
          <w:sz w:val="24"/>
        </w:rPr>
        <w:t>4.4. Заказчик вправе:</w:t>
      </w:r>
    </w:p>
    <w:p w14:paraId="4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4.4.1. требовать от Поставщика надлежащего исполнения обязательств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, в том числе надлежащим образом оформленных документов, предусмотренных Контрактом;</w:t>
      </w:r>
    </w:p>
    <w:p w14:paraId="4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в ходе приемки; </w:t>
      </w:r>
    </w:p>
    <w:p w14:paraId="4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4.4.3. проверять ход и качество выполнения Поставщиком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без вмешательства в оперативно-хозяйственную деятельность Поставщика;</w:t>
      </w:r>
    </w:p>
    <w:p w14:paraId="4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причиненных по вине Поставщика;</w:t>
      </w:r>
    </w:p>
    <w:p w14:paraId="4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0" w:name="P1534"/>
      <w:bookmarkEnd w:id="30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количество Товара,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14:paraId="4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4.4.6. отказаться от приемки и оплаты Товара, не соответствующего условиям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1" w:name="P1536"/>
      <w:bookmarkEnd w:id="31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законодательством; </w:t>
      </w:r>
    </w:p>
    <w:p w14:paraId="4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5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32" w:name="P1537"/>
      <w:bookmarkEnd w:id="32"/>
      <w:bookmarkStart w:id="33" w:name="P1539"/>
      <w:bookmarkEnd w:id="33"/>
      <w:r>
        <w:rPr>
          <w:rFonts w:ascii="Times New Roman" w:hAnsi="Times New Roman"/>
          <w:sz w:val="24"/>
        </w:rPr>
        <w:t>V. Качество Товара</w:t>
      </w:r>
    </w:p>
    <w:p w14:paraId="5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Поставщик гарантирует, что поставляемый Товар соответствует требованиям, установленным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5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Поставщик гарантирует безопасность Товара. </w:t>
      </w: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 w14:paraId="5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4" w:name="P1546"/>
      <w:bookmarkEnd w:id="34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5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5" w:name="P1547"/>
      <w:bookmarkEnd w:id="35"/>
      <w:bookmarkStart w:id="36" w:name="P1548"/>
      <w:bookmarkEnd w:id="36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14:paraId="5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37" w:name="P1550"/>
      <w:bookmarkEnd w:id="37"/>
      <w:r>
        <w:rPr>
          <w:rFonts w:ascii="Times New Roman" w:hAnsi="Times New Roman"/>
          <w:sz w:val="24"/>
        </w:rPr>
        <w:t xml:space="preserve">VI. Ответственность Сторон </w:t>
      </w:r>
    </w:p>
    <w:p w14:paraId="5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38" w:name="sub_10101"/>
      <w:r>
        <w:rPr>
          <w:rFonts w:ascii="Times New Roman" w:hAnsi="Times New Roman"/>
          <w:sz w:val="24"/>
        </w:rPr>
        <w:t xml:space="preserve">6.1. 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Стороны несут ответственность 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"http://internet.garant.ru/document?id=10064072&amp;sub=1025"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законодательством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Российской Федерации.</w:t>
      </w:r>
      <w:bookmarkEnd w:id="38"/>
    </w:p>
    <w:p w14:paraId="5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привлечения к исполнению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соисполнителей, ответственность перед Заказчиком за неисполнение обязательств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несет Поставщик.</w:t>
      </w:r>
    </w:p>
    <w:p w14:paraId="5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39" w:name="sub_10102"/>
      <w:r>
        <w:rPr>
          <w:rFonts w:ascii="Times New Roman" w:hAnsi="Times New Roman"/>
          <w:sz w:val="24"/>
        </w:rPr>
        <w:t>6.2. Размер штрафа устанавливается</w:t>
      </w:r>
      <w:r>
        <w:rPr>
          <w:rFonts w:ascii="Times New Roman" w:hAnsi="Times New Roman"/>
          <w:sz w:val="24"/>
        </w:rPr>
        <w:t xml:space="preserve"> договором</w:t>
      </w:r>
      <w:r>
        <w:rPr>
          <w:rFonts w:ascii="Times New Roman" w:hAnsi="Times New Roman"/>
          <w:sz w:val="24"/>
        </w:rPr>
        <w:t xml:space="preserve"> в порядке, установленном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"http://internet.garant.ru/document?id=71657358&amp;sub=1000"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(за исключением просрочки исполнения обязательств заказчиком, поставщиком), утвержденными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Правительства Российской Федерации от 30 августа 2017 г. № 1042 (далее - Правила определения размера штрафа).</w:t>
      </w:r>
      <w:bookmarkEnd w:id="39"/>
    </w:p>
    <w:p w14:paraId="5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0" w:name="sub_10103"/>
      <w:r>
        <w:rPr>
          <w:rFonts w:ascii="Times New Roman" w:hAnsi="Times New Roman"/>
          <w:sz w:val="24"/>
        </w:rPr>
        <w:t xml:space="preserve">6.3.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Поставщик вправе потребовать уплаты неустоек (штрафов, пеней).</w:t>
      </w:r>
    </w:p>
    <w:p w14:paraId="5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0"/>
    </w:p>
    <w:p w14:paraId="6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1" w:name="sub_10105"/>
      <w:r>
        <w:rPr>
          <w:rFonts w:ascii="Times New Roman" w:hAnsi="Times New Roman"/>
          <w:sz w:val="24"/>
        </w:rPr>
        <w:t xml:space="preserve">6.5.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Поставщик вправе взыскать с Заказчика штраф в порядке, установленном Правительством Российской Федерации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"sub_1015111"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  <w:bookmarkEnd w:id="41"/>
    </w:p>
    <w:p w14:paraId="6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2" w:name="sub_1015111"/>
      <w:r>
        <w:rPr>
          <w:rFonts w:ascii="Times New Roman" w:hAnsi="Times New Roman"/>
          <w:sz w:val="24"/>
        </w:rPr>
        <w:t xml:space="preserve">* Размер штрафа определяется 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"http://internet.garant.ru/document?id=71657358&amp;sub=1000"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определения размера штрафа в следующем порядке:</w:t>
      </w:r>
      <w:bookmarkEnd w:id="42"/>
    </w:p>
    <w:p w14:paraId="6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3" w:name="sub_101051"/>
      <w:r>
        <w:rPr>
          <w:rFonts w:ascii="Times New Roman" w:hAnsi="Times New Roman"/>
          <w:sz w:val="24"/>
        </w:rPr>
        <w:t xml:space="preserve">а) 1 000 рублей, если 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не превышает 3 млн. рублей (включительно);</w:t>
      </w:r>
      <w:bookmarkEnd w:id="43"/>
    </w:p>
    <w:p w14:paraId="6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4" w:name="sub_101052"/>
      <w:r>
        <w:rPr>
          <w:rFonts w:ascii="Times New Roman" w:hAnsi="Times New Roman"/>
          <w:sz w:val="24"/>
        </w:rPr>
        <w:t xml:space="preserve">б) 5 000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3 млн. рублей до 50 млн. рублей (включительно);</w:t>
      </w:r>
      <w:bookmarkEnd w:id="44"/>
    </w:p>
    <w:p w14:paraId="64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5" w:name="sub_101053"/>
      <w:r>
        <w:rPr>
          <w:rFonts w:ascii="Times New Roman" w:hAnsi="Times New Roman"/>
          <w:sz w:val="24"/>
        </w:rPr>
        <w:t xml:space="preserve">в) 10 000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50 млн. рублей до 100 млн. рублей (включительно);</w:t>
      </w:r>
      <w:bookmarkEnd w:id="45"/>
    </w:p>
    <w:p w14:paraId="65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6" w:name="sub_101054"/>
      <w:r>
        <w:rPr>
          <w:rFonts w:ascii="Times New Roman" w:hAnsi="Times New Roman"/>
          <w:sz w:val="24"/>
        </w:rPr>
        <w:t xml:space="preserve">г) 100 000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превышает 100 млн. рублей.</w:t>
      </w:r>
      <w:bookmarkEnd w:id="46"/>
    </w:p>
    <w:p w14:paraId="6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7" w:name="sub_10106"/>
      <w:r>
        <w:rPr>
          <w:rFonts w:ascii="Times New Roman" w:hAnsi="Times New Roman"/>
          <w:sz w:val="24"/>
        </w:rPr>
        <w:t xml:space="preserve">6.6. В случае нарушения Поставщиком не представления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6.2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Заказчик не несет ответственность, установленную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"sub_10103"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пунктами 10.3 - 10.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  <w:bookmarkEnd w:id="47"/>
    </w:p>
    <w:p w14:paraId="67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8" w:name="sub_10107"/>
      <w:r>
        <w:rPr>
          <w:rFonts w:ascii="Times New Roman" w:hAnsi="Times New Roman"/>
          <w:sz w:val="24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не может превышать цену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  <w:bookmarkEnd w:id="48"/>
    </w:p>
    <w:p w14:paraId="6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9" w:name="sub_10108"/>
      <w:r>
        <w:rPr>
          <w:rFonts w:ascii="Times New Roman" w:hAnsi="Times New Roman"/>
          <w:sz w:val="24"/>
        </w:rPr>
        <w:t xml:space="preserve">6.8. В случае просрочки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Заказчик направляет Поставщику требование об уплате неустоек (штрафов, пеней).</w:t>
      </w:r>
      <w:bookmarkEnd w:id="49"/>
    </w:p>
    <w:p w14:paraId="69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50" w:name="sub_10110"/>
      <w:r>
        <w:rPr>
          <w:rFonts w:ascii="Times New Roman" w:hAnsi="Times New Roman"/>
          <w:sz w:val="24"/>
        </w:rPr>
        <w:t xml:space="preserve">6.9.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bookmarkEnd w:id="50"/>
    </w:p>
    <w:p w14:paraId="6A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6.10. Пеня начисляется за каждый день просрочки исполнения поставщиком 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r>
        <w:rPr>
          <w:rStyle w:val="Style_5_ch"/>
          <w:rFonts w:ascii="Times New Roman" w:hAnsi="Times New Roman"/>
          <w:sz w:val="24"/>
        </w:rPr>
        <w:fldChar w:fldCharType="begin"/>
      </w:r>
      <w:r>
        <w:rPr>
          <w:rStyle w:val="Style_5_ch"/>
          <w:rFonts w:ascii="Times New Roman" w:hAnsi="Times New Roman"/>
          <w:sz w:val="24"/>
        </w:rPr>
        <w:instrText>HYPERLINK "https://internet.garant.ru/#/document/10180094/entry/100"</w:instrText>
      </w:r>
      <w:r>
        <w:rPr>
          <w:rStyle w:val="Style_5_ch"/>
          <w:rFonts w:ascii="Times New Roman" w:hAnsi="Times New Roman"/>
          <w:sz w:val="24"/>
        </w:rPr>
        <w:fldChar w:fldCharType="separate"/>
      </w:r>
      <w:r>
        <w:rPr>
          <w:rStyle w:val="Style_5_ch"/>
          <w:rFonts w:ascii="Times New Roman" w:hAnsi="Times New Roman"/>
          <w:sz w:val="24"/>
        </w:rPr>
        <w:t>ключевой ставки</w:t>
      </w:r>
      <w:r>
        <w:rPr>
          <w:rStyle w:val="Style_5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 Центрального банка Российской Федерации от цены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(отдельного этапа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(соответствующим отдельным этапом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6.12.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/>
          <w:color w:val="000000"/>
          <w:sz w:val="24"/>
        </w:rPr>
        <w:t>договором</w:t>
      </w:r>
      <w:r>
        <w:rPr>
          <w:rFonts w:ascii="Times New Roman" w:hAnsi="Times New Roman"/>
          <w:color w:val="000000"/>
          <w:sz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/>
          <w:color w:val="000000"/>
          <w:sz w:val="24"/>
        </w:rPr>
        <w:t>договоре</w:t>
      </w:r>
      <w:r>
        <w:rPr>
          <w:rFonts w:ascii="Times New Roman" w:hAnsi="Times New Roman"/>
          <w:color w:val="000000"/>
          <w:sz w:val="24"/>
        </w:rPr>
        <w:t xml:space="preserve">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6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1 000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превышает 3 млн. рублей;</w:t>
      </w:r>
    </w:p>
    <w:p w14:paraId="6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5 000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3 млн. рублей до 50 млн. рублей (включительно);</w:t>
      </w:r>
    </w:p>
    <w:p w14:paraId="6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10 000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50 млн. рублей до 100 млн. рублей (включительно);</w:t>
      </w:r>
    </w:p>
    <w:p w14:paraId="6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100 000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превышает 100 млн. рублей.</w:t>
      </w:r>
    </w:p>
    <w:p w14:paraId="7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6.13.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</w:t>
      </w:r>
    </w:p>
    <w:p w14:paraId="7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6.14.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7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6.15.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не может превышать цену Контракта.</w:t>
      </w:r>
    </w:p>
    <w:p w14:paraId="7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произошло вследствие непреодолимой силы или по вине другой стороны.</w:t>
      </w:r>
    </w:p>
    <w:p w14:paraId="7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VII. Обеспечение исполнения </w:t>
      </w:r>
      <w:r>
        <w:rPr>
          <w:rFonts w:ascii="Times New Roman" w:hAnsi="Times New Roman"/>
          <w:sz w:val="24"/>
        </w:rPr>
        <w:t>договора</w:t>
      </w:r>
    </w:p>
    <w:p w14:paraId="7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7000000">
      <w:pPr>
        <w:widowControl w:val="0"/>
        <w:tabs>
          <w:tab w:leader="none" w:pos="567" w:val="left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предусмотрено</w:t>
      </w:r>
    </w:p>
    <w:p w14:paraId="7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VIII. Обеспечение гарантийных обязательств.</w:t>
      </w:r>
    </w:p>
    <w:p w14:paraId="7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 w14:paraId="7C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</w:p>
    <w:p w14:paraId="7D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IX. Исключительные права </w:t>
      </w:r>
    </w:p>
    <w:p w14:paraId="7E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80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8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2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X. Обстоятельства непреодолимой силы</w:t>
      </w:r>
    </w:p>
    <w:p w14:paraId="83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 Стороны не несут ответственность за полное или частичное неисполнение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обязательств, если такое неисполнение связано с обстоятельствами непреодолимой силы.</w:t>
      </w:r>
    </w:p>
    <w:p w14:paraId="8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10.2. В случае если надлежащее исполнение Стороной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8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, и в этом случае ни одна из Сторон не вправе требовать возмещения убытков.</w:t>
      </w:r>
    </w:p>
    <w:p w14:paraId="8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8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XI. Рассмотрение и разрешение споров</w:t>
      </w:r>
    </w:p>
    <w:p w14:paraId="8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 Все споры и разногласия, которые могут возникнуть из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между Сторонами, будут разрешаться путем переговоров, в том числе в претензионном порядке.</w:t>
      </w:r>
    </w:p>
    <w:p w14:paraId="8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11.2. Претензия оформляется в письменной форме. В претензии перечисляются допущенные при исполнении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нарушения со ссылкой на соответствующие положения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8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11.3. Срок рассмотрения претензии не может превышать 3 (три) рабочих дня. </w:t>
      </w:r>
    </w:p>
    <w:p w14:paraId="8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11.4. При неурегулировании Сторонами спора в досудебном порядке, спор разрешается </w:t>
      </w:r>
      <w:r>
        <w:rPr>
          <w:rFonts w:ascii="Times New Roman" w:hAnsi="Times New Roman"/>
          <w:sz w:val="24"/>
          <w:highlight w:val="white"/>
        </w:rPr>
        <w:t xml:space="preserve">Арбитражном суде </w:t>
      </w:r>
      <w:r>
        <w:rPr>
          <w:rFonts w:ascii="Times New Roman" w:hAnsi="Times New Roman"/>
          <w:sz w:val="24"/>
          <w:highlight w:val="white"/>
        </w:rPr>
        <w:t>Республики</w:t>
      </w:r>
      <w:r>
        <w:rPr>
          <w:rFonts w:ascii="Times New Roman" w:hAnsi="Times New Roman"/>
          <w:sz w:val="24"/>
          <w:highlight w:val="white"/>
        </w:rPr>
        <w:t xml:space="preserve"> Калмыкия</w:t>
      </w:r>
      <w:r>
        <w:rPr>
          <w:rFonts w:ascii="Times New Roman" w:hAnsi="Times New Roman"/>
          <w:sz w:val="24"/>
          <w:highlight w:val="white"/>
        </w:rPr>
        <w:t>.</w:t>
      </w:r>
    </w:p>
    <w:p w14:paraId="8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XII. Срок действия и порядок расторжения </w:t>
      </w:r>
      <w:r>
        <w:rPr>
          <w:rFonts w:ascii="Times New Roman" w:hAnsi="Times New Roman"/>
          <w:sz w:val="24"/>
        </w:rPr>
        <w:t>договора</w:t>
      </w:r>
    </w:p>
    <w:p w14:paraId="9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12.1.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 момента его подписания обеими Сторонами и действует </w:t>
      </w:r>
      <w:r>
        <w:rPr>
          <w:rFonts w:ascii="Times New Roman" w:hAnsi="Times New Roman"/>
          <w:b w:val="1"/>
          <w:sz w:val="24"/>
        </w:rPr>
        <w:t xml:space="preserve">по </w:t>
      </w:r>
      <w:r>
        <w:rPr>
          <w:rFonts w:ascii="Times New Roman" w:hAnsi="Times New Roman"/>
          <w:b w:val="1"/>
          <w:sz w:val="24"/>
        </w:rPr>
        <w:t>31</w:t>
      </w:r>
      <w:r>
        <w:rPr>
          <w:rFonts w:ascii="Times New Roman" w:hAnsi="Times New Roman"/>
          <w:b w:val="1"/>
          <w:sz w:val="24"/>
        </w:rPr>
        <w:t>.12.202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  <w:highlight w:val="white"/>
        </w:rPr>
        <w:t>г.</w:t>
      </w:r>
      <w:r>
        <w:rPr>
          <w:rFonts w:ascii="Times New Roman" w:hAnsi="Times New Roman"/>
          <w:sz w:val="24"/>
        </w:rPr>
        <w:t xml:space="preserve"> Окончание срока действия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влечет прекращения неисполненных обязательств Сторон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. </w:t>
      </w:r>
    </w:p>
    <w:p w14:paraId="9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12.2. Расторжение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допускается по соглашению Сторон, по решению суда или в связи с односторонним отказом Стороны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9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XIII. Прочие положения </w:t>
      </w:r>
    </w:p>
    <w:p w14:paraId="9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13.1. Во всем, что не предусмотрено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Стороны руководствуются законодательством Российской Федерации.</w:t>
      </w:r>
    </w:p>
    <w:p w14:paraId="9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9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, которые являются его неотъемлемой частью.</w:t>
      </w:r>
    </w:p>
    <w:p w14:paraId="9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13.4. Изменение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при его исполнении не допускается, за исключением случаев, предусмотренных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"consultantplus://offline/ref=782E9CC4CCC6932545801925E3B536176E50B53C1FD70BD7655CABC93DB89C271041D8CD019EE696393B294E112BD805805FEF4CF4B5672237V6P"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статьей 95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9B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XIV. Перечень приложений</w:t>
      </w:r>
    </w:p>
    <w:p w14:paraId="9C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14.1. Неотъемлемой частью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является следующие приложение:</w:t>
      </w:r>
    </w:p>
    <w:p w14:paraId="9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спецификация и техническое задание.</w:t>
      </w:r>
    </w:p>
    <w:p w14:paraId="9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A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XV. Адреса и банковские реквизиты Сторон</w:t>
      </w:r>
    </w:p>
    <w:p w14:paraId="A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tbl>
      <w:tblPr>
        <w:tblStyle w:val="Style_6"/>
        <w:tblW w:type="auto" w:w="0"/>
        <w:jc w:val="center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01"/>
        <w:gridCol w:w="5597"/>
      </w:tblGrid>
      <w:tr>
        <w:trPr>
          <w:trHeight w:hRule="atLeast" w:val="87"/>
        </w:trPr>
        <w:tc>
          <w:tcPr>
            <w:tcW w:type="dxa" w:w="4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</w:tc>
        <w:tc>
          <w:tcPr>
            <w:tcW w:type="dxa" w:w="55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</w:tc>
      </w:tr>
      <w:tr>
        <w:trPr>
          <w:trHeight w:hRule="atLeast" w:val="81"/>
        </w:trPr>
        <w:tc>
          <w:tcPr>
            <w:tcW w:type="dxa" w:w="4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  <w:p w14:paraId="A5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  <w:p w14:paraId="A6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ИНН: </w:t>
            </w:r>
          </w:p>
          <w:p w14:paraId="A7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КПП:</w:t>
            </w:r>
          </w:p>
          <w:p w14:paraId="A8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Р/счет: </w:t>
            </w:r>
          </w:p>
          <w:p w14:paraId="A9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Наименование банка: </w:t>
            </w:r>
          </w:p>
          <w:p w14:paraId="AA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Кор. счет: </w:t>
            </w:r>
          </w:p>
          <w:p w14:paraId="AB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БИК: </w:t>
            </w:r>
          </w:p>
          <w:p w14:paraId="AC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Адрес: </w:t>
            </w:r>
          </w:p>
          <w:p w14:paraId="AD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Адрес электронной почты:</w:t>
            </w:r>
          </w:p>
          <w:p w14:paraId="A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Номер контактного телефона: </w:t>
            </w:r>
          </w:p>
        </w:tc>
        <w:tc>
          <w:tcPr>
            <w:tcW w:type="dxa" w:w="55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bookmarkStart w:id="51" w:name="OLE_LINK1"/>
            <w:bookmarkStart w:id="52" w:name="OLE_LINK2"/>
            <w:r>
              <w:rPr>
                <w:rFonts w:ascii="Times New Roman" w:hAnsi="Times New Roman"/>
                <w:b w:val="1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B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Юридический/почтовый адрес: 359240, Республика Калмыкия, Черноземельский район, п. Комсомольский, ул. Некрасова, 31</w:t>
            </w:r>
          </w:p>
          <w:p w14:paraId="B1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+7 (937) 190 70 40, адрес эл. почты: zapovchz@mail.ru</w:t>
            </w:r>
          </w:p>
          <w:p w14:paraId="B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0810003320, КПП 081001001</w:t>
            </w:r>
          </w:p>
          <w:p w14:paraId="B3000000">
            <w:pPr>
              <w:widowControl w:val="1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Банковские реквизиты: р/с: </w:t>
            </w:r>
            <w:r>
              <w:rPr>
                <w:rStyle w:val="Style_7_ch"/>
                <w:rFonts w:ascii="Times New Roman" w:hAnsi="Times New Roman"/>
                <w:b w:val="0"/>
                <w:color w:val="000000"/>
                <w:sz w:val="24"/>
              </w:rPr>
              <w:t>0321464300000001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3203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ОКЦ №1 ВВГУ БАНКА РОССИИ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//УФК по Нижегородской области г. Нижний Новгород</w:t>
            </w:r>
          </w:p>
          <w:p w14:paraId="B4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БИК </w:t>
            </w:r>
            <w:r>
              <w:rPr>
                <w:rFonts w:ascii="Times New Roman" w:hAnsi="Times New Roman"/>
                <w:b w:val="0"/>
                <w:sz w:val="24"/>
              </w:rPr>
              <w:t>012202102</w:t>
            </w:r>
            <w:bookmarkEnd w:id="51"/>
            <w:bookmarkEnd w:id="52"/>
          </w:p>
          <w:p w14:paraId="B5000000">
            <w:pPr>
              <w:pStyle w:val="Style_4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tbl>
      <w:tblPr>
        <w:tblStyle w:val="Style_6"/>
        <w:tblpPr w:bottomFromText="0" w:horzAnchor="margin" w:leftFromText="180" w:rightFromText="180" w:tblpX="-37" w:tblpY="381" w:topFromText="0" w:vertAnchor="text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89"/>
        <w:gridCol w:w="4438"/>
      </w:tblGrid>
      <w:tr>
        <w:trPr>
          <w:trHeight w:hRule="atLeast" w:val="2473"/>
        </w:trPr>
        <w:tc>
          <w:tcPr>
            <w:tcW w:type="dxa" w:w="46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B7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8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9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/_______</w:t>
            </w:r>
            <w:r>
              <w:rPr>
                <w:rFonts w:ascii="Times New Roman" w:hAnsi="Times New Roman"/>
                <w:sz w:val="24"/>
              </w:rPr>
              <w:t xml:space="preserve">_/ </w:t>
            </w:r>
          </w:p>
          <w:p w14:paraId="BA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  <w:tc>
          <w:tcPr>
            <w:tcW w:type="dxa" w:w="44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BC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Директор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BD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E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________________/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Убушаев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BF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</w:tr>
    </w:tbl>
    <w:p w14:paraId="C0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Подписи сторон:</w:t>
      </w:r>
    </w:p>
    <w:p w14:paraId="C1000000">
      <w:pPr>
        <w:widowControl w:val="1"/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</w:p>
    <w:p w14:paraId="C2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C3000000">
      <w:pPr>
        <w:sectPr>
          <w:pgSz w:h="16838" w:orient="portrait" w:w="11395"/>
          <w:pgMar w:bottom="850" w:footer="708" w:gutter="0" w:header="708" w:left="1134" w:right="765" w:top="709"/>
        </w:sectPr>
      </w:pPr>
    </w:p>
    <w:p w14:paraId="C4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 к договору </w:t>
      </w:r>
    </w:p>
    <w:p w14:paraId="C5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«___» июля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>г. № _________</w:t>
      </w:r>
    </w:p>
    <w:p w14:paraId="C6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C7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Спецификация</w:t>
      </w:r>
    </w:p>
    <w:p w14:paraId="C8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p w14:paraId="C9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p w14:paraId="CA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6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4610"/>
        <w:gridCol w:w="1667"/>
        <w:gridCol w:w="1606"/>
        <w:gridCol w:w="1474"/>
      </w:tblGrid>
      <w:tr>
        <w:trPr>
          <w:trHeight w:hRule="atLeast" w:val="56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Товара, товарный знак (при наличии)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Товара, Штука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Цена единицы Товара</w:t>
            </w:r>
          </w:p>
          <w:p w14:paraId="C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(руб)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Общая стоимость (руб)</w:t>
            </w:r>
          </w:p>
        </w:tc>
      </w:tr>
      <w:tr>
        <w:trPr>
          <w:trHeight w:hRule="atLeast" w:val="13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683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Фарфоровая статуэтка сайгака автора Николая Абромовича</w:t>
            </w:r>
          </w:p>
          <w:p w14:paraId="D8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03"/>
        </w:trPr>
        <w:tc>
          <w:tcPr>
            <w:tcW w:type="dxa" w:w="6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Гарантийный срок </w:t>
            </w:r>
          </w:p>
        </w:tc>
        <w:tc>
          <w:tcPr>
            <w:tcW w:type="dxa" w:w="30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12 месяцев</w:t>
            </w:r>
          </w:p>
        </w:tc>
      </w:tr>
      <w:tr>
        <w:trPr>
          <w:trHeight w:hRule="atLeast" w:val="70"/>
        </w:trPr>
        <w:tc>
          <w:tcPr>
            <w:tcW w:type="dxa" w:w="6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30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E0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E1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E2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Подписи сторон:</w:t>
      </w:r>
    </w:p>
    <w:p w14:paraId="E3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tbl>
      <w:tblPr>
        <w:tblStyle w:val="Style_6"/>
        <w:tblW w:type="auto" w:w="0"/>
        <w:jc w:val="center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90"/>
        <w:gridCol w:w="4697"/>
      </w:tblGrid>
      <w:tr>
        <w:trPr>
          <w:trHeight w:hRule="atLeast" w:val="1212"/>
        </w:trPr>
        <w:tc>
          <w:tcPr>
            <w:tcW w:type="dxa" w:w="449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E5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6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7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/_________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</w:p>
          <w:p w14:paraId="E8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  <w:tc>
          <w:tcPr>
            <w:tcW w:type="dxa" w:w="46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E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EB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C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________________/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.И. Убушаев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ED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</w:tr>
    </w:tbl>
    <w:p w14:paraId="EE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bookmarkStart w:id="53" w:name="_GoBack"/>
      <w:bookmarkEnd w:id="53"/>
    </w:p>
    <w:sectPr>
      <w:pgSz w:h="16838" w:orient="portrait" w:w="11395"/>
      <w:pgMar w:bottom="850" w:footer="709" w:gutter="0" w:header="709" w:left="1134" w:right="113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spacing w:after="160" w:line="264" w:lineRule="auto"/>
      <w:ind/>
    </w:pPr>
    <w:rPr>
      <w:rFonts w:ascii="Calibri" w:hAnsi="Calibri"/>
      <w:sz w:val="22"/>
    </w:rPr>
  </w:style>
  <w:style w:default="1" w:styleId="Style_8_ch" w:type="character">
    <w:name w:val="Normal"/>
    <w:link w:val="Style_8"/>
    <w:rPr>
      <w:rFonts w:ascii="Calibri" w:hAnsi="Calibri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7" w:type="paragraph">
    <w:name w:val="docdata"/>
    <w:basedOn w:val="Style_9"/>
    <w:link w:val="Style_7_ch"/>
  </w:style>
  <w:style w:styleId="Style_7_ch" w:type="character">
    <w:name w:val="docdata"/>
    <w:basedOn w:val="Style_9_ch"/>
    <w:link w:val="Style_7"/>
  </w:style>
  <w:style w:styleId="Style_10" w:type="paragraph">
    <w:name w:val="TOC Heading"/>
    <w:link w:val="Style_10_ch"/>
    <w:rPr>
      <w:rFonts w:ascii="Calibri" w:hAnsi="Calibri"/>
    </w:rPr>
  </w:style>
  <w:style w:styleId="Style_10_ch" w:type="character">
    <w:name w:val="TOC Heading"/>
    <w:link w:val="Style_10"/>
    <w:rPr>
      <w:rFonts w:ascii="Calibri" w:hAnsi="Calibri"/>
    </w:rPr>
  </w:style>
  <w:style w:styleId="Style_11" w:type="paragraph">
    <w:name w:val="toc 2"/>
    <w:basedOn w:val="Style_8"/>
    <w:next w:val="Style_8"/>
    <w:link w:val="Style_11_ch"/>
    <w:uiPriority w:val="39"/>
    <w:pPr>
      <w:widowControl w:val="1"/>
      <w:spacing w:after="57"/>
      <w:ind w:left="283"/>
    </w:pPr>
  </w:style>
  <w:style w:styleId="Style_11_ch" w:type="character">
    <w:name w:val="toc 2"/>
    <w:basedOn w:val="Style_8_ch"/>
    <w:link w:val="Style_11"/>
  </w:style>
  <w:style w:styleId="Style_12" w:type="paragraph">
    <w:name w:val="toc 4"/>
    <w:basedOn w:val="Style_8"/>
    <w:next w:val="Style_8"/>
    <w:link w:val="Style_12_ch"/>
    <w:uiPriority w:val="39"/>
    <w:pPr>
      <w:widowControl w:val="1"/>
      <w:spacing w:after="57"/>
      <w:ind w:left="850"/>
    </w:pPr>
  </w:style>
  <w:style w:styleId="Style_12_ch" w:type="character">
    <w:name w:val="toc 4"/>
    <w:basedOn w:val="Style_8_ch"/>
    <w:link w:val="Style_12"/>
  </w:style>
  <w:style w:styleId="Style_13" w:type="paragraph">
    <w:name w:val="Footer Char"/>
    <w:link w:val="Style_13_ch"/>
  </w:style>
  <w:style w:styleId="Style_13_ch" w:type="character">
    <w:name w:val="Footer Char"/>
    <w:link w:val="Style_13"/>
  </w:style>
  <w:style w:styleId="Style_14" w:type="paragraph">
    <w:name w:val="heading 7"/>
    <w:basedOn w:val="Style_8"/>
    <w:next w:val="Style_8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4_ch" w:type="character">
    <w:name w:val="heading 7"/>
    <w:basedOn w:val="Style_8_ch"/>
    <w:link w:val="Style_14"/>
    <w:rPr>
      <w:rFonts w:ascii="Arial" w:hAnsi="Arial"/>
      <w:b w:val="1"/>
      <w:i w:val="1"/>
    </w:rPr>
  </w:style>
  <w:style w:styleId="Style_15" w:type="paragraph">
    <w:name w:val="toc 6"/>
    <w:basedOn w:val="Style_8"/>
    <w:next w:val="Style_8"/>
    <w:link w:val="Style_15_ch"/>
    <w:uiPriority w:val="39"/>
    <w:pPr>
      <w:widowControl w:val="1"/>
      <w:spacing w:after="57"/>
      <w:ind w:left="1417"/>
    </w:pPr>
  </w:style>
  <w:style w:styleId="Style_15_ch" w:type="character">
    <w:name w:val="toc 6"/>
    <w:basedOn w:val="Style_8_ch"/>
    <w:link w:val="Style_15"/>
  </w:style>
  <w:style w:styleId="Style_4" w:type="paragraph">
    <w:name w:val="No Spacing"/>
    <w:link w:val="Style_4_ch"/>
    <w:rPr>
      <w:rFonts w:ascii="Calibri" w:hAnsi="Calibri"/>
      <w:sz w:val="22"/>
    </w:rPr>
  </w:style>
  <w:style w:styleId="Style_4_ch" w:type="character">
    <w:name w:val="No Spacing"/>
    <w:link w:val="Style_4"/>
    <w:rPr>
      <w:rFonts w:ascii="Calibri" w:hAnsi="Calibri"/>
      <w:sz w:val="22"/>
    </w:rPr>
  </w:style>
  <w:style w:styleId="Style_16" w:type="paragraph">
    <w:name w:val="header"/>
    <w:basedOn w:val="Style_8"/>
    <w:link w:val="Style_1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header"/>
    <w:basedOn w:val="Style_8_ch"/>
    <w:link w:val="Style_16"/>
  </w:style>
  <w:style w:styleId="Style_17" w:type="paragraph">
    <w:name w:val="Quote"/>
    <w:basedOn w:val="Style_8"/>
    <w:next w:val="Style_8"/>
    <w:link w:val="Style_17_ch"/>
    <w:pPr>
      <w:widowControl w:val="1"/>
      <w:ind w:left="720" w:right="720"/>
    </w:pPr>
    <w:rPr>
      <w:i w:val="1"/>
    </w:rPr>
  </w:style>
  <w:style w:styleId="Style_17_ch" w:type="character">
    <w:name w:val="Quote"/>
    <w:basedOn w:val="Style_8_ch"/>
    <w:link w:val="Style_17"/>
    <w:rPr>
      <w:i w:val="1"/>
    </w:rPr>
  </w:style>
  <w:style w:styleId="Style_18" w:type="paragraph">
    <w:name w:val="toc 7"/>
    <w:basedOn w:val="Style_8"/>
    <w:next w:val="Style_8"/>
    <w:link w:val="Style_18_ch"/>
    <w:uiPriority w:val="39"/>
    <w:pPr>
      <w:widowControl w:val="1"/>
      <w:spacing w:after="57"/>
      <w:ind w:left="1701"/>
    </w:pPr>
  </w:style>
  <w:style w:styleId="Style_18_ch" w:type="character">
    <w:name w:val="toc 7"/>
    <w:basedOn w:val="Style_8_ch"/>
    <w:link w:val="Style_18"/>
  </w:style>
  <w:style w:styleId="Style_19" w:type="paragraph">
    <w:name w:val="Endnote"/>
    <w:basedOn w:val="Style_8"/>
    <w:link w:val="Style_19_ch"/>
    <w:pPr>
      <w:widowControl w:val="1"/>
      <w:spacing w:after="0" w:line="240" w:lineRule="auto"/>
      <w:ind/>
    </w:pPr>
    <w:rPr>
      <w:sz w:val="20"/>
    </w:rPr>
  </w:style>
  <w:style w:styleId="Style_19_ch" w:type="character">
    <w:name w:val="Endnote"/>
    <w:basedOn w:val="Style_8_ch"/>
    <w:link w:val="Style_19"/>
    <w:rPr>
      <w:sz w:val="20"/>
    </w:rPr>
  </w:style>
  <w:style w:styleId="Style_20" w:type="paragraph">
    <w:name w:val="heading 3"/>
    <w:basedOn w:val="Style_8"/>
    <w:next w:val="Style_8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8_ch"/>
    <w:link w:val="Style_20"/>
    <w:rPr>
      <w:rFonts w:ascii="Arial" w:hAnsi="Arial"/>
      <w:sz w:val="30"/>
    </w:rPr>
  </w:style>
  <w:style w:styleId="Style_21" w:type="paragraph">
    <w:name w:val="Знак Знак Знак Знак Знак Знак Знак Знак Знак Знак"/>
    <w:basedOn w:val="Style_8"/>
    <w:link w:val="Style_21_ch"/>
    <w:pPr>
      <w:widowControl w:val="1"/>
      <w:spacing w:after="160" w:line="240" w:lineRule="exact"/>
      <w:ind/>
    </w:pPr>
    <w:rPr>
      <w:rFonts w:ascii="Verdana" w:hAnsi="Verdana"/>
    </w:rPr>
  </w:style>
  <w:style w:styleId="Style_21_ch" w:type="character">
    <w:name w:val="Знак Знак Знак Знак Знак Знак Знак Знак Знак Знак"/>
    <w:basedOn w:val="Style_8_ch"/>
    <w:link w:val="Style_21"/>
    <w:rPr>
      <w:rFonts w:ascii="Verdana" w:hAnsi="Verdana"/>
    </w:rPr>
  </w:style>
  <w:style w:styleId="Style_22" w:type="paragraph">
    <w:name w:val="ConsPlusJurTerm"/>
    <w:link w:val="Style_22_ch"/>
    <w:pPr>
      <w:widowControl w:val="0"/>
      <w:ind/>
    </w:pPr>
    <w:rPr>
      <w:rFonts w:ascii="Tahoma" w:hAnsi="Tahoma"/>
      <w:sz w:val="26"/>
    </w:rPr>
  </w:style>
  <w:style w:styleId="Style_22_ch" w:type="character">
    <w:name w:val="ConsPlusJurTerm"/>
    <w:link w:val="Style_22"/>
    <w:rPr>
      <w:rFonts w:ascii="Tahoma" w:hAnsi="Tahoma"/>
      <w:sz w:val="26"/>
    </w:rPr>
  </w:style>
  <w:style w:styleId="Style_2" w:type="paragraph">
    <w:name w:val="ConsPlusNonformat"/>
    <w:link w:val="Style_2_ch"/>
    <w:pPr>
      <w:widowControl w:val="0"/>
      <w:ind/>
    </w:pPr>
    <w:rPr>
      <w:rFonts w:ascii="Courier New" w:hAnsi="Courier New"/>
    </w:rPr>
  </w:style>
  <w:style w:styleId="Style_2_ch" w:type="character">
    <w:name w:val="ConsPlusNonformat"/>
    <w:link w:val="Style_2"/>
    <w:rPr>
      <w:rFonts w:ascii="Courier New" w:hAnsi="Courier New"/>
    </w:rPr>
  </w:style>
  <w:style w:styleId="Style_23" w:type="paragraph">
    <w:name w:val="heading 9"/>
    <w:basedOn w:val="Style_8"/>
    <w:next w:val="Style_8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3_ch" w:type="character">
    <w:name w:val="heading 9"/>
    <w:basedOn w:val="Style_8_ch"/>
    <w:link w:val="Style_23"/>
    <w:rPr>
      <w:rFonts w:ascii="Arial" w:hAnsi="Arial"/>
      <w:i w:val="1"/>
      <w:sz w:val="21"/>
    </w:rPr>
  </w:style>
  <w:style w:styleId="Style_24" w:type="paragraph">
    <w:name w:val="List Paragraph"/>
    <w:basedOn w:val="Style_8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8_ch"/>
    <w:link w:val="Style_24"/>
  </w:style>
  <w:style w:styleId="Style_25" w:type="paragraph">
    <w:name w:val="ConsPlusTextList"/>
    <w:link w:val="Style_25_ch"/>
    <w:pPr>
      <w:widowControl w:val="0"/>
      <w:ind/>
    </w:pPr>
    <w:rPr>
      <w:rFonts w:ascii="Arial" w:hAnsi="Arial"/>
    </w:rPr>
  </w:style>
  <w:style w:styleId="Style_25_ch" w:type="character">
    <w:name w:val="ConsPlusTextList"/>
    <w:link w:val="Style_25"/>
    <w:rPr>
      <w:rFonts w:ascii="Arial" w:hAnsi="Arial"/>
    </w:rPr>
  </w:style>
  <w:style w:styleId="Style_26" w:type="paragraph">
    <w:name w:val="table of figures"/>
    <w:basedOn w:val="Style_8"/>
    <w:next w:val="Style_8"/>
    <w:link w:val="Style_26_ch"/>
    <w:pPr>
      <w:widowControl w:val="1"/>
      <w:spacing w:after="0"/>
      <w:ind/>
    </w:pPr>
  </w:style>
  <w:style w:styleId="Style_26_ch" w:type="character">
    <w:name w:val="table of figures"/>
    <w:basedOn w:val="Style_8_ch"/>
    <w:link w:val="Style_26"/>
  </w:style>
  <w:style w:styleId="Style_27" w:type="paragraph">
    <w:name w:val="ConsPlusCell"/>
    <w:link w:val="Style_27_ch"/>
    <w:pPr>
      <w:widowControl w:val="0"/>
      <w:ind/>
    </w:pPr>
    <w:rPr>
      <w:rFonts w:ascii="Courier New" w:hAnsi="Courier New"/>
    </w:rPr>
  </w:style>
  <w:style w:styleId="Style_27_ch" w:type="character">
    <w:name w:val="ConsPlusCell"/>
    <w:link w:val="Style_27"/>
    <w:rPr>
      <w:rFonts w:ascii="Courier New" w:hAnsi="Courier New"/>
    </w:rPr>
  </w:style>
  <w:style w:styleId="Style_28" w:type="paragraph">
    <w:name w:val="Balloon Text"/>
    <w:basedOn w:val="Style_8"/>
    <w:link w:val="Style_2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8_ch"/>
    <w:link w:val="Style_28"/>
    <w:rPr>
      <w:rFonts w:ascii="Segoe UI" w:hAnsi="Segoe UI"/>
      <w:sz w:val="18"/>
    </w:rPr>
  </w:style>
  <w:style w:styleId="Style_29" w:type="paragraph">
    <w:name w:val="ConsPlusTitlePage"/>
    <w:link w:val="Style_29_ch"/>
    <w:pPr>
      <w:widowControl w:val="0"/>
      <w:ind/>
    </w:pPr>
    <w:rPr>
      <w:rFonts w:ascii="Tahoma" w:hAnsi="Tahoma"/>
    </w:rPr>
  </w:style>
  <w:style w:styleId="Style_29_ch" w:type="character">
    <w:name w:val="ConsPlusTitlePage"/>
    <w:link w:val="Style_29"/>
    <w:rPr>
      <w:rFonts w:ascii="Tahoma" w:hAnsi="Tahoma"/>
    </w:rPr>
  </w:style>
  <w:style w:styleId="Style_3" w:type="paragraph">
    <w:name w:val="s_1"/>
    <w:basedOn w:val="Style_8"/>
    <w:link w:val="Style_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s_1"/>
    <w:basedOn w:val="Style_8_ch"/>
    <w:link w:val="Style_3"/>
    <w:rPr>
      <w:rFonts w:ascii="Times New Roman" w:hAnsi="Times New Roman"/>
      <w:sz w:val="24"/>
    </w:rPr>
  </w:style>
  <w:style w:styleId="Style_30" w:type="paragraph">
    <w:name w:val="toc 3"/>
    <w:basedOn w:val="Style_8"/>
    <w:next w:val="Style_8"/>
    <w:link w:val="Style_30_ch"/>
    <w:uiPriority w:val="39"/>
    <w:pPr>
      <w:widowControl w:val="1"/>
      <w:spacing w:after="57"/>
      <w:ind w:left="567"/>
    </w:pPr>
  </w:style>
  <w:style w:styleId="Style_30_ch" w:type="character">
    <w:name w:val="toc 3"/>
    <w:basedOn w:val="Style_8_ch"/>
    <w:link w:val="Style_30"/>
  </w:style>
  <w:style w:styleId="Style_31" w:type="paragraph">
    <w:name w:val="Intense Quote"/>
    <w:basedOn w:val="Style_8"/>
    <w:next w:val="Style_8"/>
    <w:link w:val="Style_3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1_ch" w:type="character">
    <w:name w:val="Intense Quote"/>
    <w:basedOn w:val="Style_8_ch"/>
    <w:link w:val="Style_31"/>
    <w:rPr>
      <w:i w:val="1"/>
    </w:rPr>
  </w:style>
  <w:style w:styleId="Style_32" w:type="paragraph">
    <w:name w:val="pdp_h8a"/>
    <w:basedOn w:val="Style_9"/>
    <w:link w:val="Style_32_ch"/>
  </w:style>
  <w:style w:styleId="Style_32_ch" w:type="character">
    <w:name w:val="pdp_h8a"/>
    <w:basedOn w:val="Style_9_ch"/>
    <w:link w:val="Style_32"/>
  </w:style>
  <w:style w:styleId="Style_33" w:type="paragraph">
    <w:name w:val="heading 5"/>
    <w:basedOn w:val="Style_8"/>
    <w:next w:val="Style_8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3_ch" w:type="character">
    <w:name w:val="heading 5"/>
    <w:basedOn w:val="Style_8_ch"/>
    <w:link w:val="Style_33"/>
    <w:rPr>
      <w:rFonts w:ascii="Arial" w:hAnsi="Arial"/>
      <w:b w:val="1"/>
      <w:sz w:val="24"/>
    </w:rPr>
  </w:style>
  <w:style w:styleId="Style_34" w:type="paragraph">
    <w:name w:val="heading 1"/>
    <w:basedOn w:val="Style_8"/>
    <w:next w:val="Style_8"/>
    <w:link w:val="Style_3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4_ch" w:type="character">
    <w:name w:val="heading 1"/>
    <w:basedOn w:val="Style_8_ch"/>
    <w:link w:val="Style_34"/>
    <w:rPr>
      <w:rFonts w:ascii="Arial" w:hAnsi="Arial"/>
      <w:sz w:val="40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35" w:type="paragraph">
    <w:name w:val="Footnote"/>
    <w:basedOn w:val="Style_8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8_ch"/>
    <w:link w:val="Style_35"/>
    <w:rPr>
      <w:sz w:val="18"/>
    </w:rPr>
  </w:style>
  <w:style w:styleId="Style_36" w:type="paragraph">
    <w:name w:val="heading 8"/>
    <w:basedOn w:val="Style_8"/>
    <w:next w:val="Style_8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36_ch" w:type="character">
    <w:name w:val="heading 8"/>
    <w:basedOn w:val="Style_8_ch"/>
    <w:link w:val="Style_36"/>
    <w:rPr>
      <w:rFonts w:ascii="Arial" w:hAnsi="Arial"/>
      <w:i w:val="1"/>
    </w:rPr>
  </w:style>
  <w:style w:styleId="Style_37" w:type="paragraph">
    <w:name w:val="toc 1"/>
    <w:basedOn w:val="Style_8"/>
    <w:next w:val="Style_8"/>
    <w:link w:val="Style_37_ch"/>
    <w:uiPriority w:val="39"/>
    <w:pPr>
      <w:widowControl w:val="1"/>
      <w:spacing w:after="57"/>
      <w:ind/>
    </w:pPr>
  </w:style>
  <w:style w:styleId="Style_37_ch" w:type="character">
    <w:name w:val="toc 1"/>
    <w:basedOn w:val="Style_8_ch"/>
    <w:link w:val="Style_37"/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ConsPlusTitle"/>
    <w:link w:val="Style_39_ch"/>
    <w:pPr>
      <w:widowControl w:val="0"/>
      <w:ind/>
    </w:pPr>
    <w:rPr>
      <w:rFonts w:ascii="Calibri" w:hAnsi="Calibri"/>
      <w:b w:val="1"/>
      <w:sz w:val="22"/>
    </w:rPr>
  </w:style>
  <w:style w:styleId="Style_39_ch" w:type="character">
    <w:name w:val="ConsPlusTitle"/>
    <w:link w:val="Style_39"/>
    <w:rPr>
      <w:rFonts w:ascii="Calibri" w:hAnsi="Calibri"/>
      <w:b w:val="1"/>
      <w:sz w:val="22"/>
    </w:rPr>
  </w:style>
  <w:style w:styleId="Style_40" w:type="paragraph">
    <w:name w:val="toc 9"/>
    <w:basedOn w:val="Style_8"/>
    <w:next w:val="Style_8"/>
    <w:link w:val="Style_40_ch"/>
    <w:uiPriority w:val="39"/>
    <w:pPr>
      <w:widowControl w:val="1"/>
      <w:spacing w:after="57"/>
      <w:ind w:left="2268"/>
    </w:pPr>
  </w:style>
  <w:style w:styleId="Style_40_ch" w:type="character">
    <w:name w:val="toc 9"/>
    <w:basedOn w:val="Style_8_ch"/>
    <w:link w:val="Style_40"/>
  </w:style>
  <w:style w:styleId="Style_41" w:type="paragraph">
    <w:name w:val="footer"/>
    <w:basedOn w:val="Style_8"/>
    <w:link w:val="Style_4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1_ch" w:type="character">
    <w:name w:val="footer"/>
    <w:basedOn w:val="Style_8_ch"/>
    <w:link w:val="Style_41"/>
  </w:style>
  <w:style w:styleId="Style_42" w:type="paragraph">
    <w:name w:val="toc 8"/>
    <w:basedOn w:val="Style_8"/>
    <w:next w:val="Style_8"/>
    <w:link w:val="Style_42_ch"/>
    <w:uiPriority w:val="39"/>
    <w:pPr>
      <w:widowControl w:val="1"/>
      <w:spacing w:after="57"/>
      <w:ind w:left="1984"/>
    </w:pPr>
  </w:style>
  <w:style w:styleId="Style_42_ch" w:type="character">
    <w:name w:val="toc 8"/>
    <w:basedOn w:val="Style_8_ch"/>
    <w:link w:val="Style_42"/>
  </w:style>
  <w:style w:styleId="Style_43" w:type="paragraph">
    <w:name w:val="ConsPlusDocList"/>
    <w:link w:val="Style_43_ch"/>
    <w:pPr>
      <w:widowControl w:val="0"/>
      <w:ind/>
    </w:pPr>
    <w:rPr>
      <w:rFonts w:ascii="Calibri" w:hAnsi="Calibri"/>
      <w:sz w:val="22"/>
    </w:rPr>
  </w:style>
  <w:style w:styleId="Style_43_ch" w:type="character">
    <w:name w:val="ConsPlusDocList"/>
    <w:link w:val="Style_43"/>
    <w:rPr>
      <w:rFonts w:ascii="Calibri" w:hAnsi="Calibri"/>
      <w:sz w:val="22"/>
    </w:rPr>
  </w:style>
  <w:style w:styleId="Style_44" w:type="paragraph">
    <w:name w:val="footnote reference"/>
    <w:link w:val="Style_44_ch"/>
    <w:rPr>
      <w:vertAlign w:val="superscript"/>
    </w:rPr>
  </w:style>
  <w:style w:styleId="Style_44_ch" w:type="character">
    <w:name w:val="footnote reference"/>
    <w:link w:val="Style_44"/>
    <w:rPr>
      <w:vertAlign w:val="superscript"/>
    </w:rPr>
  </w:style>
  <w:style w:styleId="Style_45" w:type="paragraph">
    <w:name w:val="toc 5"/>
    <w:basedOn w:val="Style_8"/>
    <w:next w:val="Style_8"/>
    <w:link w:val="Style_45_ch"/>
    <w:uiPriority w:val="39"/>
    <w:pPr>
      <w:widowControl w:val="1"/>
      <w:spacing w:after="57"/>
      <w:ind w:left="1134"/>
    </w:pPr>
  </w:style>
  <w:style w:styleId="Style_45_ch" w:type="character">
    <w:name w:val="toc 5"/>
    <w:basedOn w:val="Style_8_ch"/>
    <w:link w:val="Style_45"/>
  </w:style>
  <w:style w:styleId="Style_46" w:type="paragraph">
    <w:name w:val="caption"/>
    <w:basedOn w:val="Style_8"/>
    <w:next w:val="Style_8"/>
    <w:link w:val="Style_4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6_ch" w:type="character">
    <w:name w:val="caption"/>
    <w:basedOn w:val="Style_8_ch"/>
    <w:link w:val="Style_46"/>
    <w:rPr>
      <w:b w:val="1"/>
      <w:color w:themeColor="accent1" w:val="4F81BD"/>
      <w:sz w:val="18"/>
    </w:rPr>
  </w:style>
  <w:style w:styleId="Style_47" w:type="paragraph">
    <w:name w:val="Subtitle"/>
    <w:basedOn w:val="Style_8"/>
    <w:next w:val="Style_8"/>
    <w:link w:val="Style_47_ch"/>
    <w:uiPriority w:val="11"/>
    <w:qFormat/>
    <w:pPr>
      <w:widowControl w:val="1"/>
      <w:spacing w:after="200" w:before="200"/>
      <w:ind/>
    </w:pPr>
    <w:rPr>
      <w:sz w:val="24"/>
    </w:rPr>
  </w:style>
  <w:style w:styleId="Style_47_ch" w:type="character">
    <w:name w:val="Subtitle"/>
    <w:basedOn w:val="Style_8_ch"/>
    <w:link w:val="Style_47"/>
    <w:rPr>
      <w:sz w:val="24"/>
    </w:rPr>
  </w:style>
  <w:style w:styleId="Style_48" w:type="paragraph">
    <w:name w:val="endnote reference"/>
    <w:link w:val="Style_48_ch"/>
    <w:rPr>
      <w:vertAlign w:val="superscript"/>
    </w:rPr>
  </w:style>
  <w:style w:styleId="Style_48_ch" w:type="character">
    <w:name w:val="endnote reference"/>
    <w:link w:val="Style_48"/>
    <w:rPr>
      <w:vertAlign w:val="superscript"/>
    </w:rPr>
  </w:style>
  <w:style w:styleId="Style_49" w:type="paragraph">
    <w:name w:val="Title"/>
    <w:basedOn w:val="Style_8"/>
    <w:next w:val="Style_8"/>
    <w:link w:val="Style_4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9_ch" w:type="character">
    <w:name w:val="Title"/>
    <w:basedOn w:val="Style_8_ch"/>
    <w:link w:val="Style_49"/>
    <w:rPr>
      <w:sz w:val="48"/>
    </w:rPr>
  </w:style>
  <w:style w:styleId="Style_50" w:type="paragraph">
    <w:name w:val="heading 4"/>
    <w:basedOn w:val="Style_8"/>
    <w:next w:val="Style_8"/>
    <w:link w:val="Style_5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0_ch" w:type="character">
    <w:name w:val="heading 4"/>
    <w:basedOn w:val="Style_8_ch"/>
    <w:link w:val="Style_50"/>
    <w:rPr>
      <w:rFonts w:ascii="Arial" w:hAnsi="Arial"/>
      <w:b w:val="1"/>
      <w:sz w:val="26"/>
    </w:rPr>
  </w:style>
  <w:style w:styleId="Style_51" w:type="paragraph">
    <w:name w:val="heading 2"/>
    <w:basedOn w:val="Style_8"/>
    <w:next w:val="Style_8"/>
    <w:link w:val="Style_5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1_ch" w:type="character">
    <w:name w:val="heading 2"/>
    <w:basedOn w:val="Style_8_ch"/>
    <w:link w:val="Style_51"/>
    <w:rPr>
      <w:rFonts w:ascii="Arial" w:hAnsi="Arial"/>
      <w:sz w:val="34"/>
    </w:rPr>
  </w:style>
  <w:style w:styleId="Style_1" w:type="paragraph">
    <w:name w:val="ConsPlusNormal"/>
    <w:link w:val="Style_1_ch"/>
    <w:pPr>
      <w:widowControl w:val="0"/>
      <w:ind/>
    </w:pPr>
    <w:rPr>
      <w:rFonts w:ascii="Calibri" w:hAnsi="Calibri"/>
      <w:sz w:val="22"/>
    </w:rPr>
  </w:style>
  <w:style w:styleId="Style_1_ch" w:type="character">
    <w:name w:val="ConsPlusNormal"/>
    <w:link w:val="Style_1"/>
    <w:rPr>
      <w:rFonts w:ascii="Calibri" w:hAnsi="Calibri"/>
      <w:sz w:val="22"/>
    </w:rPr>
  </w:style>
  <w:style w:styleId="Style_52" w:type="paragraph">
    <w:name w:val="heading 6"/>
    <w:basedOn w:val="Style_8"/>
    <w:next w:val="Style_8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52_ch" w:type="character">
    <w:name w:val="heading 6"/>
    <w:basedOn w:val="Style_8_ch"/>
    <w:link w:val="Style_52"/>
    <w:rPr>
      <w:rFonts w:ascii="Arial" w:hAnsi="Arial"/>
      <w:b w:val="1"/>
    </w:rPr>
  </w:style>
  <w:style w:styleId="Style_53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Bordered &amp; Lined - Accent 4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ned - Accent 6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Lined - Accent 4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Bordered &amp; Lined - Accent 3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Bordered &amp; Lined - Accent 2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Bordered &amp; Lined - Accent 6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ned - Accent 2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ned - Accent 5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Bordered &amp; Lined - Accent 5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ned - Accent 3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Bordered &amp; Lined - Accent 1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Lined - Accent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Bordered &amp; Lined - Accent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ned - Accent 1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2025-04-17T08:01:00Z</dcterms:created>
  <dcterms:modified xsi:type="dcterms:W3CDTF">2026-07-23T07:20:13Z</dcterms:modified>
</cp:coreProperties>
</file>