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B19" w:rsidRDefault="00604B19" w:rsidP="00604B19">
      <w:pPr>
        <w:widowControl w:val="0"/>
        <w:jc w:val="both"/>
        <w:rPr>
          <w:sz w:val="21"/>
          <w:szCs w:val="21"/>
        </w:rPr>
      </w:pPr>
    </w:p>
    <w:p w:rsidR="00604B19" w:rsidRDefault="00604B19" w:rsidP="00604B19">
      <w:pPr>
        <w:widowControl w:val="0"/>
        <w:jc w:val="right"/>
        <w:rPr>
          <w:b/>
          <w:sz w:val="22"/>
          <w:szCs w:val="22"/>
        </w:rPr>
      </w:pPr>
    </w:p>
    <w:p w:rsidR="00604B19" w:rsidRDefault="00604B19" w:rsidP="00604B19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ОБОСНОВАНИЕ НАЧАЛЬНОЙ (МАКСИМАЛЬНОЙ) ЦЕНЫ КОНТРАКТА </w:t>
      </w:r>
    </w:p>
    <w:p w:rsidR="00604B19" w:rsidRDefault="00604B19" w:rsidP="00604B19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почтовых бумажных маркированных конвертов, марок.</w:t>
      </w:r>
    </w:p>
    <w:p w:rsidR="00604B19" w:rsidRDefault="00604B19" w:rsidP="00604B19">
      <w:pPr>
        <w:suppressAutoHyphens/>
        <w:jc w:val="center"/>
        <w:rPr>
          <w:b/>
          <w:sz w:val="24"/>
          <w:szCs w:val="24"/>
        </w:rPr>
      </w:pPr>
    </w:p>
    <w:p w:rsidR="00604B19" w:rsidRDefault="00604B19" w:rsidP="00604B19">
      <w:pPr>
        <w:widowControl w:val="0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2"/>
        <w:gridCol w:w="7202"/>
      </w:tblGrid>
      <w:tr w:rsidR="00604B19" w:rsidTr="00604B19">
        <w:trPr>
          <w:trHeight w:val="289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widowControl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объекта закупки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tabs>
                <w:tab w:val="left" w:pos="1031"/>
              </w:tabs>
              <w:suppressAutoHyphens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Поставка почтовых бумажных маркированных конвертов, марок.</w:t>
            </w:r>
          </w:p>
        </w:tc>
      </w:tr>
      <w:tr w:rsidR="00604B19" w:rsidTr="00604B19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widowControl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Используемый метод определения начальной (максимальной) цены контракта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Метод сопоставимых рыночных цен (анализ рынка) </w:t>
            </w:r>
          </w:p>
        </w:tc>
      </w:tr>
      <w:tr w:rsidR="00604B19" w:rsidTr="00604B19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widowControl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Обоснование использования выбранного метода 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widowControl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Метод сопоставимых рыночных цен (анализ рынка) – является приоритетным методом обоснования на основании ч.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  <w:tr w:rsidR="00604B19" w:rsidTr="00604B19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widowControl w:val="0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Расчёт начальной (максимальной) цены контракта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Начальная (максимальная) цена контракта определена в соответствии с требованиями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нужд",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Методическими рекомендациями по применению методов определения начальной (максимальной) цены контракта установленных приказом Министерства экономического развития РФ № 567 от 02.10.2013 «</w:t>
            </w:r>
            <w:r>
              <w:rPr>
                <w:bCs/>
                <w:sz w:val="22"/>
                <w:szCs w:val="22"/>
                <w:lang w:eastAsia="en-US"/>
              </w:rPr>
              <w:t>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исполнителем)".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604B19" w:rsidRDefault="00604B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Расчет начальной (максимальной) цены контракта произведен на основании сопоставления рыночных цен (анализа рынка). Источниками информации для определения начальной (максимальной) цены контракта на поставку почтовых бумажных маркированных конвертов послужили сведения, полученные </w:t>
            </w:r>
            <w:r>
              <w:rPr>
                <w:bCs/>
                <w:sz w:val="22"/>
                <w:szCs w:val="22"/>
                <w:lang w:eastAsia="en-US"/>
              </w:rPr>
              <w:t xml:space="preserve">из информационно-телекоммуникационной сети «Интернет»: </w:t>
            </w:r>
            <w:hyperlink r:id="rId4" w:history="1">
              <w:r>
                <w:rPr>
                  <w:rStyle w:val="a3"/>
                  <w:bCs/>
                  <w:sz w:val="22"/>
                  <w:szCs w:val="22"/>
                  <w:lang w:eastAsia="en-US"/>
                </w:rPr>
                <w:t>https://3angular.ru</w:t>
              </w:r>
            </w:hyperlink>
            <w:r>
              <w:rPr>
                <w:bCs/>
                <w:sz w:val="22"/>
                <w:szCs w:val="22"/>
                <w:lang w:eastAsia="en-US"/>
              </w:rPr>
              <w:t xml:space="preserve"> и на основании двух коммерческих предложений.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  <w:tr w:rsidR="00604B19" w:rsidTr="00604B19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Валюта,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используемая для формирования начальной (максимальной) цены контракта и расчетов с поставщиком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19" w:rsidRDefault="00604B19">
            <w:pPr>
              <w:spacing w:line="276" w:lineRule="auto"/>
              <w:ind w:firstLine="567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Российский рубль</w:t>
            </w:r>
          </w:p>
          <w:p w:rsidR="00604B19" w:rsidRDefault="00604B19">
            <w:pPr>
              <w:shd w:val="clear" w:color="auto" w:fill="FFFFF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604B19" w:rsidTr="00604B19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hd w:val="clear" w:color="auto" w:fill="FFFFFF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</w:t>
            </w:r>
            <w:r>
              <w:rPr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hd w:val="clear" w:color="auto" w:fill="FFFFFF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Не установлен</w:t>
            </w:r>
          </w:p>
        </w:tc>
      </w:tr>
    </w:tbl>
    <w:p w:rsidR="00604B19" w:rsidRDefault="00604B19" w:rsidP="00604B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p w:rsidR="00604B19" w:rsidRDefault="00604B19" w:rsidP="00604B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p w:rsidR="00604B19" w:rsidRDefault="00604B19" w:rsidP="00604B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1. Результаты изучения рынка:</w:t>
      </w:r>
    </w:p>
    <w:p w:rsidR="00604B19" w:rsidRDefault="00604B19" w:rsidP="00604B19">
      <w:pPr>
        <w:rPr>
          <w:bCs/>
          <w:sz w:val="22"/>
          <w:szCs w:val="22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6"/>
        <w:gridCol w:w="850"/>
        <w:gridCol w:w="851"/>
        <w:gridCol w:w="1286"/>
        <w:gridCol w:w="1417"/>
        <w:gridCol w:w="1339"/>
        <w:gridCol w:w="1245"/>
        <w:gridCol w:w="1186"/>
      </w:tblGrid>
      <w:tr w:rsidR="00604B19" w:rsidTr="00604B19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Наименование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Кол-во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bookmarkStart w:id="0" w:name="OLE_LINK1"/>
            <w:bookmarkStart w:id="1" w:name="OLE_LINK2"/>
            <w:r>
              <w:rPr>
                <w:bCs/>
                <w:lang w:eastAsia="en-US"/>
              </w:rPr>
              <w:t>Ценовая</w:t>
            </w:r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информация</w:t>
            </w:r>
            <w:bookmarkEnd w:id="0"/>
            <w:bookmarkEnd w:id="1"/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bookmarkStart w:id="2" w:name="OLE_LINK3"/>
            <w:bookmarkStart w:id="3" w:name="OLE_LINK4"/>
            <w:bookmarkStart w:id="4" w:name="OLE_LINK5"/>
            <w:r>
              <w:rPr>
                <w:bCs/>
                <w:lang w:eastAsia="en-US"/>
              </w:rPr>
              <w:t>Ценовая информация</w:t>
            </w:r>
            <w:bookmarkEnd w:id="2"/>
            <w:bookmarkEnd w:id="3"/>
            <w:bookmarkEnd w:id="4"/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2</w:t>
            </w:r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(руб.)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Ценовая информация 2</w:t>
            </w:r>
          </w:p>
          <w:p w:rsidR="00604B19" w:rsidRDefault="00604B1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(руб.)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Средняя арифметическая величина цены за единицу, (руб.)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19" w:rsidRDefault="00604B19">
            <w:pPr>
              <w:spacing w:line="276" w:lineRule="auto"/>
              <w:jc w:val="center"/>
              <w:rPr>
                <w:lang w:val="x-none" w:eastAsia="x-none"/>
              </w:rPr>
            </w:pPr>
            <w:r>
              <w:rPr>
                <w:lang w:val="x-none" w:eastAsia="x-none"/>
              </w:rPr>
              <w:t>Начальная</w:t>
            </w:r>
          </w:p>
          <w:p w:rsidR="00604B19" w:rsidRDefault="00604B19">
            <w:pPr>
              <w:spacing w:line="276" w:lineRule="auto"/>
              <w:ind w:right="175"/>
              <w:jc w:val="center"/>
              <w:rPr>
                <w:lang w:val="x-none" w:eastAsia="x-none"/>
              </w:rPr>
            </w:pPr>
            <w:r>
              <w:rPr>
                <w:lang w:eastAsia="x-none"/>
              </w:rPr>
              <w:t>(</w:t>
            </w:r>
            <w:r>
              <w:rPr>
                <w:lang w:val="x-none" w:eastAsia="x-none"/>
              </w:rPr>
              <w:t>максимальная</w:t>
            </w:r>
            <w:r>
              <w:rPr>
                <w:lang w:eastAsia="x-none"/>
              </w:rPr>
              <w:t xml:space="preserve">) </w:t>
            </w:r>
            <w:r>
              <w:rPr>
                <w:lang w:val="x-none" w:eastAsia="x-none"/>
              </w:rPr>
              <w:t>цена</w:t>
            </w:r>
          </w:p>
          <w:p w:rsidR="00604B19" w:rsidRDefault="00604B19">
            <w:pPr>
              <w:spacing w:line="276" w:lineRule="auto"/>
              <w:ind w:right="-250"/>
              <w:jc w:val="center"/>
              <w:rPr>
                <w:lang w:eastAsia="x-none"/>
              </w:rPr>
            </w:pPr>
            <w:r>
              <w:rPr>
                <w:lang w:val="x-none" w:eastAsia="x-none"/>
              </w:rPr>
              <w:t>контракта,</w:t>
            </w:r>
          </w:p>
          <w:p w:rsidR="00604B19" w:rsidRDefault="00604B19">
            <w:pPr>
              <w:spacing w:line="276" w:lineRule="auto"/>
              <w:ind w:right="-250"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(</w:t>
            </w:r>
            <w:proofErr w:type="spellStart"/>
            <w:r>
              <w:rPr>
                <w:lang w:eastAsia="x-none"/>
              </w:rPr>
              <w:t>руб</w:t>
            </w:r>
            <w:proofErr w:type="spellEnd"/>
            <w:r>
              <w:rPr>
                <w:lang w:eastAsia="x-none"/>
              </w:rPr>
              <w:t>).</w:t>
            </w:r>
          </w:p>
          <w:p w:rsidR="00604B19" w:rsidRDefault="00604B19">
            <w:pPr>
              <w:spacing w:line="276" w:lineRule="auto"/>
              <w:ind w:right="-250"/>
              <w:jc w:val="center"/>
              <w:rPr>
                <w:lang w:val="x-none" w:eastAsia="x-none"/>
              </w:rPr>
            </w:pPr>
          </w:p>
          <w:p w:rsidR="00604B19" w:rsidRDefault="00604B19">
            <w:pPr>
              <w:spacing w:line="276" w:lineRule="auto"/>
              <w:jc w:val="center"/>
              <w:rPr>
                <w:lang w:val="x-none" w:eastAsia="x-none"/>
              </w:rPr>
            </w:pPr>
          </w:p>
        </w:tc>
      </w:tr>
      <w:tr w:rsidR="00604B19" w:rsidTr="00604B19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Марка почтовая , номинальная стоимость 100,00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штука</w:t>
            </w:r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="00604B19">
              <w:rPr>
                <w:bCs/>
                <w:lang w:eastAsia="en-US"/>
              </w:rPr>
              <w:t>000,00</w:t>
            </w:r>
          </w:p>
        </w:tc>
      </w:tr>
      <w:tr w:rsidR="00604B19" w:rsidTr="00604B19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Марка почтовая , номинальная стоимость 50,00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штука</w:t>
            </w:r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DA3F3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  <w:r w:rsidR="00604B19">
              <w:rPr>
                <w:bCs/>
                <w:lang w:eastAsia="en-US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DA3F3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  <w:r w:rsidR="00604B19">
              <w:rPr>
                <w:bCs/>
                <w:lang w:eastAsia="en-US"/>
              </w:rPr>
              <w:t>0,00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DA3F3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  <w:r w:rsidR="00604B19">
              <w:rPr>
                <w:bCs/>
                <w:lang w:eastAsia="en-US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DA3F3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  <w:r w:rsidR="00604B19">
              <w:rPr>
                <w:bCs/>
                <w:lang w:eastAsia="en-US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="00DA3F33">
              <w:rPr>
                <w:bCs/>
                <w:lang w:eastAsia="en-US"/>
              </w:rPr>
              <w:t>0</w:t>
            </w:r>
            <w:r w:rsidR="00604B19">
              <w:rPr>
                <w:bCs/>
                <w:lang w:eastAsia="en-US"/>
              </w:rPr>
              <w:t>00,00</w:t>
            </w:r>
          </w:p>
        </w:tc>
      </w:tr>
      <w:tr w:rsidR="00604B19" w:rsidTr="00604B19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Марка почтовая , номинальная стоимость 25,00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штука</w:t>
            </w:r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DA3F3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1000</w:t>
            </w:r>
            <w:r w:rsidR="00604B19">
              <w:rPr>
                <w:bCs/>
                <w:lang w:eastAsia="en-US"/>
              </w:rPr>
              <w:t>,00</w:t>
            </w:r>
          </w:p>
        </w:tc>
      </w:tr>
      <w:tr w:rsidR="00604B19" w:rsidTr="00604B19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Марка почтовая , номинальная стоимость 10,00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штука</w:t>
            </w:r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 w:rsidP="00DA3F33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DA3F33" w:rsidP="00DA3F3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1000</w:t>
            </w:r>
            <w:r w:rsidR="00604B19">
              <w:rPr>
                <w:bCs/>
                <w:lang w:eastAsia="en-US"/>
              </w:rPr>
              <w:t>,00</w:t>
            </w:r>
          </w:p>
        </w:tc>
      </w:tr>
      <w:tr w:rsidR="00604B19" w:rsidTr="00604B19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Марка почтовая , номинальная стоимость 6,00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штука</w:t>
            </w:r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 w:rsidP="00DA3F33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DA3F33">
              <w:rPr>
                <w:bCs/>
                <w:lang w:eastAsia="en-US"/>
              </w:rPr>
              <w:t>00</w:t>
            </w:r>
            <w:r w:rsidR="00604B19">
              <w:rPr>
                <w:bCs/>
                <w:lang w:eastAsia="en-US"/>
              </w:rPr>
              <w:t>,00</w:t>
            </w:r>
          </w:p>
        </w:tc>
      </w:tr>
      <w:tr w:rsidR="00604B19" w:rsidTr="00604B19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Марка почтовая , номинальная стоимость 5,00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штука</w:t>
            </w:r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 w:rsidP="00DA3F33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  <w:r w:rsidR="00DA3F33">
              <w:rPr>
                <w:bCs/>
                <w:lang w:eastAsia="en-US"/>
              </w:rPr>
              <w:t>0</w:t>
            </w:r>
            <w:r w:rsidR="00604B19">
              <w:rPr>
                <w:bCs/>
                <w:lang w:eastAsia="en-US"/>
              </w:rPr>
              <w:t>,00</w:t>
            </w:r>
          </w:p>
        </w:tc>
      </w:tr>
      <w:tr w:rsidR="00604B19" w:rsidTr="00604B19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Марка по</w:t>
            </w:r>
            <w:r w:rsidR="00AD58A8">
              <w:rPr>
                <w:bCs/>
                <w:lang w:eastAsia="en-US"/>
              </w:rPr>
              <w:t>чтовая , номинальная стоимость 3</w:t>
            </w:r>
            <w:r>
              <w:rPr>
                <w:bCs/>
                <w:lang w:eastAsia="en-US"/>
              </w:rPr>
              <w:t>,00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штука</w:t>
            </w:r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 w:rsidP="00AD58A8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604B19">
              <w:rPr>
                <w:bCs/>
                <w:lang w:eastAsia="en-US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604B19">
              <w:rPr>
                <w:bCs/>
                <w:lang w:eastAsia="en-US"/>
              </w:rPr>
              <w:t>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604B19">
              <w:rPr>
                <w:bCs/>
                <w:lang w:eastAsia="en-US"/>
              </w:rPr>
              <w:t>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  <w:r w:rsidR="00604B19">
              <w:rPr>
                <w:bCs/>
                <w:lang w:eastAsia="en-US"/>
              </w:rPr>
              <w:t>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150</w:t>
            </w:r>
            <w:r w:rsidR="00604B19">
              <w:rPr>
                <w:bCs/>
                <w:lang w:eastAsia="en-US"/>
              </w:rPr>
              <w:t>,00</w:t>
            </w:r>
          </w:p>
        </w:tc>
      </w:tr>
      <w:tr w:rsidR="00604B19" w:rsidTr="00604B19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Марка почтовая , номинальная стоимость 2,00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штука</w:t>
            </w:r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  <w:r w:rsidR="00DA3F33">
              <w:rPr>
                <w:bCs/>
                <w:lang w:eastAsia="en-US"/>
              </w:rPr>
              <w:t>00</w:t>
            </w:r>
            <w:r w:rsidR="00604B19">
              <w:rPr>
                <w:bCs/>
                <w:lang w:eastAsia="en-US"/>
              </w:rPr>
              <w:t>,00</w:t>
            </w:r>
          </w:p>
        </w:tc>
      </w:tr>
      <w:tr w:rsidR="00604B19" w:rsidTr="00604B19">
        <w:trPr>
          <w:trHeight w:val="1615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Марка почтовая , номинальная стоимость 1,00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штука</w:t>
            </w:r>
          </w:p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(шт.)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DA3F3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1,00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DA3F33" w:rsidP="00DA3F3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50,00</w:t>
            </w:r>
          </w:p>
        </w:tc>
      </w:tr>
      <w:tr w:rsidR="00604B19" w:rsidTr="00604B19">
        <w:trPr>
          <w:trHeight w:val="528"/>
          <w:jc w:val="center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B19" w:rsidRDefault="00604B19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19" w:rsidRDefault="00604B19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19" w:rsidRDefault="00604B19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19" w:rsidRDefault="00604B19">
            <w:pPr>
              <w:spacing w:line="276" w:lineRule="auto"/>
              <w:rPr>
                <w:bCs/>
                <w:lang w:eastAsia="en-US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B19" w:rsidRDefault="00AD58A8" w:rsidP="00DA3F33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5200</w:t>
            </w:r>
            <w:r w:rsidR="00604B19">
              <w:rPr>
                <w:b/>
                <w:bCs/>
                <w:lang w:eastAsia="en-US"/>
              </w:rPr>
              <w:t>,00</w:t>
            </w:r>
          </w:p>
        </w:tc>
      </w:tr>
    </w:tbl>
    <w:p w:rsidR="00604B19" w:rsidRDefault="00604B19" w:rsidP="00604B19">
      <w:pPr>
        <w:rPr>
          <w:sz w:val="22"/>
          <w:szCs w:val="22"/>
        </w:rPr>
      </w:pPr>
    </w:p>
    <w:p w:rsidR="00604B19" w:rsidRDefault="00604B19" w:rsidP="00604B19">
      <w:pPr>
        <w:rPr>
          <w:rFonts w:eastAsia="Calibri Light"/>
          <w:b/>
          <w:bCs/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rFonts w:eastAsia="Calibri Light"/>
          <w:bCs/>
          <w:sz w:val="22"/>
          <w:szCs w:val="22"/>
        </w:rPr>
        <w:t xml:space="preserve">В целях определения однородности совокупности значений выявленных цен, используемых в расчете начальной (максимальной) цены контракта определен </w:t>
      </w:r>
      <w:r>
        <w:rPr>
          <w:rFonts w:eastAsia="Calibri Light"/>
          <w:b/>
          <w:bCs/>
          <w:sz w:val="22"/>
          <w:szCs w:val="22"/>
        </w:rPr>
        <w:t>коэффициент вариации:</w:t>
      </w:r>
    </w:p>
    <w:p w:rsidR="00604B19" w:rsidRDefault="00604B19" w:rsidP="00604B19">
      <w:pPr>
        <w:autoSpaceDE w:val="0"/>
        <w:autoSpaceDN w:val="0"/>
        <w:adjustRightInd w:val="0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position w:val="-28"/>
          <w:sz w:val="22"/>
          <w:szCs w:val="22"/>
        </w:rPr>
        <w:t xml:space="preserve">         </w:t>
      </w:r>
      <w:r>
        <w:rPr>
          <w:rFonts w:eastAsia="Calibri Light"/>
          <w:noProof/>
          <w:position w:val="-28"/>
          <w:sz w:val="22"/>
          <w:szCs w:val="22"/>
        </w:rPr>
        <w:drawing>
          <wp:inline distT="0" distB="0" distL="0" distR="0">
            <wp:extent cx="1209675" cy="4191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 Light"/>
          <w:bCs/>
          <w:sz w:val="22"/>
          <w:szCs w:val="22"/>
        </w:rPr>
        <w:t>,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где: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V - коэффициент вариации;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noProof/>
          <w:position w:val="-26"/>
          <w:sz w:val="22"/>
          <w:szCs w:val="22"/>
        </w:rPr>
        <w:drawing>
          <wp:inline distT="0" distB="0" distL="0" distR="0">
            <wp:extent cx="1590675" cy="5429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 Light"/>
          <w:bCs/>
          <w:sz w:val="22"/>
          <w:szCs w:val="22"/>
        </w:rPr>
        <w:t xml:space="preserve"> - среднее квадратичное отклонение;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noProof/>
          <w:position w:val="-12"/>
          <w:sz w:val="22"/>
          <w:szCs w:val="22"/>
        </w:rPr>
        <w:drawing>
          <wp:inline distT="0" distB="0" distL="0" distR="0">
            <wp:extent cx="152400" cy="22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 Light"/>
          <w:bCs/>
          <w:sz w:val="22"/>
          <w:szCs w:val="22"/>
        </w:rPr>
        <w:t xml:space="preserve"> - цена единицы товара, указанная в источнике с номером i;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&lt;ц&gt; - средняя арифметическая величина цены единицы товара;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n - количество значений, используемых в расчете.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 xml:space="preserve">Коэффициент вариации цены не превышает 33%, поэтому совокупность значений, используемых в расчете, является однородной. 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/>
          <w:bCs/>
          <w:sz w:val="22"/>
          <w:szCs w:val="22"/>
        </w:rPr>
        <w:t>Начальная максимальная цена контракта (НМЦК)</w:t>
      </w:r>
      <w:r>
        <w:rPr>
          <w:rFonts w:eastAsia="Calibri Light"/>
          <w:bCs/>
          <w:sz w:val="22"/>
          <w:szCs w:val="22"/>
        </w:rPr>
        <w:t xml:space="preserve"> определена по формуле: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noProof/>
          <w:sz w:val="22"/>
          <w:szCs w:val="22"/>
        </w:rPr>
        <w:drawing>
          <wp:inline distT="0" distB="0" distL="0" distR="0">
            <wp:extent cx="1628775" cy="4000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 Light"/>
          <w:bCs/>
          <w:sz w:val="22"/>
          <w:szCs w:val="22"/>
        </w:rPr>
        <w:t>,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где: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noProof/>
          <w:sz w:val="22"/>
          <w:szCs w:val="22"/>
        </w:rPr>
        <w:drawing>
          <wp:inline distT="0" distB="0" distL="0" distR="0">
            <wp:extent cx="676275" cy="228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 Light"/>
          <w:bCs/>
          <w:sz w:val="22"/>
          <w:szCs w:val="22"/>
        </w:rPr>
        <w:t xml:space="preserve"> - НМЦК, определяемая методом сопоставимых рыночных цен (анализа рынка);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v – количество закупаемого товара;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n - количество значений, используемых в расчете;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bCs/>
          <w:sz w:val="22"/>
          <w:szCs w:val="22"/>
        </w:rPr>
        <w:t>i - номер источника ценовой информации;</w:t>
      </w:r>
    </w:p>
    <w:p w:rsidR="00604B19" w:rsidRDefault="00604B19" w:rsidP="00604B19">
      <w:pPr>
        <w:autoSpaceDE w:val="0"/>
        <w:autoSpaceDN w:val="0"/>
        <w:adjustRightInd w:val="0"/>
        <w:ind w:firstLine="540"/>
        <w:jc w:val="both"/>
        <w:rPr>
          <w:rFonts w:eastAsia="Calibri Light"/>
          <w:bCs/>
          <w:sz w:val="22"/>
          <w:szCs w:val="22"/>
        </w:rPr>
      </w:pPr>
      <w:r>
        <w:rPr>
          <w:rFonts w:eastAsia="Calibri Light"/>
          <w:noProof/>
          <w:sz w:val="22"/>
          <w:szCs w:val="22"/>
        </w:rPr>
        <w:drawing>
          <wp:inline distT="0" distB="0" distL="0" distR="0">
            <wp:extent cx="1524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 Light"/>
          <w:bCs/>
          <w:sz w:val="22"/>
          <w:szCs w:val="22"/>
        </w:rPr>
        <w:t xml:space="preserve"> - цена единицы товара, представленная в источнике с номером i,</w:t>
      </w:r>
    </w:p>
    <w:p w:rsidR="00604B19" w:rsidRDefault="00AD58A8" w:rsidP="00DA3F33">
      <w:pPr>
        <w:rPr>
          <w:rFonts w:eastAsia="Calibri Light"/>
          <w:b/>
          <w:sz w:val="22"/>
          <w:szCs w:val="22"/>
        </w:rPr>
      </w:pPr>
      <w:r>
        <w:rPr>
          <w:rFonts w:eastAsia="Calibri Light"/>
          <w:b/>
          <w:sz w:val="22"/>
          <w:szCs w:val="22"/>
        </w:rPr>
        <w:t xml:space="preserve">              5200,00 (пять</w:t>
      </w:r>
      <w:bookmarkStart w:id="5" w:name="_GoBack"/>
      <w:bookmarkEnd w:id="5"/>
      <w:r w:rsidR="00DA3F33">
        <w:rPr>
          <w:rFonts w:eastAsia="Calibri Light"/>
          <w:b/>
          <w:sz w:val="22"/>
          <w:szCs w:val="22"/>
        </w:rPr>
        <w:t xml:space="preserve"> тысяч</w:t>
      </w:r>
      <w:r w:rsidR="00604B19">
        <w:rPr>
          <w:rFonts w:eastAsia="Calibri Light"/>
          <w:b/>
          <w:sz w:val="22"/>
          <w:szCs w:val="22"/>
        </w:rPr>
        <w:t>) рублей  00 копеек.</w:t>
      </w:r>
    </w:p>
    <w:p w:rsidR="00877C86" w:rsidRDefault="00AD58A8"/>
    <w:sectPr w:rsidR="00877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03"/>
    <w:rsid w:val="00177447"/>
    <w:rsid w:val="00604B19"/>
    <w:rsid w:val="0064543F"/>
    <w:rsid w:val="00AD58A8"/>
    <w:rsid w:val="00DA3F33"/>
    <w:rsid w:val="00E1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2FB8"/>
  <w15:docId w15:val="{0F6DE67C-5DD2-464F-AF19-8857AC36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04B1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4B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4B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hyperlink" Target="https://3angular.ru" TargetMode="Externa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KorytnayaEG</dc:creator>
  <cp:keywords/>
  <dc:description/>
  <cp:lastModifiedBy>AntonovPS</cp:lastModifiedBy>
  <cp:revision>4</cp:revision>
  <dcterms:created xsi:type="dcterms:W3CDTF">2025-01-16T10:59:00Z</dcterms:created>
  <dcterms:modified xsi:type="dcterms:W3CDTF">2026-08-21T13:48:00Z</dcterms:modified>
</cp:coreProperties>
</file>