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КОНТРАКТ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№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  <w:color w:val="7030a0"/>
          <w:sz w:val="20"/>
          <w:szCs w:val="20"/>
        </w:rPr>
        <w:t xml:space="preserve">Поставка</w:t>
      </w:r>
      <w:r>
        <w:rPr>
          <w:rFonts w:ascii="Times New Roman" w:hAnsi="Times New Roman" w:eastAsia="Times New Roman" w:cs="Times New Roman"/>
          <w:b/>
          <w:color w:val="0070c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7030a0"/>
          <w:sz w:val="20"/>
          <w:szCs w:val="20"/>
        </w:rPr>
        <w:t xml:space="preserve">расходных материалов для локальных средств печати </w:t>
      </w:r>
      <w:r>
        <w:rPr>
          <w:rFonts w:ascii="Times New Roman" w:hAnsi="Times New Roman" w:eastAsia="Times New Roman" w:cs="Times New Roman"/>
          <w:b/>
          <w:bCs/>
          <w:color w:val="7030a0"/>
          <w:sz w:val="20"/>
          <w:szCs w:val="20"/>
        </w:rPr>
        <w:br/>
        <w:t xml:space="preserve">и копирования данных или входящих в состав АРМ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_________________________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г.</w:t>
      </w:r>
      <w:r>
        <w:rPr>
          <w:rFonts w:ascii="Times New Roman" w:hAnsi="Times New Roman" w:cs="Times New Roman"/>
          <w:b/>
          <w:sz w:val="20"/>
          <w:szCs w:val="20"/>
        </w:rPr>
        <w:t xml:space="preserve"> Благовещенск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-567"/>
        <w:jc w:val="both"/>
        <w:spacing w:after="120" w:line="240" w:lineRule="auto"/>
        <w:rPr>
          <w:rFonts w:ascii="Times New Roman" w:hAnsi="Times New Roman" w:cs="Times New Roman"/>
          <w:sz w:val="20"/>
          <w:szCs w:val="20"/>
          <w:lang w:eastAsia="ru-RU"/>
        </w:rPr>
        <w:outlineLvl w:val="1"/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 xml:space="preserve">именуемое в дальнейшем</w:t>
      </w:r>
      <w:r>
        <w:rPr>
          <w:rFonts w:ascii="Times New Roman" w:hAnsi="Times New Roman" w:cs="Times New Roman"/>
          <w:sz w:val="20"/>
          <w:szCs w:val="20"/>
        </w:rPr>
        <w:t xml:space="preserve"> «Поставщик», с одной стороны, и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Управление Федеральной службы государственной регистрации, кадастра и картографии по Амурской области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«ЗАКАЗЧИК»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в лице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р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уководителя  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Москалёвой Светланы Владимировны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, действующей на основании Положения и Приказа от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06.05.2020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№ 94 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 xml:space="preserve">именуемое в дальнейшем</w:t>
      </w:r>
      <w:r>
        <w:rPr>
          <w:rFonts w:ascii="Times New Roman" w:hAnsi="Times New Roman" w:cs="Times New Roman"/>
          <w:sz w:val="20"/>
          <w:szCs w:val="20"/>
        </w:rPr>
        <w:t xml:space="preserve"> «Заказчик», </w:t>
      </w:r>
      <w:r>
        <w:rPr>
          <w:rFonts w:ascii="Times New Roman" w:hAnsi="Times New Roman" w:cs="Times New Roman"/>
          <w:bCs/>
          <w:sz w:val="20"/>
          <w:szCs w:val="20"/>
        </w:rPr>
        <w:t xml:space="preserve">с другой стороны,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sz w:val="20"/>
          <w:szCs w:val="20"/>
        </w:rPr>
        <w:t xml:space="preserve"> пунктом 4 части 1 статьи 93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заключили настоящий Контракт (далее - Контракт) о нижеследующем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:</w:t>
      </w:r>
      <w:r>
        <w:rPr>
          <w:rFonts w:ascii="Times New Roman" w:hAnsi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Предмет контракта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Поставщик обязуется постав</w:t>
      </w:r>
      <w:r>
        <w:rPr>
          <w:rFonts w:ascii="Times New Roman" w:hAnsi="Times New Roman" w:cs="Times New Roman"/>
          <w:sz w:val="20"/>
          <w:szCs w:val="20"/>
        </w:rPr>
        <w:t xml:space="preserve">ить </w:t>
      </w:r>
      <w:r>
        <w:rPr>
          <w:rFonts w:ascii="Times New Roman" w:hAnsi="Times New Roman" w:cs="Times New Roman"/>
          <w:sz w:val="20"/>
          <w:szCs w:val="20"/>
        </w:rPr>
        <w:t xml:space="preserve">Заказчику </w:t>
      </w:r>
      <w:r>
        <w:rPr>
          <w:rFonts w:ascii="Times New Roman" w:hAnsi="Times New Roman" w:eastAsia="Times New Roman" w:cs="Times New Roman"/>
          <w:b/>
          <w:bCs/>
          <w:color w:val="7030a0"/>
          <w:sz w:val="20"/>
          <w:szCs w:val="20"/>
        </w:rPr>
        <w:t xml:space="preserve">расходные материалы для локальных средств печати </w:t>
      </w:r>
      <w:r>
        <w:rPr>
          <w:rFonts w:ascii="Times New Roman" w:hAnsi="Times New Roman" w:eastAsia="Times New Roman" w:cs="Times New Roman"/>
          <w:b/>
          <w:bCs/>
          <w:color w:val="7030a0"/>
          <w:sz w:val="20"/>
          <w:szCs w:val="20"/>
        </w:rPr>
        <w:br/>
        <w:t xml:space="preserve">и копирования данных или входящих в состав АРМ</w:t>
      </w:r>
      <w:r>
        <w:rPr>
          <w:rFonts w:ascii="Times New Roman" w:hAnsi="Times New Roman" w:cs="Times New Roman"/>
          <w:sz w:val="20"/>
          <w:szCs w:val="20"/>
        </w:rPr>
        <w:t xml:space="preserve">, указанны</w:t>
      </w:r>
      <w:r>
        <w:rPr>
          <w:rFonts w:ascii="Times New Roman" w:hAnsi="Times New Roman" w:cs="Times New Roman"/>
          <w:sz w:val="20"/>
          <w:szCs w:val="20"/>
        </w:rPr>
        <w:t xml:space="preserve">е</w:t>
      </w:r>
      <w:r>
        <w:rPr>
          <w:rFonts w:ascii="Times New Roman" w:hAnsi="Times New Roman" w:cs="Times New Roman"/>
          <w:sz w:val="20"/>
          <w:szCs w:val="20"/>
        </w:rPr>
        <w:t xml:space="preserve"> в Спецификации (Приложение № 1 к настоящему Контракту), (далее по тексту «Товар»), а Заказчик обязуется прин</w:t>
      </w:r>
      <w:r>
        <w:rPr>
          <w:rFonts w:ascii="Times New Roman" w:hAnsi="Times New Roman" w:cs="Times New Roman"/>
          <w:sz w:val="20"/>
          <w:szCs w:val="20"/>
        </w:rPr>
        <w:t xml:space="preserve">ять </w:t>
      </w:r>
      <w:r>
        <w:rPr>
          <w:rFonts w:ascii="Times New Roman" w:hAnsi="Times New Roman" w:cs="Times New Roman"/>
          <w:sz w:val="20"/>
          <w:szCs w:val="20"/>
        </w:rPr>
        <w:t xml:space="preserve">и опла</w:t>
      </w:r>
      <w:r>
        <w:rPr>
          <w:rFonts w:ascii="Times New Roman" w:hAnsi="Times New Roman" w:cs="Times New Roman"/>
          <w:sz w:val="20"/>
          <w:szCs w:val="20"/>
        </w:rPr>
        <w:t xml:space="preserve">тить </w:t>
      </w:r>
      <w:r>
        <w:rPr>
          <w:rFonts w:ascii="Times New Roman" w:hAnsi="Times New Roman" w:cs="Times New Roman"/>
          <w:sz w:val="20"/>
          <w:szCs w:val="20"/>
        </w:rPr>
        <w:t xml:space="preserve">Товар в порядке, в размере и на условиях, установленных настоящим Контрактом.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Наименование (ассортимент) и количество Товара указ</w:t>
      </w:r>
      <w:r>
        <w:rPr>
          <w:rFonts w:ascii="Times New Roman" w:hAnsi="Times New Roman" w:cs="Times New Roman"/>
          <w:sz w:val="20"/>
          <w:szCs w:val="20"/>
        </w:rPr>
        <w:t xml:space="preserve">ан </w:t>
      </w:r>
      <w:r>
        <w:rPr>
          <w:rFonts w:ascii="Times New Roman" w:hAnsi="Times New Roman" w:cs="Times New Roman"/>
          <w:sz w:val="20"/>
          <w:szCs w:val="20"/>
        </w:rPr>
        <w:t xml:space="preserve">в Спецификации (Приложение № 1 к настоящему Контракту), являющейся неотъемлемой частью Контракта.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Поставка и приемка Товара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Поставщик осуществляет поставку Товара </w:t>
      </w:r>
      <w:r>
        <w:rPr>
          <w:rFonts w:ascii="Times New Roman" w:hAnsi="Times New Roman" w:cs="Times New Roman"/>
          <w:sz w:val="20"/>
          <w:szCs w:val="20"/>
        </w:rPr>
        <w:t xml:space="preserve">с момента заключения контракта по </w:t>
      </w:r>
      <w:r>
        <w:rPr>
          <w:rFonts w:ascii="Times New Roman" w:hAnsi="Times New Roman" w:cs="Times New Roman"/>
          <w:sz w:val="20"/>
          <w:szCs w:val="20"/>
        </w:rPr>
        <w:t xml:space="preserve">20 июля 2026.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Доставка Товара </w:t>
      </w:r>
      <w:r>
        <w:rPr>
          <w:rFonts w:ascii="Times New Roman" w:hAnsi="Times New Roman" w:cs="Times New Roman"/>
          <w:sz w:val="20"/>
          <w:szCs w:val="20"/>
        </w:rPr>
        <w:t xml:space="preserve">Поставщиком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Заказчику </w:t>
      </w:r>
      <w:r>
        <w:rPr>
          <w:rFonts w:ascii="Times New Roman" w:hAnsi="Times New Roman" w:cs="Times New Roman"/>
          <w:sz w:val="20"/>
          <w:szCs w:val="20"/>
        </w:rPr>
        <w:t xml:space="preserve">производиться по 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дресу поставки: Амурская область,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г.Благовещенск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ул.Забурхановская,100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  <w:u w:val="single"/>
        </w:rPr>
        <w:t xml:space="preserve">Контрактное лицо по приемке Товара – Письменчук Евгений Андреевич - 8 4162 441239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0"/>
        </w:numPr>
        <w:jc w:val="both"/>
        <w:rPr>
          <w:rFonts w:ascii="Times New Roman" w:hAnsi="Times New Roman" w:cs="Times New Roman"/>
          <w:bCs/>
          <w:sz w:val="20"/>
          <w:szCs w:val="20"/>
        </w:rPr>
        <w:outlineLvl w:val="1"/>
      </w:pPr>
      <w:r>
        <w:rPr>
          <w:rFonts w:ascii="Times New Roman" w:hAnsi="Times New Roman" w:cs="Times New Roman"/>
          <w:sz w:val="20"/>
          <w:szCs w:val="20"/>
        </w:rPr>
        <w:t xml:space="preserve">2.3. Поставка товара осуществляется за счет </w:t>
      </w:r>
      <w:r>
        <w:rPr>
          <w:rFonts w:ascii="Times New Roman" w:hAnsi="Times New Roman" w:cs="Times New Roman"/>
          <w:sz w:val="20"/>
          <w:szCs w:val="20"/>
        </w:rPr>
        <w:t xml:space="preserve">сил и средств </w:t>
      </w:r>
      <w:r>
        <w:rPr>
          <w:rFonts w:ascii="Times New Roman" w:hAnsi="Times New Roman" w:cs="Times New Roman"/>
          <w:sz w:val="20"/>
          <w:szCs w:val="20"/>
        </w:rPr>
        <w:t xml:space="preserve">Поставщика. </w:t>
      </w:r>
      <w:r>
        <w:rPr>
          <w:rFonts w:ascii="Times New Roman" w:hAnsi="Times New Roman" w:cs="Times New Roman"/>
          <w:bCs/>
          <w:sz w:val="20"/>
          <w:szCs w:val="20"/>
        </w:rPr>
        <w:t xml:space="preserve">Товар поставляется одной партией, частичная поставка Товара не допускается.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4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Приемка товара по</w:t>
      </w:r>
      <w:r>
        <w:rPr>
          <w:rFonts w:ascii="Times New Roman" w:hAnsi="Times New Roman" w:cs="Times New Roman"/>
          <w:bCs/>
          <w:sz w:val="20"/>
          <w:szCs w:val="20"/>
        </w:rPr>
        <w:t xml:space="preserve"> количеству и качеству</w:t>
      </w:r>
      <w:r>
        <w:rPr>
          <w:rFonts w:ascii="Times New Roman" w:hAnsi="Times New Roman" w:cs="Times New Roman"/>
          <w:sz w:val="20"/>
          <w:szCs w:val="20"/>
        </w:rPr>
        <w:t xml:space="preserve"> осуществляется Заказчиком в течении 3 рабочих дней в соответствии с товарной</w:t>
      </w:r>
      <w:r>
        <w:rPr>
          <w:rFonts w:ascii="Times New Roman" w:hAnsi="Times New Roman" w:cs="Times New Roman"/>
          <w:bCs/>
          <w:sz w:val="20"/>
          <w:szCs w:val="20"/>
        </w:rPr>
        <w:t xml:space="preserve"> накладной и другими сопроводительными</w:t>
      </w:r>
      <w:r>
        <w:rPr>
          <w:rFonts w:ascii="Times New Roman" w:hAnsi="Times New Roman" w:cs="Times New Roman"/>
          <w:sz w:val="20"/>
          <w:szCs w:val="20"/>
        </w:rPr>
        <w:t xml:space="preserve"> документами.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В случае</w:t>
      </w:r>
      <w:r>
        <w:rPr>
          <w:rFonts w:ascii="Times New Roman" w:hAnsi="Times New Roman" w:cs="Times New Roman"/>
          <w:sz w:val="20"/>
          <w:szCs w:val="20"/>
        </w:rPr>
        <w:t xml:space="preserve"> отсутствия</w:t>
      </w:r>
      <w:r>
        <w:rPr>
          <w:rFonts w:ascii="Times New Roman" w:hAnsi="Times New Roman" w:cs="Times New Roman"/>
          <w:bCs/>
          <w:sz w:val="20"/>
          <w:szCs w:val="20"/>
        </w:rPr>
        <w:t xml:space="preserve"> претензий Заказчика</w:t>
      </w:r>
      <w:r>
        <w:rPr>
          <w:rFonts w:ascii="Times New Roman" w:hAnsi="Times New Roman" w:cs="Times New Roman"/>
          <w:sz w:val="20"/>
          <w:szCs w:val="20"/>
        </w:rPr>
        <w:t xml:space="preserve"> приёмка Товара фиксируется двухсторонним подписанием товарных накладных, и Товар считается принятым Заказчиком по</w:t>
      </w:r>
      <w:r>
        <w:rPr>
          <w:rFonts w:ascii="Times New Roman" w:hAnsi="Times New Roman" w:cs="Times New Roman"/>
          <w:bCs/>
          <w:sz w:val="20"/>
          <w:szCs w:val="20"/>
        </w:rPr>
        <w:t xml:space="preserve"> качеству и</w:t>
      </w:r>
      <w:r>
        <w:rPr>
          <w:rFonts w:ascii="Times New Roman" w:hAnsi="Times New Roman" w:cs="Times New Roman"/>
          <w:sz w:val="20"/>
          <w:szCs w:val="20"/>
        </w:rPr>
        <w:t xml:space="preserve"> количеству в полном объеме.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. В случаях выявления Заказчиком скрытых недостатков Товара составляется Акт об обнаружении скрытых недостатков Товара, который содержит следующую</w:t>
      </w:r>
      <w:r>
        <w:rPr>
          <w:rFonts w:ascii="Times New Roman" w:hAnsi="Times New Roman" w:cs="Times New Roman"/>
          <w:bCs/>
          <w:sz w:val="20"/>
          <w:szCs w:val="20"/>
        </w:rPr>
        <w:t xml:space="preserve"> информацию: дату поставки и данные</w:t>
      </w:r>
      <w:r>
        <w:rPr>
          <w:rFonts w:ascii="Times New Roman" w:hAnsi="Times New Roman" w:cs="Times New Roman"/>
          <w:sz w:val="20"/>
          <w:szCs w:val="20"/>
        </w:rPr>
        <w:t xml:space="preserve"> о документе поставки,</w:t>
      </w:r>
      <w:r>
        <w:rPr>
          <w:rFonts w:ascii="Times New Roman" w:hAnsi="Times New Roman" w:cs="Times New Roman"/>
          <w:bCs/>
          <w:sz w:val="20"/>
          <w:szCs w:val="20"/>
        </w:rPr>
        <w:t xml:space="preserve"> 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и количество Товара, данные</w:t>
      </w:r>
      <w:r>
        <w:rPr>
          <w:rFonts w:ascii="Times New Roman" w:hAnsi="Times New Roman" w:cs="Times New Roman"/>
          <w:bCs/>
          <w:sz w:val="20"/>
          <w:szCs w:val="20"/>
        </w:rPr>
        <w:t xml:space="preserve"> наружной</w:t>
      </w:r>
      <w:r>
        <w:rPr>
          <w:rFonts w:ascii="Times New Roman" w:hAnsi="Times New Roman" w:cs="Times New Roman"/>
          <w:sz w:val="20"/>
          <w:szCs w:val="20"/>
        </w:rPr>
        <w:t xml:space="preserve"> маркировки производителя</w:t>
      </w:r>
      <w:r>
        <w:rPr>
          <w:rFonts w:ascii="Times New Roman" w:hAnsi="Times New Roman" w:cs="Times New Roman"/>
          <w:bCs/>
          <w:sz w:val="20"/>
          <w:szCs w:val="20"/>
        </w:rPr>
        <w:t xml:space="preserve"> (дата</w:t>
      </w:r>
      <w:r>
        <w:rPr>
          <w:rFonts w:ascii="Times New Roman" w:hAnsi="Times New Roman" w:cs="Times New Roman"/>
          <w:sz w:val="20"/>
          <w:szCs w:val="20"/>
        </w:rPr>
        <w:t xml:space="preserve"> производства, номер партии, упаковщик), описание скрытого недостатка, список лиц, составивших Акт, с</w:t>
      </w:r>
      <w:r>
        <w:rPr>
          <w:rFonts w:ascii="Times New Roman" w:hAnsi="Times New Roman" w:cs="Times New Roman"/>
          <w:bCs/>
          <w:sz w:val="20"/>
          <w:szCs w:val="20"/>
        </w:rPr>
        <w:t xml:space="preserve"> указанием их</w:t>
      </w:r>
      <w:r>
        <w:rPr>
          <w:rFonts w:ascii="Times New Roman" w:hAnsi="Times New Roman" w:cs="Times New Roman"/>
          <w:sz w:val="20"/>
          <w:szCs w:val="20"/>
        </w:rPr>
        <w:t xml:space="preserve"> должностей и фамилий.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 При получении вышеуказанного</w:t>
      </w:r>
      <w:r>
        <w:rPr>
          <w:rFonts w:ascii="Times New Roman" w:hAnsi="Times New Roman" w:cs="Times New Roman"/>
          <w:bCs/>
          <w:sz w:val="20"/>
          <w:szCs w:val="20"/>
        </w:rPr>
        <w:t xml:space="preserve"> Акта Поставщик</w:t>
      </w:r>
      <w:r>
        <w:rPr>
          <w:rFonts w:ascii="Times New Roman" w:hAnsi="Times New Roman" w:cs="Times New Roman"/>
          <w:sz w:val="20"/>
          <w:szCs w:val="20"/>
        </w:rPr>
        <w:t xml:space="preserve"> составляет свое заключение, которое доводится до сведения</w:t>
      </w:r>
      <w:r>
        <w:rPr>
          <w:rFonts w:ascii="Times New Roman" w:hAnsi="Times New Roman" w:cs="Times New Roman"/>
          <w:bCs/>
          <w:sz w:val="20"/>
          <w:szCs w:val="20"/>
        </w:rPr>
        <w:t xml:space="preserve"> Заказчика.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. Срок для предъявления претензий по скрытым недостаткам составляет </w:t>
      </w: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пять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рабочих</w:t>
      </w:r>
      <w:r>
        <w:rPr>
          <w:rFonts w:ascii="Times New Roman" w:hAnsi="Times New Roman" w:cs="Times New Roman"/>
          <w:sz w:val="20"/>
          <w:szCs w:val="20"/>
        </w:rPr>
        <w:t xml:space="preserve"> дней с момента передачи Товара Заказчику.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2.</w:t>
      </w:r>
      <w:r>
        <w:rPr>
          <w:rFonts w:ascii="Times New Roman" w:hAnsi="Times New Roman" w:cs="Times New Roman"/>
          <w:bCs/>
          <w:sz w:val="20"/>
          <w:szCs w:val="20"/>
        </w:rPr>
        <w:t xml:space="preserve">8</w:t>
      </w:r>
      <w:r>
        <w:rPr>
          <w:rFonts w:ascii="Times New Roman" w:hAnsi="Times New Roman" w:cs="Times New Roman"/>
          <w:bCs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Риск случайной гибели или случайного повреждения Товара переходит от Поставщика к Заказчику в момент его передачи и подписания товарной накладной.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4"/>
        <w:ind w:left="0"/>
        <w:widowControl w:val="off"/>
        <w:tabs>
          <w:tab w:val="left" w:pos="284" w:leader="none"/>
          <w:tab w:val="left" w:pos="42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Факт поставки Товара подтверждается подписанным универсально передаточным документом либо товарной накладной.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Обязанности Сторон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Заказчик обязан: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3.1.1. Оплатить Товар в соответствии с условиями настоящего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3.1.2. Передать Поставщику надлежащим образом оформленную доверенность на получение Товара.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3.1.3. Принять поставляемый Товар в соответствии с пунктом 2 настоящего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Поставщик обязан: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3.2.1. Поставить Товар в соответствии с пунктом 2 настоящег</w:t>
      </w:r>
      <w:r>
        <w:rPr>
          <w:rFonts w:ascii="Times New Roman" w:hAnsi="Times New Roman" w:cs="Times New Roman"/>
          <w:sz w:val="20"/>
          <w:szCs w:val="20"/>
        </w:rPr>
        <w:t xml:space="preserve">о </w:t>
      </w:r>
      <w:r>
        <w:rPr>
          <w:rFonts w:ascii="Times New Roman" w:hAnsi="Times New Roman" w:cs="Times New Roman"/>
          <w:sz w:val="20"/>
          <w:szCs w:val="20"/>
        </w:rPr>
        <w:t xml:space="preserve">Контракта, соответствующий условиям настоящего Контракта по ассортименту, количеству и качеству, в согласованный период или дату поставки. Поставщик считается выполнившим свое обязательство по поставке Товара с момента передачи его в распоряжение Заказчика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3.2.2. Нести расходы, связанные с по</w:t>
      </w:r>
      <w:r>
        <w:rPr>
          <w:rFonts w:ascii="Times New Roman" w:hAnsi="Times New Roman" w:cs="Times New Roman"/>
          <w:sz w:val="20"/>
          <w:szCs w:val="20"/>
        </w:rPr>
        <w:t xml:space="preserve">ставкой </w:t>
      </w:r>
      <w:r>
        <w:rPr>
          <w:rFonts w:ascii="Times New Roman" w:hAnsi="Times New Roman" w:cs="Times New Roman"/>
          <w:sz w:val="20"/>
          <w:szCs w:val="20"/>
        </w:rPr>
        <w:t xml:space="preserve">Товара (упаковка, маркировка</w:t>
      </w:r>
      <w:r>
        <w:rPr>
          <w:rFonts w:ascii="Times New Roman" w:hAnsi="Times New Roman" w:cs="Times New Roman"/>
          <w:sz w:val="20"/>
          <w:szCs w:val="20"/>
        </w:rPr>
        <w:t xml:space="preserve"> и иные расходы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 до места нахождения Заказчика: Амурская область, г. Благовещенск, ул.Забурхановская,100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Цена и порядок расчетов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Поставщик в день поставки Товара выставляет Заказчику счёт</w:t>
      </w:r>
      <w:r>
        <w:rPr>
          <w:rFonts w:ascii="Times New Roman" w:hAnsi="Times New Roman" w:cs="Times New Roman"/>
          <w:sz w:val="20"/>
          <w:szCs w:val="20"/>
        </w:rPr>
        <w:t xml:space="preserve">, товарную накладную ил</w:t>
      </w:r>
      <w:r>
        <w:rPr>
          <w:rFonts w:ascii="Times New Roman" w:hAnsi="Times New Roman" w:cs="Times New Roman"/>
          <w:sz w:val="20"/>
          <w:szCs w:val="20"/>
        </w:rPr>
        <w:t xml:space="preserve">и УПД (универсальный передаточный документ), в которых указаны: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цена Товара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количество Товара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ассортимент Товара</w:t>
      </w:r>
      <w:r>
        <w:rPr>
          <w:rFonts w:ascii="Times New Roman" w:hAnsi="Times New Roman" w:cs="Times New Roman"/>
          <w:sz w:val="20"/>
          <w:szCs w:val="20"/>
        </w:rPr>
        <w:t xml:space="preserve">, страна Производитель Товара, </w:t>
      </w:r>
      <w:r>
        <w:rPr>
          <w:rFonts w:ascii="Times New Roman" w:hAnsi="Times New Roman" w:cs="Times New Roman"/>
          <w:sz w:val="20"/>
          <w:szCs w:val="20"/>
        </w:rPr>
        <w:t xml:space="preserve">реквизиты Поставщика.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4.2. </w:t>
      </w:r>
      <w:r>
        <w:rPr>
          <w:rFonts w:ascii="Times New Roman" w:hAnsi="Times New Roman" w:cs="Times New Roman"/>
          <w:sz w:val="20"/>
          <w:szCs w:val="20"/>
        </w:rPr>
        <w:t xml:space="preserve">Цена Контракта составляет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35249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р</w:t>
      </w:r>
      <w:r>
        <w:rPr>
          <w:rFonts w:ascii="Times New Roman" w:hAnsi="Times New Roman" w:cs="Times New Roman"/>
          <w:b/>
          <w:sz w:val="20"/>
          <w:szCs w:val="20"/>
        </w:rPr>
        <w:t xml:space="preserve">ублей 30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копеек, в том числе НДС -5%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Все расчеты по настоящему Контракту производятся в рублях.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tabs>
          <w:tab w:val="left" w:pos="3544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</w:t>
      </w:r>
      <w:r>
        <w:rPr>
          <w:rFonts w:ascii="Times New Roman" w:hAnsi="Times New Roman" w:cs="Times New Roman"/>
          <w:bCs/>
          <w:sz w:val="20"/>
          <w:szCs w:val="20"/>
        </w:rPr>
        <w:t xml:space="preserve">Ц</w:t>
      </w:r>
      <w:r>
        <w:rPr>
          <w:rFonts w:ascii="Times New Roman" w:hAnsi="Times New Roman" w:cs="Times New Roman"/>
          <w:sz w:val="20"/>
          <w:szCs w:val="20"/>
        </w:rPr>
        <w:t xml:space="preserve">ена контракта включает в себя все возможные расходы, связанные с исполнением контракта, в том числе: расходы на уплату налогов, сборов, пошлин и других обязательных платежей, доставку Товара до места нахождения Заказчика.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tabs>
          <w:tab w:val="left" w:pos="3544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Цена контракта является твердой и определяется на весь срок исполнения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0"/>
        </w:numPr>
        <w:jc w:val="both"/>
        <w:rPr>
          <w:rFonts w:ascii="Times New Roman" w:hAnsi="Times New Roman" w:cs="Times New Roman"/>
          <w:sz w:val="20"/>
          <w:szCs w:val="20"/>
        </w:rPr>
        <w:outlineLvl w:val="1"/>
      </w:pPr>
      <w:r>
        <w:rPr>
          <w:rFonts w:ascii="Times New Roman" w:hAnsi="Times New Roman" w:cs="Times New Roman"/>
          <w:sz w:val="20"/>
          <w:szCs w:val="20"/>
        </w:rPr>
        <w:t xml:space="preserve">4.5. Оплата за поставленный Товар осуществляется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 основании счета, 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по факту поставки </w:t>
      </w:r>
      <w:r>
        <w:rPr>
          <w:rFonts w:ascii="Times New Roman" w:hAnsi="Times New Roman" w:cs="Times New Roman"/>
          <w:sz w:val="20"/>
          <w:szCs w:val="20"/>
        </w:rPr>
        <w:t xml:space="preserve">в течение </w:t>
      </w:r>
      <w:r>
        <w:rPr>
          <w:rFonts w:ascii="Times New Roman" w:hAnsi="Times New Roman" w:cs="Times New Roman"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 рабочих дней после подписания сторонами универсального передаточного документа либо товарной накладной путем перечисления Заказчиком безналичных денежных средств на расчетный счет Исполнителя. Выплата аванса не предусмотрена.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0"/>
        </w:numPr>
        <w:jc w:val="both"/>
        <w:rPr>
          <w:rFonts w:ascii="Times New Roman" w:hAnsi="Times New Roman" w:cs="Times New Roman"/>
          <w:sz w:val="20"/>
          <w:szCs w:val="20"/>
        </w:rPr>
        <w:outlineLvl w:val="1"/>
      </w:pPr>
      <w:r>
        <w:rPr>
          <w:rFonts w:ascii="Times New Roman" w:hAnsi="Times New Roman" w:cs="Times New Roman"/>
          <w:sz w:val="20"/>
          <w:szCs w:val="20"/>
        </w:rPr>
        <w:t xml:space="preserve">4.6. Источник финансирования – средства федерального бюджета.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0"/>
        </w:numPr>
        <w:jc w:val="both"/>
        <w:rPr>
          <w:rFonts w:ascii="Times New Roman" w:hAnsi="Times New Roman" w:cs="Times New Roman"/>
          <w:sz w:val="20"/>
          <w:szCs w:val="20"/>
        </w:rPr>
        <w:outlineLvl w:val="1"/>
      </w:pPr>
      <w:r>
        <w:rPr>
          <w:rFonts w:ascii="Times New Roman" w:hAnsi="Times New Roman" w:cs="Times New Roman"/>
          <w:sz w:val="20"/>
          <w:szCs w:val="20"/>
        </w:rPr>
        <w:t xml:space="preserve">4.7. Срок исполнения контракта –</w:t>
      </w:r>
      <w:r>
        <w:rPr>
          <w:rFonts w:ascii="Times New Roman" w:hAnsi="Times New Roman" w:cs="Times New Roman"/>
          <w:sz w:val="20"/>
          <w:szCs w:val="20"/>
        </w:rPr>
        <w:t xml:space="preserve"> 03.08.2026 года.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0"/>
        </w:numPr>
        <w:jc w:val="both"/>
        <w:rPr>
          <w:rFonts w:ascii="Times New Roman" w:hAnsi="Times New Roman" w:cs="Times New Roman"/>
          <w:sz w:val="20"/>
          <w:szCs w:val="20"/>
        </w:rPr>
        <w:outlineLvl w:val="1"/>
      </w:pPr>
      <w:r>
        <w:rPr>
          <w:rFonts w:ascii="Times New Roman" w:hAnsi="Times New Roman" w:cs="Times New Roman"/>
          <w:sz w:val="20"/>
          <w:szCs w:val="20"/>
        </w:rPr>
        <w:t xml:space="preserve">4.8. КБК 321 0412 54401 90020 242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 Ответственность сторон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.2. Размер штрафа устанавливается Контракта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hyperlink r:id="rId10" w:tooltip="consultantplus://offline/ref=435B546B1AEA54114115AAD9F1C9EA34B37AE137544BD9C6A6AD38F1D1822BE96058F92FDE78AAB3J7C3O" w:history="1">
        <w:r>
          <w:rPr>
            <w:rFonts w:ascii="Times New Roman" w:hAnsi="Times New Roman" w:cs="Times New Roman"/>
            <w:sz w:val="20"/>
            <w:szCs w:val="20"/>
          </w:rPr>
          <w:t xml:space="preserve">порядке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установленном Правительством Российской Федерации,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 виде фиксированной суммы, в том числе рассчитываемой как процент цены Контракта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или в случае, если Контрактом предусмотрены этапы исполнения Контракта, как процент этапа исполнения Контракта (далее - цена Контракта (этапа),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.3. За каждый факт неисполнения или ненадлежащего исполнения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Поставщиком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а) 10 процентов цены Контракта в случае, если цена Контракта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е превышает 3 млн. руб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;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jc w:val="both"/>
        <w:tabs>
          <w:tab w:val="left" w:pos="0" w:leader="non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.5. 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sz w:val="20"/>
          <w:szCs w:val="20"/>
        </w:rPr>
        <w:t xml:space="preserve">Поставщиком</w:t>
      </w:r>
      <w:r>
        <w:rPr>
          <w:rFonts w:ascii="Times New Roman" w:hAnsi="Times New Roman" w:cs="Times New Roman"/>
          <w:sz w:val="20"/>
          <w:szCs w:val="20"/>
        </w:rPr>
        <w:t xml:space="preserve">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.6.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5</w:t>
      </w:r>
      <w:r>
        <w:rPr>
          <w:rFonts w:ascii="Times New Roman" w:hAnsi="Times New Roman" w:cs="Times New Roman"/>
          <w:sz w:val="20"/>
          <w:szCs w:val="20"/>
        </w:rPr>
        <w:t xml:space="preserve">.7. В случае если законодательством Российской Федерации установлен иной порядок начисления штрафа, чем порядок, предусмотренный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Постановлением Правительства РФ № 1042 от 30.08.2017 года,</w:t>
      </w:r>
      <w:r>
        <w:rPr>
          <w:rFonts w:ascii="Times New Roman" w:hAnsi="Times New Roman" w:cs="Times New Roman"/>
          <w:sz w:val="20"/>
          <w:szCs w:val="20"/>
        </w:rPr>
        <w:t xml:space="preserve"> размер такого штрафа и порядок его начисления устанавливается Контрактом в соответствии с законодательством Российской Федерации.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.8. Пеня начисляется за каждый день просрочки исполнения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Поставщиком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ся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договором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Поставщиком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.9. В случае просрочки исполнения Заказчиком обязательств, предусмотренных Контрактом,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Поставщик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вправе потребовать уплаты пеней. Пеня начисляется за каждый день просрочки исполнения обязательства, предусмотренного Контрактом, начиная со дня, след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.10. В случае неисполнения или ненадлежащего исполнения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Поставщиком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обязательства (в том числе просрочки исполнения обязательства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Поставщиком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предусмотренного настоящим Контрактом, Заказчик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в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праве произвести оплату по Контракту за вычетом соответствующего размера неустойки (штрафа, пени). Также Заказчик вправе выставить требование об уплате неустоек (штрафов, пеней), которое подлежит исполнению в течение 3 (трёх) рабочих дней с даты получения.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.12.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Контракта,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 Форс-мажор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892"/>
          <w:sz w:val="20"/>
          <w:szCs w:val="20"/>
        </w:rPr>
        <w:t xml:space="preserve">6.1. Стороны не несут ответственности за задержки в исполнении или неисполнение</w:t>
      </w:r>
      <w:r>
        <w:rPr>
          <w:rFonts w:ascii="Times New Roman" w:hAnsi="Times New Roman" w:cs="Times New Roman"/>
          <w:sz w:val="20"/>
          <w:szCs w:val="20"/>
        </w:rPr>
        <w:t xml:space="preserve"> обязательств по настоящему Контракту, если задержки или неисполнение </w:t>
      </w:r>
      <w:r>
        <w:rPr>
          <w:rFonts w:ascii="Times New Roman" w:hAnsi="Times New Roman" w:cs="Times New Roman"/>
          <w:sz w:val="20"/>
          <w:szCs w:val="20"/>
        </w:rPr>
        <w:t xml:space="preserve">произошли вследствие обстоятельств непреодолимой силы. В число таких обстоятельств входят: войны, военные действия, мятежи, саботаж, забастовки, пожары, взрывы, наводнения или иные стихийные бедствия, нормативно-правовые акт государственных органов власти.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Немедленно после получения информации о наступлении любых обстоятельств, задерживающих исполнение или иным образом препятствующих исполнению настоящего Контракта, Стороны письменно уведомляют об этом друг друга.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6.3.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 Если обстоятельство непреодолимой силы вызывает существенное нарушение или неисполнение обязательст</w:t>
      </w:r>
      <w:r>
        <w:rPr>
          <w:rFonts w:ascii="Times New Roman" w:hAnsi="Times New Roman" w:cs="Times New Roman"/>
          <w:sz w:val="20"/>
          <w:szCs w:val="20"/>
        </w:rPr>
        <w:t xml:space="preserve">в п</w:t>
      </w:r>
      <w:r>
        <w:rPr>
          <w:rFonts w:ascii="Times New Roman" w:hAnsi="Times New Roman" w:cs="Times New Roman"/>
          <w:sz w:val="20"/>
          <w:szCs w:val="20"/>
        </w:rPr>
        <w:t xml:space="preserve">о настоящему Контракту, длящееся более 30 (тридцати) календарных дней, каждая Сторона имеет право прекратить действие настоящего Контракта после подачи другой Стороне предварительного письменного уведомления о своем намерении прекратить действие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7. Порядок рассмотрения споров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случае возникновения между Заказчиком и Поставщиком любых споров или разногласий, связанных с настоящим Контрактом или выполнением либо невыполнением любой Стороной обязательств по Контракту, Стороны приложат все усилия для их разрешения путем переговоров.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7.2. Если споры не могут быть разрешены путем переговоров, то спорные вопросы передаются на рассмотрение в Арбитражный суд </w:t>
      </w:r>
      <w:r>
        <w:rPr>
          <w:rFonts w:ascii="Times New Roman" w:hAnsi="Times New Roman" w:cs="Times New Roman"/>
          <w:sz w:val="20"/>
          <w:szCs w:val="20"/>
        </w:rPr>
        <w:t xml:space="preserve">Амурской области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 Прочие условия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8.1. Настоящий Контракт вступает в силу со дня его подписания сторонами и действует по </w:t>
      </w: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0.08.2026 года</w:t>
      </w:r>
      <w:r>
        <w:rPr>
          <w:rFonts w:ascii="Times New Roman" w:hAnsi="Times New Roman" w:cs="Times New Roman"/>
          <w:sz w:val="20"/>
          <w:szCs w:val="20"/>
        </w:rPr>
        <w:t xml:space="preserve"> включительно.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</w:t>
      </w:r>
      <w:r>
        <w:rPr>
          <w:rFonts w:ascii="Times New Roman" w:hAnsi="Times New Roman" w:cs="Times New Roman"/>
          <w:sz w:val="20"/>
          <w:szCs w:val="20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. Настоящий Контракт подписан в 2 (двух) экземплярах: один - для Поставщика, другой - для Заказчика, имеющих одинаковую юридическую силу.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</w:t>
      </w: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. Ни одна из Сторон не будет передавать свои права и обязанности по настоящему Контракту без предварительного письменного согласия другой Стороны.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</w:t>
      </w:r>
      <w:r>
        <w:rPr>
          <w:rFonts w:ascii="Times New Roman" w:hAnsi="Times New Roman" w:cs="Times New Roman"/>
          <w:sz w:val="20"/>
          <w:szCs w:val="20"/>
        </w:rPr>
        <w:t xml:space="preserve">4</w:t>
      </w:r>
      <w:r>
        <w:rPr>
          <w:rFonts w:ascii="Times New Roman" w:hAnsi="Times New Roman" w:cs="Times New Roman"/>
          <w:sz w:val="20"/>
          <w:szCs w:val="20"/>
        </w:rPr>
        <w:t xml:space="preserve">. Настоящий Контракт, включая все Приложения и дополнения к нему, составляет один единый Контракт между Поставщиком и Заказчиком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ref_613325"/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9. </w:t>
      </w:r>
      <w:r>
        <w:rPr>
          <w:rFonts w:ascii="Times New Roman" w:hAnsi="Times New Roman" w:cs="Times New Roman"/>
          <w:b/>
          <w:sz w:val="20"/>
          <w:szCs w:val="20"/>
        </w:rPr>
        <w:t xml:space="preserve">Гарантийные обязательства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</w:t>
      </w:r>
      <w:r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 xml:space="preserve">Поставщик</w:t>
      </w:r>
      <w:r>
        <w:rPr>
          <w:rFonts w:ascii="Times New Roman" w:hAnsi="Times New Roman" w:cs="Times New Roman"/>
          <w:sz w:val="20"/>
          <w:szCs w:val="20"/>
        </w:rPr>
        <w:t xml:space="preserve"> гарантирует качество проданных товаров в течение гарантийного срока, указанного в гарантийном талоне. Если у товара в течение гарантийного периода выявляются дефекты или несоответствия Положениям и условиям настоящего Контракта, </w:t>
      </w:r>
      <w:r>
        <w:rPr>
          <w:rFonts w:ascii="Times New Roman" w:hAnsi="Times New Roman" w:cs="Times New Roman"/>
          <w:sz w:val="20"/>
          <w:szCs w:val="20"/>
        </w:rPr>
        <w:t xml:space="preserve">Поставщик</w:t>
      </w:r>
      <w:r>
        <w:rPr>
          <w:rFonts w:ascii="Times New Roman" w:hAnsi="Times New Roman" w:cs="Times New Roman"/>
          <w:sz w:val="20"/>
          <w:szCs w:val="20"/>
        </w:rPr>
        <w:t xml:space="preserve"> обязан устранить дефекты или заменить неисправные элементы.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</w:t>
      </w:r>
      <w:r>
        <w:rPr>
          <w:rFonts w:ascii="Times New Roman" w:hAnsi="Times New Roman" w:cs="Times New Roman"/>
          <w:sz w:val="20"/>
          <w:szCs w:val="20"/>
        </w:rPr>
        <w:t xml:space="preserve">2. Гарантийное обслуживание производится в порядке и на условиях, установленных </w:t>
      </w:r>
      <w:r>
        <w:rPr>
          <w:rFonts w:ascii="Times New Roman" w:hAnsi="Times New Roman" w:cs="Times New Roman"/>
          <w:sz w:val="20"/>
          <w:szCs w:val="20"/>
        </w:rPr>
        <w:t xml:space="preserve">Поставщиком</w:t>
      </w:r>
      <w:r>
        <w:rPr>
          <w:rFonts w:ascii="Times New Roman" w:hAnsi="Times New Roman" w:cs="Times New Roman"/>
          <w:sz w:val="20"/>
          <w:szCs w:val="20"/>
        </w:rPr>
        <w:t xml:space="preserve"> в Правилах гарантийного обслуживания и условиях предоставления гарантии, если иные правила не установлены авторизованным сервисным центром производителя товара.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</w:t>
      </w: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sz w:val="20"/>
          <w:szCs w:val="20"/>
        </w:rPr>
        <w:t xml:space="preserve">Гарантийный срок на Товар составляет </w:t>
      </w:r>
      <w:r>
        <w:rPr>
          <w:rFonts w:ascii="Times New Roman" w:hAnsi="Times New Roman" w:cs="Times New Roman"/>
          <w:sz w:val="20"/>
          <w:szCs w:val="20"/>
        </w:rPr>
        <w:t xml:space="preserve">12 </w:t>
      </w:r>
      <w:r>
        <w:rPr>
          <w:rFonts w:ascii="Times New Roman" w:hAnsi="Times New Roman" w:cs="Times New Roman"/>
          <w:sz w:val="20"/>
          <w:szCs w:val="20"/>
        </w:rPr>
        <w:t xml:space="preserve">месяцев </w:t>
      </w:r>
      <w:r>
        <w:rPr>
          <w:rFonts w:ascii="Times New Roman" w:hAnsi="Times New Roman" w:cs="Times New Roman"/>
          <w:sz w:val="20"/>
          <w:szCs w:val="20"/>
        </w:rPr>
        <w:t xml:space="preserve">и исчисляется </w:t>
      </w:r>
      <w:r>
        <w:rPr>
          <w:rFonts w:ascii="Times New Roman" w:hAnsi="Times New Roman" w:cs="Times New Roman"/>
          <w:sz w:val="20"/>
          <w:szCs w:val="20"/>
        </w:rPr>
        <w:t xml:space="preserve">с момента подписания товарной накладной либо УПД.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9.4. Замена бракованного Товара осуществляется за счет Поставщика. Поставщик обязан обеспечить устранение недостатков или замену Товара в течение 3 рабочих дней с момента поступления заявки.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9.5. При причинении вреда имуществу Заказчика вследствие конструктивных, производственных или иных недостатков поставляемого товара, Поставщик возмещает убытки, понесенные Заказчиком.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10. Адреса и реквизиты сторон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W w:w="96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49"/>
        <w:gridCol w:w="4819"/>
      </w:tblGrid>
      <w:tr>
        <w:tblPrEx/>
        <w:trPr/>
        <w:tc>
          <w:tcPr>
            <w:shd w:val="clear" w:color="auto" w:fill="auto"/>
            <w:tcW w:w="48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Поставщик: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МП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81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по Амурской области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pStyle w:val="867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Сокращенное наименование: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86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Управление Росреестра по Амурской области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67500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г. Бла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говещенск, пер. Пограничный,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Тел. (84162) 44-12-09, 44-12-10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ИНН 2801100402/ КПП 280101001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ОГРН 1042800036730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ОКПО 70698568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ОКТМО 10701000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ОКВЭД 84.11.12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ОКОГУ 1328030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ОКОПФ 75104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Банковские реквизиты с 27.10.2025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р/с 03211643000000012007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ОКЦ № 1 ДГУ БАНКА РОССИИ//УФК по Приморскому краю г. Вл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адивосток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БИК 010507002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банковского счета (Единый казначейский счет), вместо к/с)) 40102810545370000012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УФК по Приморскому краю (Управление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Федеральной службы государственной регистрации, кадастра и картографии по Амурской области)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л/сч 03231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W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00570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67"/>
              <w:jc w:val="both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эл.адрес: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0"/>
                <w:szCs w:val="20"/>
              </w:rPr>
            </w:r>
            <w:hyperlink r:id="rId11" w:tooltip="http://samsel_nn@r28.rosreestr.ru" w:history="1">
              <w:r>
                <w:rPr>
                  <w:rStyle w:val="880"/>
                  <w:rFonts w:ascii="Times New Roman" w:hAnsi="Times New Roman" w:eastAsia="Times New Roman" w:cs="Times New Roman"/>
                  <w:b/>
                  <w:sz w:val="20"/>
                  <w:szCs w:val="20"/>
                </w:rPr>
                <w:t xml:space="preserve">samsel_nn@r28.rosreestr.ru</w:t>
              </w:r>
              <w:r>
                <w:rPr>
                  <w:rStyle w:val="880"/>
                  <w:rFonts w:ascii="Times New Roman" w:hAnsi="Times New Roman" w:eastAsia="Times New Roman" w:cs="Times New Roman"/>
                  <w:sz w:val="20"/>
                  <w:szCs w:val="20"/>
                </w:rPr>
              </w:r>
              <w:r>
                <w:rPr>
                  <w:rStyle w:val="880"/>
                  <w:rFonts w:ascii="Times New Roman" w:hAnsi="Times New Roman" w:eastAsia="Times New Roman" w:cs="Times New Roman"/>
                  <w:b/>
                  <w:bCs/>
                  <w:sz w:val="20"/>
                  <w:szCs w:val="20"/>
                  <w:highlight w:val="none"/>
                </w:rPr>
              </w:r>
            </w:hyperlink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</w:r>
            <w:r>
              <w:rPr>
                <w:rFonts w:eastAsia="Calibri"/>
                <w:b/>
                <w:sz w:val="21"/>
                <w:szCs w:val="21"/>
              </w:rPr>
            </w:r>
            <w:r>
              <w:rPr>
                <w:rFonts w:eastAsia="Calibri"/>
                <w:b/>
                <w:sz w:val="21"/>
                <w:szCs w:val="21"/>
              </w:rPr>
            </w:r>
          </w:p>
        </w:tc>
      </w:tr>
    </w:tbl>
    <w:p>
      <w:pPr>
        <w:ind w:left="5102"/>
        <w:keepLines/>
        <w:keepNext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pPr w:horzAnchor="margin" w:tblpXSpec="left" w:vertAnchor="page" w:tblpY="1066" w:leftFromText="180" w:topFromText="0" w:rightFromText="180" w:bottomFromText="0"/>
        <w:tblW w:w="4661" w:type="dxa"/>
        <w:tblLayout w:type="fixed"/>
        <w:tblLook w:val="01E0" w:firstRow="1" w:lastRow="1" w:firstColumn="1" w:lastColumn="1" w:noHBand="0" w:noVBand="0"/>
      </w:tblPr>
      <w:tblGrid>
        <w:gridCol w:w="4661"/>
      </w:tblGrid>
      <w:tr>
        <w:tblPrEx/>
        <w:trPr>
          <w:trHeight w:val="14"/>
        </w:trPr>
        <w:tc>
          <w:tcPr>
            <w:shd w:val="clear" w:color="auto" w:fill="auto"/>
            <w:tcW w:w="4661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"/>
        </w:trPr>
        <w:tc>
          <w:tcPr>
            <w:shd w:val="clear" w:color="auto" w:fill="auto"/>
            <w:tcW w:w="4661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"/>
        </w:trPr>
        <w:tc>
          <w:tcPr>
            <w:shd w:val="clear" w:color="auto" w:fill="auto"/>
            <w:tcW w:w="466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jc w:val="right"/>
        <w:keepLines/>
        <w:keepNext/>
        <w:tabs>
          <w:tab w:val="left" w:pos="142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 № 1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right"/>
        <w:keepLines/>
        <w:keepNext/>
        <w:tabs>
          <w:tab w:val="left" w:pos="142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договору </w:t>
      </w:r>
      <w:r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_</w:t>
      </w:r>
      <w:r>
        <w:rPr>
          <w:rFonts w:ascii="Times New Roman" w:hAnsi="Times New Roman" w:cs="Times New Roman"/>
          <w:sz w:val="20"/>
          <w:szCs w:val="20"/>
        </w:rPr>
        <w:t xml:space="preserve">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2"/>
        <w:ind w:left="5102" w:firstLine="0"/>
        <w:keepLines/>
        <w:keepNext/>
        <w:widowControl/>
        <w:tabs>
          <w:tab w:val="left" w:pos="1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tabs>
          <w:tab w:val="left" w:pos="3345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СПЕЦИФИКАЦИЯ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709"/>
        <w:gridCol w:w="1134"/>
        <w:gridCol w:w="1276"/>
      </w:tblGrid>
      <w:tr>
        <w:tblPrEx/>
        <w:trPr>
          <w:trHeight w:val="227"/>
        </w:trPr>
        <w:tc>
          <w:tcPr>
            <w:tcW w:w="534" w:type="dxa"/>
            <w:textDirection w:val="lrTb"/>
            <w:noWrap w:val="false"/>
          </w:tcPr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89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</w:t>
            </w:r>
            <w:r>
              <w:rPr>
                <w:b/>
                <w:bCs/>
                <w:sz w:val="20"/>
                <w:szCs w:val="20"/>
              </w:rPr>
              <w:t xml:space="preserve"> (требования к товару),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страна происхождения Товара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</w:t>
            </w: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  <w:t xml:space="preserve">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Цена, рублей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9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Сумма, рублей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161"/>
        </w:trPr>
        <w:tc>
          <w:tcPr>
            <w:tcW w:w="534" w:type="dxa"/>
            <w:textDirection w:val="lrTb"/>
            <w:noWrap w:val="false"/>
          </w:tcPr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867"/>
              <w:ind w:right="-426"/>
              <w:spacing w:after="2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pBdr>
                <w:top w:val="single" w:color="000000" w:sz="4" w:space="0"/>
              </w:pBd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Оригинальный блок фотобарабана для МФУ Катюша М240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895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технология печати - лазерная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br/>
              <w:t xml:space="preserve">цвет печати - черный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br/>
              <w:t xml:space="preserve">ресурс : не менее 30 000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отпечатков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Style w:val="895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количество в заводской упаковке - 1 шт.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Style w:val="895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- гарантийный срок эксплуатации: не менее 1 года.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Style w:val="895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Страна происхождения - Россия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 шт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93"/>
        </w:trPr>
        <w:tc>
          <w:tcPr>
            <w:tcW w:w="534" w:type="dxa"/>
            <w:vMerge w:val="restart"/>
            <w:textDirection w:val="lrTb"/>
            <w:noWrap w:val="false"/>
          </w:tcPr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pStyle w:val="867"/>
              <w:ind w:right="-426"/>
              <w:spacing w:after="2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pBdr>
                <w:top w:val="single" w:color="000000" w:sz="4" w:space="0"/>
              </w:pBd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Оригинальный черный тонер-картридж для МФУ Катюша М240 с чипом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895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технология печати - лазерная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br/>
              <w:t xml:space="preserve">цвет печати - черный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br/>
              <w:t xml:space="preserve">ресурс : не менее 6 000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отпечатков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Style w:val="895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количество в заводской упаковке - 1 шт.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Style w:val="895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- гарантийный срок эксплуатации: не менее 1 года.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Style w:val="895"/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Страна происхождения - Россия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89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шт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93"/>
        </w:trPr>
        <w:tc>
          <w:tcPr>
            <w:tcW w:w="534" w:type="dxa"/>
            <w:textDirection w:val="lrTb"/>
            <w:noWrap w:val="false"/>
          </w:tcPr>
          <w:p>
            <w:pPr>
              <w:pStyle w:val="89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89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r>
              <w:t xml:space="preserve">35249,30</w:t>
            </w:r>
            <w:r/>
          </w:p>
        </w:tc>
      </w:tr>
    </w:tbl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60" w:line="240" w:lineRule="auto"/>
        <w:rPr>
          <w:rFonts w:ascii="Times New Roman" w:hAnsi="Times New Roman" w:eastAsia="Andale Sans UI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Andale Sans UI"/>
          <w:b/>
          <w:sz w:val="24"/>
          <w:szCs w:val="24"/>
          <w:lang w:eastAsia="ru-RU"/>
        </w:rPr>
        <w:t xml:space="preserve">      * </w:t>
      </w:r>
      <w:r>
        <w:rPr>
          <w:rFonts w:ascii="Times New Roman" w:hAnsi="Times New Roman" w:eastAsia="Andale Sans UI"/>
          <w:b/>
          <w:sz w:val="24"/>
          <w:szCs w:val="24"/>
          <w:lang w:eastAsia="ru-RU"/>
        </w:rPr>
        <w:t xml:space="preserve">МФУ Катюша М240 приобретена Заказчиком в 2026 году (находиться на гарантийном обслуживании  3 года)</w:t>
      </w:r>
      <w:r>
        <w:rPr>
          <w:rFonts w:ascii="Times New Roman" w:hAnsi="Times New Roman" w:eastAsia="Andale Sans UI"/>
          <w:b/>
          <w:sz w:val="24"/>
          <w:szCs w:val="24"/>
          <w:lang w:eastAsia="ru-RU"/>
        </w:rPr>
      </w:r>
      <w:r>
        <w:rPr>
          <w:rFonts w:ascii="Times New Roman" w:hAnsi="Times New Roman" w:eastAsia="Andale Sans UI"/>
          <w:sz w:val="24"/>
          <w:szCs w:val="24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Andale Sans UI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Andale Sans UI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Andale Sans UI"/>
          <w:b/>
          <w:sz w:val="24"/>
          <w:szCs w:val="24"/>
          <w:highlight w:val="none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Andale Sans UI"/>
          <w:sz w:val="24"/>
          <w:szCs w:val="24"/>
          <w:lang w:eastAsia="ru-RU"/>
        </w:rPr>
      </w:pPr>
      <w:r>
        <w:rPr>
          <w:rFonts w:ascii="Times New Roman" w:hAnsi="Times New Roman" w:eastAsia="Andale Sans UI"/>
          <w:b/>
          <w:sz w:val="24"/>
          <w:szCs w:val="24"/>
          <w:lang w:eastAsia="ru-RU"/>
        </w:rPr>
        <w:t xml:space="preserve">                      </w:t>
      </w:r>
      <w:r>
        <w:rPr>
          <w:rFonts w:ascii="Times New Roman" w:hAnsi="Times New Roman" w:eastAsia="Andale Sans UI"/>
          <w:b/>
          <w:sz w:val="24"/>
          <w:szCs w:val="24"/>
          <w:lang w:eastAsia="ru-RU"/>
        </w:rPr>
        <w:t xml:space="preserve">Требов</w:t>
      </w:r>
      <w:r>
        <w:rPr>
          <w:rFonts w:ascii="Times New Roman" w:hAnsi="Times New Roman" w:eastAsia="Andale Sans UI"/>
          <w:b/>
          <w:sz w:val="24"/>
          <w:szCs w:val="24"/>
          <w:lang w:eastAsia="ru-RU"/>
        </w:rPr>
        <w:t xml:space="preserve">ания к качеству товара:</w:t>
      </w:r>
      <w:r>
        <w:rPr>
          <w:rFonts w:ascii="Times New Roman" w:hAnsi="Times New Roman" w:eastAsia="Andale Sans UI"/>
          <w:sz w:val="24"/>
          <w:szCs w:val="24"/>
          <w:lang w:eastAsia="ru-RU"/>
        </w:rPr>
      </w:r>
      <w:r/>
    </w:p>
    <w:p>
      <w:pPr>
        <w:jc w:val="both"/>
        <w:spacing w:after="6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настоящим контрактом. Поставщик обязуется поставить новый товар, не бывший в употреблении (ранее не находившийся в использовании у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Поставщика или у третьих лиц), не подвергавшийся ремонту (модернизации или восстановлению).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ого вида товара, наличие сертификатов соответствия на товар, если он подлежит сертификации в соответствии с законодательством Российской Федерации. Замена бракованного Товара осуществляется за счет Поставщика. Поставщик обязан обеспечить устранение недоста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тков или замену Товара в течение 3 рабочих дней с момента поступления заявки. При причинении вреда имуществу Заказчика вследствие конструктивных, производственных или иных недостатков поставляемого товара, Поставщик возмещает убытки, понесенные Заказчиком.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Поставщик                                                                                    Заказчик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</w:t>
      </w:r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 xml:space="preserve">С.</w:t>
      </w:r>
      <w:r>
        <w:rPr>
          <w:rFonts w:ascii="Times New Roman" w:hAnsi="Times New Roman" w:cs="Times New Roman"/>
        </w:rPr>
        <w:t xml:space="preserve">В. Москалёва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/>
      <w:bookmarkStart w:id="1" w:name="_GoBack"/>
      <w:r/>
      <w:bookmarkEnd w:id="1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erReference w:type="default" r:id="rId9"/>
      <w:footnotePr/>
      <w:endnotePr/>
      <w:type w:val="nextPage"/>
      <w:pgSz w:w="11906" w:h="16838" w:orient="portrait"/>
      <w:pgMar w:top="567" w:right="851" w:bottom="1134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ndale Sans UI">
    <w:panose1 w:val="02000603000000000000"/>
  </w:font>
  <w:font w:name="Segoe UI">
    <w:panose1 w:val="020B0502040504020204"/>
  </w:font>
  <w:font w:name="Consultant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32457788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-1769616900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874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/>
          </w:p>
        </w:sdtContent>
      </w:sdt>
    </w:sdtContent>
  </w:sdt>
  <w:p>
    <w:pPr>
      <w:pStyle w:val="8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eastAsia="Andale Sans UI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67"/>
    <w:next w:val="86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69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67"/>
    <w:next w:val="86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69"/>
    <w:link w:val="698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869"/>
    <w:link w:val="868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69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69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6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67"/>
    <w:next w:val="867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69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67"/>
    <w:next w:val="867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69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67"/>
    <w:next w:val="867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69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Title"/>
    <w:basedOn w:val="867"/>
    <w:next w:val="867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9"/>
    <w:link w:val="713"/>
    <w:uiPriority w:val="10"/>
    <w:rPr>
      <w:sz w:val="48"/>
      <w:szCs w:val="48"/>
    </w:rPr>
  </w:style>
  <w:style w:type="paragraph" w:styleId="715">
    <w:name w:val="Subtitle"/>
    <w:basedOn w:val="867"/>
    <w:next w:val="867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9"/>
    <w:link w:val="715"/>
    <w:uiPriority w:val="11"/>
    <w:rPr>
      <w:sz w:val="24"/>
      <w:szCs w:val="24"/>
    </w:rPr>
  </w:style>
  <w:style w:type="paragraph" w:styleId="717">
    <w:name w:val="Quote"/>
    <w:basedOn w:val="867"/>
    <w:next w:val="867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7"/>
    <w:next w:val="867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9"/>
    <w:link w:val="872"/>
    <w:uiPriority w:val="99"/>
  </w:style>
  <w:style w:type="character" w:styleId="722">
    <w:name w:val="Footer Char"/>
    <w:basedOn w:val="869"/>
    <w:link w:val="874"/>
    <w:uiPriority w:val="99"/>
  </w:style>
  <w:style w:type="paragraph" w:styleId="723">
    <w:name w:val="Caption"/>
    <w:basedOn w:val="867"/>
    <w:next w:val="867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74"/>
    <w:uiPriority w:val="99"/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9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9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paragraph" w:styleId="868">
    <w:name w:val="Heading 3"/>
    <w:basedOn w:val="867"/>
    <w:next w:val="867"/>
    <w:link w:val="877"/>
    <w:qFormat/>
    <w:pPr>
      <w:ind w:right="283"/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Header"/>
    <w:basedOn w:val="867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9"/>
    <w:link w:val="872"/>
    <w:uiPriority w:val="99"/>
  </w:style>
  <w:style w:type="paragraph" w:styleId="874">
    <w:name w:val="Footer"/>
    <w:basedOn w:val="867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9"/>
    <w:link w:val="874"/>
    <w:uiPriority w:val="99"/>
  </w:style>
  <w:style w:type="paragraph" w:styleId="876">
    <w:name w:val="No Spacing"/>
    <w:uiPriority w:val="1"/>
    <w:qFormat/>
    <w:pPr>
      <w:spacing w:after="0" w:line="240" w:lineRule="auto"/>
    </w:pPr>
  </w:style>
  <w:style w:type="character" w:styleId="877" w:customStyle="1">
    <w:name w:val="Заголовок 3 Знак"/>
    <w:basedOn w:val="869"/>
    <w:link w:val="86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78">
    <w:name w:val="Body Text 2"/>
    <w:basedOn w:val="867"/>
    <w:link w:val="879"/>
    <w:pPr>
      <w:ind w:right="176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79" w:customStyle="1">
    <w:name w:val="Основной текст 2 Знак"/>
    <w:basedOn w:val="869"/>
    <w:link w:val="878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80">
    <w:name w:val="Hyperlink"/>
    <w:rPr>
      <w:color w:val="0000ff"/>
      <w:u w:val="single"/>
    </w:rPr>
  </w:style>
  <w:style w:type="paragraph" w:styleId="881" w:customStyle="1">
    <w:name w:val="Обычный + Tahoma"/>
    <w:basedOn w:val="86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88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83">
    <w:name w:val="annotation reference"/>
    <w:rPr>
      <w:sz w:val="16"/>
      <w:szCs w:val="16"/>
    </w:rPr>
  </w:style>
  <w:style w:type="paragraph" w:styleId="884">
    <w:name w:val="annotation text"/>
    <w:basedOn w:val="867"/>
    <w:link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5" w:customStyle="1">
    <w:name w:val="Текст примечания Знак"/>
    <w:basedOn w:val="869"/>
    <w:link w:val="88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>
    <w:name w:val="Balloon Text"/>
    <w:basedOn w:val="867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69"/>
    <w:link w:val="886"/>
    <w:uiPriority w:val="99"/>
    <w:semiHidden/>
    <w:rPr>
      <w:rFonts w:ascii="Segoe UI" w:hAnsi="Segoe UI" w:cs="Segoe UI"/>
      <w:sz w:val="18"/>
      <w:szCs w:val="18"/>
    </w:rPr>
  </w:style>
  <w:style w:type="paragraph" w:styleId="888" w:customStyle="1">
    <w:name w:val="ConsNonformat"/>
    <w:pPr>
      <w:spacing w:after="0" w:line="240" w:lineRule="auto"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889">
    <w:name w:val="List Paragraph"/>
    <w:basedOn w:val="867"/>
    <w:uiPriority w:val="34"/>
    <w:qFormat/>
    <w:pPr>
      <w:contextualSpacing/>
      <w:ind w:left="720"/>
    </w:pPr>
  </w:style>
  <w:style w:type="paragraph" w:styleId="890">
    <w:name w:val="Normal (Web)"/>
    <w:basedOn w:val="86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 w:customStyle="1">
    <w:name w:val="Текстыыыыыы"/>
    <w:basedOn w:val="867"/>
    <w:link w:val="892"/>
    <w:qFormat/>
    <w:pPr>
      <w:jc w:val="both"/>
    </w:pPr>
    <w:rPr>
      <w:rFonts w:ascii="Times New Roman" w:hAnsi="Times New Roman" w:cs="Times New Roman"/>
      <w:sz w:val="24"/>
      <w:szCs w:val="24"/>
    </w:rPr>
  </w:style>
  <w:style w:type="character" w:styleId="892" w:customStyle="1">
    <w:name w:val="Текстыыыыыы Знак"/>
    <w:basedOn w:val="869"/>
    <w:link w:val="891"/>
    <w:rPr>
      <w:rFonts w:ascii="Times New Roman" w:hAnsi="Times New Roman" w:cs="Times New Roman"/>
      <w:sz w:val="24"/>
      <w:szCs w:val="24"/>
    </w:rPr>
  </w:style>
  <w:style w:type="table" w:styleId="893">
    <w:name w:val="Table Grid"/>
    <w:basedOn w:val="87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4" w:customStyle="1">
    <w:name w:val="ConsNormal + Times New Roman"/>
    <w:basedOn w:val="867"/>
    <w:pPr>
      <w:ind w:left="2085" w:right="-54" w:hanging="360"/>
      <w:jc w:val="both"/>
      <w:spacing w:after="0" w:line="240" w:lineRule="auto"/>
      <w:tabs>
        <w:tab w:val="num" w:pos="2085" w:leader="none"/>
      </w:tabs>
    </w:pPr>
    <w:rPr>
      <w:rFonts w:ascii="Times New Roman" w:hAnsi="Times New Roman" w:eastAsia="Times New Roman" w:cs="Times New Roman"/>
      <w:lang w:eastAsia="ru-RU"/>
    </w:r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character" w:styleId="896" w:customStyle="1">
    <w:name w:val="greyrow"/>
    <w:basedOn w:val="84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consultantplus://offline/ref=435B546B1AEA54114115AAD9F1C9EA34B37AE137544BD9C6A6AD38F1D1822BE96058F92FDE78AAB3J7C3O" TargetMode="External"/><Relationship Id="rId11" Type="http://schemas.openxmlformats.org/officeDocument/2006/relationships/hyperlink" Target="http://samsel_nn@r28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Бойко</dc:creator>
  <cp:lastModifiedBy>samsel_nn</cp:lastModifiedBy>
  <cp:revision>16</cp:revision>
  <dcterms:created xsi:type="dcterms:W3CDTF">2023-09-26T06:59:00Z</dcterms:created>
  <dcterms:modified xsi:type="dcterms:W3CDTF">2026-06-25T06:22:06Z</dcterms:modified>
</cp:coreProperties>
</file>