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КОНТРАКТ № 2504/2026-КП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                                                                       </w:t>
      </w:r>
      <w:r>
        <w:rPr>
          <w:rFonts w:cs="Times New Roman" w:ascii="Times New Roman" w:hAnsi="Times New Roman"/>
          <w:b/>
        </w:rPr>
        <w:t>Купли продажи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FF0000"/>
        </w:rPr>
      </w:pPr>
      <w:r>
        <w:rPr>
          <w:rFonts w:cs="Times New Roman" w:ascii="Times New Roman" w:hAnsi="Times New Roman"/>
          <w:b/>
          <w:color w:val="FF0000"/>
        </w:rPr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 Южно-Сахалинск</w:t>
        <w:tab/>
        <w:tab/>
        <w:tab/>
        <w:tab/>
        <w:tab/>
        <w:tab/>
        <w:tab/>
        <w:t xml:space="preserve">                     __________ 2026 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Управление Федеральной службы судебных приставов по Сахалинской области</w:t>
      </w:r>
      <w:r>
        <w:rPr>
          <w:rFonts w:cs="Times New Roman" w:ascii="Times New Roman" w:hAnsi="Times New Roman"/>
          <w:b/>
          <w:sz w:val="20"/>
          <w:szCs w:val="20"/>
        </w:rPr>
        <w:t>,</w:t>
      </w:r>
      <w:r>
        <w:rPr>
          <w:rFonts w:cs="Times New Roman" w:ascii="Times New Roman" w:hAnsi="Times New Roman"/>
          <w:sz w:val="20"/>
          <w:szCs w:val="20"/>
        </w:rPr>
        <w:t xml:space="preserve"> именуемое в дальнейшем «Заказчик», в лице заместителя руководителя Чупраковой Елены Григорьевны, действующего на основании Доверенности № 65915/25/71 от 18.06.2025г</w:t>
      </w:r>
      <w:r>
        <w:rPr>
          <w:rFonts w:eastAsia="Calibri" w:cs="Times New Roman" w:ascii="Times New Roman" w:hAnsi="Times New Roman"/>
          <w:sz w:val="20"/>
          <w:szCs w:val="20"/>
          <w:lang w:eastAsia="en-US"/>
        </w:rPr>
        <w:t>, с одной стороны, и _______________________________</w:t>
      </w:r>
      <w:r>
        <w:rPr>
          <w:rFonts w:eastAsia="Calibri" w:cs="Times New Roman" w:ascii="Times New Roman" w:hAnsi="Times New Roman"/>
          <w:b/>
          <w:sz w:val="20"/>
          <w:szCs w:val="20"/>
          <w:lang w:eastAsia="en-US"/>
        </w:rPr>
        <w:t xml:space="preserve">, </w:t>
      </w:r>
      <w:r>
        <w:rPr>
          <w:rFonts w:eastAsia="Calibri" w:cs="Times New Roman" w:ascii="Times New Roman" w:hAnsi="Times New Roman"/>
          <w:sz w:val="20"/>
          <w:szCs w:val="20"/>
          <w:lang w:eastAsia="en-US"/>
        </w:rPr>
        <w:t>именуемый в дальнейшем «Продавец», действующий на основании ____________________</w:t>
      </w:r>
      <w:r>
        <w:rPr>
          <w:rFonts w:cs="Times New Roman" w:ascii="Times New Roman" w:hAnsi="Times New Roman"/>
          <w:sz w:val="20"/>
          <w:szCs w:val="20"/>
        </w:rPr>
        <w:t>,</w:t>
      </w:r>
      <w:r>
        <w:rPr>
          <w:rFonts w:cs="Times New Roman" w:ascii="Times New Roman" w:hAnsi="Times New Roman"/>
          <w:b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с другой стороны, совместно именуемые «Стороны», на основании п. 4 ч. 1 ст. 93 Федерального закона от 05.04.2013 г. № 44-ФЗ  «О контрактной системе в сфере закупок товаров, работ, услуг для обеспечения государственных и муниципальных нужд» заключили настоящий Контракт   о нижеследующем: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0" w:hanging="284"/>
        <w:jc w:val="center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 Контракта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Покупателя  канцелярские принадлежности (далее – Товар) в соответствии со спецификацией (Приложение № 1 к Контракту, являющееся его неотъемлемой частью).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  <w:tab w:val="left" w:pos="851" w:leader="none"/>
        </w:tabs>
        <w:spacing w:lineRule="auto" w:line="240" w:before="0" w:after="0"/>
        <w:ind w:left="0" w:hanging="284"/>
        <w:jc w:val="center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Цена и порядок расчетов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51" w:leader="none"/>
        </w:tabs>
        <w:ind w:left="0" w:hanging="0"/>
        <w:jc w:val="both"/>
        <w:rPr/>
      </w:pPr>
      <w:r>
        <w:rPr/>
        <w:t xml:space="preserve"> </w:t>
      </w:r>
      <w:r>
        <w:rPr/>
        <w:t xml:space="preserve">Цена </w:t>
      </w:r>
      <w:r>
        <w:rPr>
          <w:rFonts w:eastAsia="" w:eastAsiaTheme="minorEastAsia"/>
          <w:color w:val="000000"/>
        </w:rPr>
        <w:t>Контракта</w:t>
      </w:r>
      <w:r>
        <w:rPr/>
        <w:t xml:space="preserve"> составляет: </w:t>
      </w:r>
      <w:r>
        <w:rPr>
          <w:rFonts w:eastAsia="Times New Roman" w:cs="Times New Roman"/>
          <w:color w:val="000000"/>
          <w:kern w:val="0"/>
          <w:sz w:val="20"/>
          <w:szCs w:val="20"/>
          <w:shd w:fill="FFFF00" w:val="clear"/>
          <w:lang w:val="ru-RU" w:eastAsia="ru-RU" w:bidi="ar-SA"/>
        </w:rPr>
        <w:t>99 670</w:t>
      </w:r>
      <w:r>
        <w:rPr>
          <w:color w:val="000000"/>
          <w:shd w:fill="FFFF00" w:val="clear"/>
        </w:rPr>
        <w:t xml:space="preserve">  (</w:t>
      </w:r>
      <w:r>
        <w:rPr>
          <w:rFonts w:eastAsia="Times New Roman" w:cs="Times New Roman"/>
          <w:color w:val="000000"/>
          <w:kern w:val="0"/>
          <w:sz w:val="20"/>
          <w:szCs w:val="20"/>
          <w:shd w:fill="FFFF00" w:val="clear"/>
          <w:lang w:val="ru-RU" w:eastAsia="ru-RU" w:bidi="ar-SA"/>
        </w:rPr>
        <w:t>девяносто девять</w:t>
      </w:r>
      <w:r>
        <w:rPr>
          <w:color w:val="000000"/>
          <w:shd w:fill="FFFF00" w:val="clear"/>
        </w:rPr>
        <w:t xml:space="preserve"> тысяч </w:t>
      </w:r>
      <w:r>
        <w:rPr>
          <w:rFonts w:eastAsia="Times New Roman" w:cs="Times New Roman"/>
          <w:color w:val="000000"/>
          <w:kern w:val="0"/>
          <w:sz w:val="20"/>
          <w:szCs w:val="20"/>
          <w:shd w:fill="FFFF00" w:val="clear"/>
          <w:lang w:val="ru-RU" w:eastAsia="ru-RU" w:bidi="ar-SA"/>
        </w:rPr>
        <w:t>шестьсот семьдесят</w:t>
      </w:r>
      <w:r>
        <w:rPr>
          <w:color w:val="000000"/>
          <w:shd w:fill="FFFF00" w:val="clear"/>
        </w:rPr>
        <w:t xml:space="preserve">) </w:t>
      </w:r>
      <w:r>
        <w:rPr>
          <w:b/>
          <w:shd w:fill="FFFF00" w:val="clear"/>
        </w:rPr>
        <w:t xml:space="preserve">рублей </w:t>
      </w:r>
      <w:r>
        <w:rPr>
          <w:b/>
          <w:color w:val="000000"/>
          <w:shd w:fill="FFFF00" w:val="clear"/>
        </w:rPr>
        <w:t>00</w:t>
      </w:r>
      <w:r>
        <w:rPr>
          <w:b/>
          <w:shd w:fill="FFFF00" w:val="clear"/>
        </w:rPr>
        <w:t xml:space="preserve"> копеек, без НДС/включая НДС.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0" w:hanging="57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Цена устанавливается в российских рублях и включает в себя: стоимость Товара, тары, упаковки, маркировки, налоги (НДС), транспортные услуги, страховые услуги, стоимость документов качества, другие затраты и обязательные платежи, необходимые для выполнения настоящего Контракта.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Цена Контракта является твердой и определяется на весь срок исполнения Контракта.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Оплата по Счету осуществляется в рублях путем безналичного перевода денежных средств на расчетный счет Продавца.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-284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Оплата осуществляется за счет средств федерального бюджета 2026г.</w:t>
      </w:r>
    </w:p>
    <w:p>
      <w:pPr>
        <w:pStyle w:val="ListParagraph"/>
        <w:numPr>
          <w:ilvl w:val="1"/>
          <w:numId w:val="1"/>
        </w:numPr>
        <w:ind w:left="0" w:hanging="0"/>
        <w:jc w:val="both"/>
        <w:rPr/>
      </w:pPr>
      <w:r>
        <w:rPr/>
        <w:t>Покупатель обязан оплатить представленный счет в течение 10 рабочих дней с даты подписания Покупателем документа о приемке товаров (товарная накладная, УПД).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Оплата считается произведенной надлежащим образом с момента зачисления денежных средств на расчетный счет Продавца.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ИКЗ </w:t>
      </w:r>
      <w:r>
        <w:rPr>
          <w:rFonts w:ascii="tahoma;arial;verdana;sans-serif" w:hAnsi="tahoma;arial;verdana;sans-serif"/>
          <w:b/>
          <w:i w:val="false"/>
          <w:caps w:val="false"/>
          <w:smallCaps w:val="false"/>
          <w:color w:val="000000"/>
          <w:spacing w:val="0"/>
          <w:sz w:val="17"/>
          <w:szCs w:val="20"/>
        </w:rPr>
        <w:t>26 1 6501154651 650101001 0023 000 0000 244</w:t>
      </w:r>
      <w:r>
        <w:rPr>
          <w:rFonts w:ascii="Times New Roman" w:hAnsi="Times New Roman"/>
          <w:sz w:val="20"/>
          <w:szCs w:val="20"/>
        </w:rPr>
        <w:t xml:space="preserve">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  <w:tab w:val="left" w:pos="851" w:leader="none"/>
        </w:tabs>
        <w:spacing w:lineRule="auto" w:line="240" w:before="0" w:after="0"/>
        <w:ind w:left="0" w:hanging="284"/>
        <w:jc w:val="center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Порядок приема-передачи товара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-426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Получение и приемка Товара производятся Покупателем по адресу: </w:t>
      </w:r>
      <w:r>
        <w:rPr>
          <w:rFonts w:cs="Times New Roman" w:ascii="Times New Roman" w:hAnsi="Times New Roman"/>
          <w:b/>
          <w:sz w:val="20"/>
          <w:szCs w:val="20"/>
        </w:rPr>
        <w:t>Сахалинская область, г. Южно-Сахалинск, ул. Ленина д.45.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278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Право собственности на Товар и риск случайной гибели переходит к Покупателю с момента получения Товара Покупателем. Передача Товара Покупателю подтверждается товарными накладными (УПД).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278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Покупатель вправе выдавать третьим лицам доверенности на получение Товара. Товар, принятый третьим лицом на основании доверенности Покупателя, считается переданным Покупателю.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278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Продавец обязан обеспечить хранение Товара до момента его передачи Покупателю, передать Покупателю все необходимые документы на Товар: копии сертификатов соответствия, гигиенических сертификатов или иные документы, подтверждающих качество Товара; инструкции по использованию Товара и гарантийные талоны, если перечисленные документы предусмотрены производителем Товара. Продавец передает документы для оплаты в течение 3 рабочих дней с даты поставки товара.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278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Продавец обязан передать Покупателю товар не позднее, чем в течение </w:t>
      </w:r>
      <w:bookmarkStart w:id="0" w:name="_GoBack"/>
      <w:bookmarkEnd w:id="0"/>
      <w:r>
        <w:rPr>
          <w:rFonts w:cs="Times New Roman" w:ascii="Times New Roman" w:hAnsi="Times New Roman"/>
          <w:sz w:val="20"/>
          <w:szCs w:val="20"/>
        </w:rPr>
        <w:t>5 календарных дней с момента подписания Контракта.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278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Качество Товара должно соответствовать требованиям соответствующих ГОСТов и ТУ, принятым для данного вида Товаров, а также сертификатам соответствия.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278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Покупатель обязан принять Товар по количеству, ассортименту, комплектности и качеству в момент передачи Товара либо в этот же срок предъявить требования в соответствии с действующим законодательством РФ. Покупатель принимает товар в течение 1 рабочего дня с даты поставки товара.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278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Товар, не соответствующий условиям настоящего Контракта об ассортименте, считается принятым Покупателем, если последний в течение 5 (Пяти) календарных дней с момента получения Товара не сообщит о своем отказе от него.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  <w:tab w:val="left" w:pos="2128" w:leader="none"/>
        </w:tabs>
        <w:spacing w:lineRule="auto" w:line="240" w:before="0" w:after="0"/>
        <w:ind w:left="0" w:hanging="360"/>
        <w:jc w:val="center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 и разрешение споров</w:t>
      </w:r>
    </w:p>
    <w:p>
      <w:pPr>
        <w:pStyle w:val="Normal"/>
        <w:tabs>
          <w:tab w:val="clear" w:pos="708"/>
          <w:tab w:val="left" w:pos="1278" w:leader="none"/>
        </w:tabs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4.1. При нарушении условий </w:t>
      </w:r>
      <w:r>
        <w:rPr>
          <w:rFonts w:cs="Times New Roman" w:ascii="Times New Roman" w:hAnsi="Times New Roman"/>
          <w:sz w:val="20"/>
          <w:szCs w:val="20"/>
        </w:rPr>
        <w:t>Контракта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Стороны несут ответственность в соответствии с действующим законодательством Российской Федерации и настоящим </w:t>
      </w:r>
      <w:r>
        <w:rPr>
          <w:rFonts w:cs="Times New Roman" w:ascii="Times New Roman" w:hAnsi="Times New Roman"/>
          <w:sz w:val="20"/>
          <w:szCs w:val="20"/>
        </w:rPr>
        <w:t>Контрактом</w:t>
      </w:r>
      <w:r>
        <w:rPr>
          <w:rFonts w:eastAsia="Times New Roman" w:cs="Times New Roman" w:ascii="Times New Roman" w:hAnsi="Times New Roman"/>
          <w:sz w:val="20"/>
          <w:szCs w:val="20"/>
        </w:rPr>
        <w:t>.</w:t>
      </w:r>
    </w:p>
    <w:p>
      <w:pPr>
        <w:pStyle w:val="Normal"/>
        <w:tabs>
          <w:tab w:val="clear" w:pos="708"/>
          <w:tab w:val="left" w:pos="1278" w:leader="none"/>
        </w:tabs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4.2. В случае просрочки исполнения Покупателем обязательств, предусмотренных </w:t>
      </w:r>
      <w:r>
        <w:rPr>
          <w:rFonts w:cs="Times New Roman" w:ascii="Times New Roman" w:hAnsi="Times New Roman"/>
          <w:sz w:val="20"/>
          <w:szCs w:val="20"/>
        </w:rPr>
        <w:t>Контрактом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, а также в иных случаях неисполнения или ненадлежащего исполнения Покупателем обязательств, предусмотренных </w:t>
      </w:r>
      <w:r>
        <w:rPr>
          <w:rFonts w:cs="Times New Roman" w:ascii="Times New Roman" w:hAnsi="Times New Roman"/>
          <w:sz w:val="20"/>
          <w:szCs w:val="20"/>
        </w:rPr>
        <w:t>Контрактом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, Продавец вправе потребовать уплаты неустоек (штрафов, пеней).4.2.1. Пеня начисляется за каждый день просрочки исполнения Покупателем обязательства, предусмотренного </w:t>
      </w:r>
      <w:r>
        <w:rPr>
          <w:rFonts w:cs="Times New Roman" w:ascii="Times New Roman" w:hAnsi="Times New Roman"/>
          <w:sz w:val="20"/>
          <w:szCs w:val="20"/>
        </w:rPr>
        <w:t>Контрактом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, начиная со дня, следующего после дня истечения установленного </w:t>
      </w:r>
      <w:r>
        <w:rPr>
          <w:rFonts w:cs="Times New Roman" w:ascii="Times New Roman" w:hAnsi="Times New Roman"/>
          <w:sz w:val="20"/>
          <w:szCs w:val="20"/>
        </w:rPr>
        <w:t>Контрактом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срока исполнения обязательства. Такая пеня устанавливается </w:t>
      </w:r>
      <w:r>
        <w:rPr>
          <w:rFonts w:cs="Times New Roman" w:ascii="Times New Roman" w:hAnsi="Times New Roman"/>
          <w:sz w:val="20"/>
          <w:szCs w:val="20"/>
        </w:rPr>
        <w:t>Контрактом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pStyle w:val="Normal"/>
        <w:tabs>
          <w:tab w:val="clear" w:pos="708"/>
          <w:tab w:val="left" w:pos="1278" w:leader="none"/>
        </w:tabs>
        <w:spacing w:lineRule="auto" w:line="240" w:before="0" w:after="0"/>
        <w:ind w:hanging="57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4.3. В случае просрочки исполнения Продавцом обязательств (в том числе гарантийного обязательства), предусмотренных </w:t>
      </w:r>
      <w:r>
        <w:rPr>
          <w:rFonts w:cs="Times New Roman" w:ascii="Times New Roman" w:hAnsi="Times New Roman"/>
          <w:sz w:val="20"/>
          <w:szCs w:val="20"/>
        </w:rPr>
        <w:t>Контрактом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, а также в иных случаях неисполнения или ненадлежащего исполнения Продавцом обязательств, предусмотренных </w:t>
      </w:r>
      <w:r>
        <w:rPr>
          <w:rFonts w:cs="Times New Roman" w:ascii="Times New Roman" w:hAnsi="Times New Roman"/>
          <w:sz w:val="20"/>
          <w:szCs w:val="20"/>
        </w:rPr>
        <w:t>Контрактом</w:t>
      </w:r>
      <w:r>
        <w:rPr>
          <w:rFonts w:eastAsia="Times New Roman" w:cs="Times New Roman" w:ascii="Times New Roman" w:hAnsi="Times New Roman"/>
          <w:sz w:val="20"/>
          <w:szCs w:val="20"/>
        </w:rPr>
        <w:t>, Продавец уплачивает Покупателю неустойку (штраф, пени).</w:t>
      </w:r>
    </w:p>
    <w:p>
      <w:pPr>
        <w:pStyle w:val="Normal"/>
        <w:tabs>
          <w:tab w:val="clear" w:pos="708"/>
          <w:tab w:val="left" w:pos="1278" w:leader="none"/>
        </w:tabs>
        <w:spacing w:lineRule="auto" w:line="240" w:before="0" w:after="0"/>
        <w:ind w:hanging="57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4.3.1. Пеня начисляется за каждый день просрочки исполнения Исполнителем (Продавцом, Поставщиком, Подрядчиком) обязательства, предусмотренного </w:t>
      </w:r>
      <w:r>
        <w:rPr>
          <w:rFonts w:cs="Times New Roman" w:ascii="Times New Roman" w:hAnsi="Times New Roman"/>
          <w:sz w:val="20"/>
          <w:szCs w:val="20"/>
        </w:rPr>
        <w:t>Контрактом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, начиная со дня, следующего после дня истечения установленного </w:t>
      </w:r>
      <w:r>
        <w:rPr>
          <w:rFonts w:cs="Times New Roman" w:ascii="Times New Roman" w:hAnsi="Times New Roman"/>
          <w:sz w:val="20"/>
          <w:szCs w:val="20"/>
        </w:rPr>
        <w:t>Контрактом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cs="Times New Roman" w:ascii="Times New Roman" w:hAnsi="Times New Roman"/>
          <w:sz w:val="20"/>
          <w:szCs w:val="20"/>
        </w:rPr>
        <w:t>Контракта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(отдельного этапа исполнения </w:t>
      </w:r>
      <w:r>
        <w:rPr>
          <w:rFonts w:cs="Times New Roman" w:ascii="Times New Roman" w:hAnsi="Times New Roman"/>
          <w:sz w:val="20"/>
          <w:szCs w:val="20"/>
        </w:rPr>
        <w:t>Контракта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), уменьшенной на сумму, пропорциональную объему обязательств, предусмотренных </w:t>
      </w:r>
      <w:r>
        <w:rPr>
          <w:rFonts w:cs="Times New Roman" w:ascii="Times New Roman" w:hAnsi="Times New Roman"/>
          <w:sz w:val="20"/>
          <w:szCs w:val="20"/>
        </w:rPr>
        <w:t>Контрактом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(соответствующим отдельным этапом исполнения </w:t>
      </w:r>
      <w:r>
        <w:rPr>
          <w:rFonts w:cs="Times New Roman" w:ascii="Times New Roman" w:hAnsi="Times New Roman"/>
          <w:sz w:val="20"/>
          <w:szCs w:val="20"/>
        </w:rPr>
        <w:t>Контракта</w:t>
      </w:r>
      <w:r>
        <w:rPr>
          <w:rFonts w:eastAsia="Times New Roman" w:cs="Times New Roman" w:ascii="Times New Roman" w:hAnsi="Times New Roman"/>
          <w:sz w:val="20"/>
          <w:szCs w:val="20"/>
        </w:rPr>
        <w:t>) и фактически исполненных Исполнителем (Продавцом, Поставщиком, Подрядчиком),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tabs>
          <w:tab w:val="clear" w:pos="708"/>
          <w:tab w:val="left" w:pos="1278" w:leader="none"/>
        </w:tabs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4.4. Уплата неустойки (штрафа, пени) не освобождает Стороны от исполнения собственных обязательств.</w:t>
      </w:r>
    </w:p>
    <w:p>
      <w:pPr>
        <w:pStyle w:val="Normal"/>
        <w:tabs>
          <w:tab w:val="clear" w:pos="708"/>
          <w:tab w:val="left" w:pos="1278" w:leader="none"/>
        </w:tabs>
        <w:spacing w:lineRule="auto" w:line="240" w:before="0" w:after="0"/>
        <w:ind w:hanging="57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4.5.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cs="Times New Roman" w:ascii="Times New Roman" w:hAnsi="Times New Roman"/>
          <w:sz w:val="20"/>
          <w:szCs w:val="20"/>
        </w:rPr>
        <w:t>Контрактом</w:t>
      </w:r>
      <w:r>
        <w:rPr>
          <w:rFonts w:eastAsia="Times New Roman" w:cs="Times New Roman" w:ascii="Times New Roman" w:hAnsi="Times New Roman"/>
          <w:sz w:val="20"/>
          <w:szCs w:val="20"/>
        </w:rPr>
        <w:t>, произошло вследствие непреодолимой силы (землетрясения, наводнения, тайфуны и т.п.), техногенные катастрофы и аварии (взрывы, пожары, перерывы в электро-, тепло-, водоснабжении и т.п.), за исключением наступивших вследствие умышленных действий  сторон; социальные потрясения (войны, акты террора, массовые беспорядки, преступления, забастовки и т.п.); издания Актов государственных органов)  или по вине другой Стороны.</w:t>
      </w:r>
    </w:p>
    <w:p>
      <w:pPr>
        <w:pStyle w:val="Normal"/>
        <w:tabs>
          <w:tab w:val="clear" w:pos="708"/>
          <w:tab w:val="left" w:pos="1278" w:leader="none"/>
        </w:tabs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4.6.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>
      <w:pPr>
        <w:pStyle w:val="Normal"/>
        <w:tabs>
          <w:tab w:val="clear" w:pos="708"/>
          <w:tab w:val="left" w:pos="1278" w:leader="none"/>
        </w:tabs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4.7. Общая сумма начисленной неустойки (штрафов, пени) за ненадлежащее исполнение Покупателем обязательств, предусмотренных </w:t>
      </w:r>
      <w:r>
        <w:rPr>
          <w:rFonts w:cs="Times New Roman" w:ascii="Times New Roman" w:hAnsi="Times New Roman"/>
          <w:sz w:val="20"/>
          <w:szCs w:val="20"/>
        </w:rPr>
        <w:t>Контрактом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, не может превышать цену </w:t>
      </w:r>
      <w:r>
        <w:rPr>
          <w:rFonts w:cs="Times New Roman" w:ascii="Times New Roman" w:hAnsi="Times New Roman"/>
          <w:sz w:val="20"/>
          <w:szCs w:val="20"/>
        </w:rPr>
        <w:t>Контракта</w:t>
      </w:r>
      <w:r>
        <w:rPr>
          <w:rFonts w:eastAsia="Times New Roman" w:cs="Times New Roman" w:ascii="Times New Roman" w:hAnsi="Times New Roman"/>
          <w:sz w:val="20"/>
          <w:szCs w:val="20"/>
        </w:rPr>
        <w:t>.</w:t>
      </w:r>
    </w:p>
    <w:p>
      <w:pPr>
        <w:pStyle w:val="Normal"/>
        <w:tabs>
          <w:tab w:val="clear" w:pos="708"/>
          <w:tab w:val="left" w:pos="1278" w:leader="none"/>
        </w:tabs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4.8. Общая сумма начисленной неустойки (штрафов, пени) за неисполнение или ненадлежащее исполнение продавцом (подрядчиком, исполнителем) обязательств, предусмотренных </w:t>
      </w:r>
      <w:r>
        <w:rPr>
          <w:rFonts w:cs="Times New Roman" w:ascii="Times New Roman" w:hAnsi="Times New Roman"/>
          <w:sz w:val="20"/>
          <w:szCs w:val="20"/>
        </w:rPr>
        <w:t>Контрактом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, не может превышать цену </w:t>
      </w:r>
      <w:r>
        <w:rPr>
          <w:rFonts w:cs="Times New Roman" w:ascii="Times New Roman" w:hAnsi="Times New Roman"/>
          <w:sz w:val="20"/>
          <w:szCs w:val="20"/>
        </w:rPr>
        <w:t>Контракта</w:t>
      </w:r>
      <w:r>
        <w:rPr>
          <w:rFonts w:eastAsia="Times New Roman" w:cs="Times New Roman" w:ascii="Times New Roman" w:hAnsi="Times New Roman"/>
          <w:sz w:val="20"/>
          <w:szCs w:val="20"/>
        </w:rPr>
        <w:t>.</w:t>
      </w:r>
    </w:p>
    <w:p>
      <w:pPr>
        <w:pStyle w:val="Normal"/>
        <w:tabs>
          <w:tab w:val="clear" w:pos="708"/>
          <w:tab w:val="left" w:pos="1278" w:leader="none"/>
        </w:tabs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4.9. Условия пунктов 4.2-4.4 настоящего </w:t>
      </w:r>
      <w:r>
        <w:rPr>
          <w:rFonts w:cs="Times New Roman" w:ascii="Times New Roman" w:hAnsi="Times New Roman"/>
          <w:sz w:val="20"/>
          <w:szCs w:val="20"/>
        </w:rPr>
        <w:t>Контракта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применяются в случае направления Сторонами соответствующего письменного требования.</w:t>
      </w:r>
    </w:p>
    <w:p>
      <w:pPr>
        <w:pStyle w:val="Normal"/>
        <w:tabs>
          <w:tab w:val="clear" w:pos="708"/>
          <w:tab w:val="left" w:pos="1278" w:leader="none"/>
        </w:tabs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4.10. Все споры между Сторонами разрешаются в претензионном порядке. Претензия составляется в письменной форме и должна содержать следующие сведения: требования заявителя, сумму претензии и обоснованный ее расчет, если претензия подлежит денежной оценке; обстоятельства, на которых основываются требования, и доказательства, подтверждающие их; перечень прилагаемых к претензии документов. Претензия должна быть рассмотрена в течение 10 дней со дня ее получения.</w:t>
      </w:r>
    </w:p>
    <w:p>
      <w:pPr>
        <w:pStyle w:val="Normal"/>
        <w:tabs>
          <w:tab w:val="clear" w:pos="708"/>
          <w:tab w:val="left" w:pos="1278" w:leader="none"/>
        </w:tabs>
        <w:spacing w:lineRule="auto" w:line="240" w:before="0" w:after="0"/>
        <w:ind w:hanging="57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4.11. Все споры, неурегулированные сторонами путем переговоров, подлежат рассмотрению в Арбитражном   суде Сахалинской области.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  <w:tab w:val="left" w:pos="2128" w:leader="none"/>
        </w:tabs>
        <w:spacing w:lineRule="auto" w:line="240" w:before="0" w:after="0"/>
        <w:ind w:left="0" w:hanging="360"/>
        <w:jc w:val="center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Срок действия  Контракта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Контракт вступает в силу с даты его подписания обеими Сторонами, </w:t>
      </w:r>
      <w:r>
        <w:rPr>
          <w:rFonts w:cs="Times New Roman" w:ascii="Times New Roman" w:hAnsi="Times New Roman"/>
          <w:spacing w:val="2"/>
          <w:sz w:val="20"/>
          <w:szCs w:val="20"/>
        </w:rPr>
        <w:t xml:space="preserve">и </w:t>
      </w:r>
      <w:r>
        <w:rPr>
          <w:rFonts w:cs="Times New Roman" w:ascii="Times New Roman" w:hAnsi="Times New Roman"/>
          <w:sz w:val="20"/>
          <w:szCs w:val="20"/>
        </w:rPr>
        <w:t>действует до 30.06.2026г, а в части взаиморасчетов до полного исполнения обязательств обеих сторон.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134" w:leader="none"/>
          <w:tab w:val="left" w:pos="1276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993" w:leader="none"/>
          <w:tab w:val="left" w:pos="2128" w:leader="none"/>
        </w:tabs>
        <w:spacing w:lineRule="auto" w:line="240" w:before="0" w:after="0"/>
        <w:ind w:left="0" w:hanging="360"/>
        <w:jc w:val="center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Прочие условия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278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Изменение условий Контракта в период его исполнения по соглашению </w:t>
        <w:br/>
        <w:t>сторон или в одностороннем порядке допускается только в случаях, прямо </w:t>
        <w:br/>
        <w:t>предусмотренных ст. 95 Федерального закона от 05.04.2013 № 44-ФЗ.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278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Все дополнения и изменения к настоящему Контракту действительны при условии, что они совершены в письменной форме и подписаны надлежаще уполномоченными на то представителями Сторон.</w:t>
        <w:tab/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278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Стороны обязаны провести сверку взаиморасчетов в течение 5 (пяти) рабочих дней с момента получения требования одной из Сторон.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278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В случае если одна из Сторон ссылается на форс-мажорные обстоятельства, указанные в п. 3 ст. 401 ГК РФ, не позволившие своевременно выполнить свои обязательства по настоящему Контракту, она обязана 11927в двухдневный срок письменно уведомить другую Сторону о возникших обстоятельствах и представить выданный компетентным органом документ, подтверждающий эти обстоятельства.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278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Во всем остальном, что не предусмотрено настоящим Контрактом, Стороны руководствуются действующим законодательством РФ.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278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К Контракту прилагается и является его неотъемлемой частью: Спецификация, техническое задание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1278" w:leader="none"/>
        </w:tabs>
        <w:spacing w:lineRule="auto" w:line="240" w:before="0" w:after="0"/>
        <w:ind w:left="0" w:hanging="0"/>
        <w:jc w:val="both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Настоящий Контракт составлен в двух подлинных экземплярах, по одному экземпляру для каждой из Сторон.</w:t>
      </w:r>
    </w:p>
    <w:p>
      <w:pPr>
        <w:pStyle w:val="Normal"/>
        <w:tabs>
          <w:tab w:val="clear" w:pos="708"/>
          <w:tab w:val="left" w:pos="1278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278" w:leader="none"/>
        </w:tabs>
        <w:ind w:left="0" w:hanging="36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Реквизиты сторон</w:t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7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60"/>
        <w:gridCol w:w="4859"/>
      </w:tblGrid>
      <w:tr>
        <w:trPr>
          <w:trHeight w:val="4475" w:hRule="atLeast"/>
        </w:trPr>
        <w:tc>
          <w:tcPr>
            <w:tcW w:w="4860" w:type="dxa"/>
            <w:tcBorders/>
            <w:shd w:color="auto" w:fill="auto" w:val="clear"/>
          </w:tcPr>
          <w:p>
            <w:pPr>
              <w:pStyle w:val="1"/>
              <w:widowControl w:val="false"/>
              <w:spacing w:lineRule="auto" w:line="192"/>
              <w:ind w:right="-1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«Покупатель»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spacing w:lineRule="auto" w:line="192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Управление Федеральной службы              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0" w:leader="none"/>
              </w:tabs>
              <w:spacing w:lineRule="auto" w:line="192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судебных приставов по Сахалинской             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zh-CN"/>
              </w:rPr>
              <w:t xml:space="preserve">Управление Федеральной службы              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zh-CN"/>
              </w:rPr>
              <w:t xml:space="preserve">судебных приставов по Сахалинской          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zh-CN"/>
              </w:rPr>
              <w:t xml:space="preserve">области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zh-CN"/>
              </w:rPr>
              <w:t>УФССП (Сахалинская область г. Южно-Сахалинск, 693024, ул. Ленина, 45)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Банк получателя: Управление Федеральной службы судебных приставов по Сахалинской области л/с 03611785590)</w:t>
            </w:r>
          </w:p>
          <w:p>
            <w:pPr>
              <w:pStyle w:val="Style61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ind w:left="0" w:righ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Банк получателя: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Операционно-кассовый центр № 1 Дальневосточного главного управления Центрального банка Российской Федерации ( ОКЦ № 1 Дальневосточный ГУ Банка России)</w:t>
            </w:r>
          </w:p>
          <w:p>
            <w:pPr>
              <w:pStyle w:val="Style61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ind w:left="0" w:righ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банка получателя: 010507002</w:t>
            </w:r>
          </w:p>
          <w:p>
            <w:pPr>
              <w:pStyle w:val="Style61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ind w:left="0" w:righ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Банковский  счет: 40102810545370000012</w:t>
            </w:r>
          </w:p>
          <w:p>
            <w:pPr>
              <w:pStyle w:val="Style61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ind w:left="0" w:right="0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Казначейский счет:  03211643000000012004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zh-CN"/>
              </w:rPr>
              <w:t>КОД средств: 32200178559002</w:t>
            </w:r>
          </w:p>
        </w:tc>
        <w:tc>
          <w:tcPr>
            <w:tcW w:w="485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192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«Продавец»</w:t>
            </w:r>
          </w:p>
          <w:p>
            <w:pPr>
              <w:pStyle w:val="Normal"/>
              <w:widowControl w:val="false"/>
              <w:spacing w:lineRule="auto" w:line="192"/>
              <w:rPr>
                <w:rFonts w:ascii="Times New Roman" w:hAnsi="Times New Roman" w:cs="Times New Roman"/>
                <w:b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spacing w:lineRule="auto" w:line="192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  <w:p>
            <w:pPr>
              <w:pStyle w:val="Normal"/>
              <w:widowControl w:val="false"/>
              <w:spacing w:lineRule="auto" w:line="19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spacing w:lineRule="auto" w:line="19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spacing w:lineRule="auto" w:line="192"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</w:tbl>
    <w:tbl>
      <w:tblPr>
        <w:tblStyle w:val="af5"/>
        <w:tblW w:w="9700" w:type="dxa"/>
        <w:jc w:val="left"/>
        <w:tblInd w:w="1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76"/>
        <w:gridCol w:w="4823"/>
      </w:tblGrid>
      <w:tr>
        <w:trPr/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1"/>
              <w:widowControl w:val="false"/>
              <w:suppressAutoHyphens w:val="true"/>
              <w:spacing w:lineRule="auto" w:line="192" w:before="0" w:after="0"/>
              <w:ind w:right="-1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Заместитель руководителя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___________________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Е. Г. Чупракова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МП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«____» _________ 2026г.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_________________________ /_____________/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МП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«____» _________ 2026 г.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№ 1</w:t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Контракту № 2504</w:t>
      </w:r>
      <w:r>
        <w:rPr>
          <w:rFonts w:cs="Times New Roman" w:ascii="Times New Roman" w:hAnsi="Times New Roman"/>
          <w:b/>
        </w:rPr>
        <w:t>/2026-КП</w:t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</w:rPr>
        <w:t>от _______  2026 г</w:t>
      </w:r>
      <w:r>
        <w:rPr>
          <w:rFonts w:cs="Times New Roman" w:ascii="Times New Roman" w:hAnsi="Times New Roman"/>
          <w:b/>
        </w:rPr>
        <w:t>.</w:t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contextualSpacing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i/>
          <w:sz w:val="20"/>
          <w:szCs w:val="20"/>
          <w:u w:val="single"/>
        </w:rPr>
        <w:t>Спецификация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i/>
          <w:i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i/>
          <w:sz w:val="20"/>
          <w:szCs w:val="20"/>
          <w:u w:val="single"/>
        </w:rPr>
      </w:r>
    </w:p>
    <w:tbl>
      <w:tblPr>
        <w:tblW w:w="9813" w:type="dxa"/>
        <w:jc w:val="left"/>
        <w:tblInd w:w="3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3"/>
        <w:gridCol w:w="2635"/>
        <w:gridCol w:w="1742"/>
        <w:gridCol w:w="1363"/>
        <w:gridCol w:w="799"/>
        <w:gridCol w:w="1022"/>
        <w:gridCol w:w="1528"/>
      </w:tblGrid>
      <w:tr>
        <w:trPr>
          <w:trHeight w:val="559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и  характеристики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Страна происхождения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(заполняется при подписании договора)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Цена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(руб.)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Сумма (руб.)</w:t>
            </w:r>
          </w:p>
        </w:tc>
      </w:tr>
      <w:tr>
        <w:trPr>
          <w:trHeight w:val="27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bCs/>
                <w:kern w:val="2"/>
                <w:sz w:val="20"/>
                <w:szCs w:val="20"/>
                <w:shd w:fill="auto" w:val="clear"/>
                <w:lang w:eastAsia="zh-CN" w:bidi="hi-IN"/>
              </w:rPr>
            </w:pPr>
            <w:r>
              <w:rPr>
                <w:rFonts w:ascii="Times New Roman" w:hAnsi="Times New Roman"/>
                <w:bCs/>
                <w:kern w:val="2"/>
                <w:sz w:val="20"/>
                <w:szCs w:val="20"/>
                <w:shd w:fill="auto" w:val="clear"/>
                <w:lang w:eastAsia="zh-CN" w:bidi="hi-IN"/>
              </w:rPr>
              <w:t>Набор клейких закладок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bCs/>
                <w:sz w:val="20"/>
                <w:szCs w:val="20"/>
              </w:rPr>
            </w:pPr>
            <w:r>
              <w:rPr>
                <w:rFonts w:eastAsia="Arial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  <w:t>100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77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Блок для записей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 w:eastAsia="Arial"/>
                <w:bCs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eastAsia="Arial" w:ascii="Times New Roman" w:hAnsi="Times New Roman"/>
                <w:bCs/>
                <w:color w:val="000000"/>
                <w:sz w:val="20"/>
                <w:szCs w:val="20"/>
                <w:shd w:fill="auto" w:val="clear"/>
              </w:rPr>
              <w:t>непроклеенный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bCs/>
                <w:sz w:val="20"/>
                <w:szCs w:val="20"/>
              </w:rPr>
            </w:pPr>
            <w:r>
              <w:rPr>
                <w:rFonts w:eastAsia="Arial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  <w:t>10</w:t>
            </w:r>
            <w:r>
              <w:rPr/>
              <w:t>0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77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bCs/>
                <w:sz w:val="20"/>
                <w:szCs w:val="20"/>
                <w:shd w:fill="auto" w:val="clear"/>
              </w:rPr>
            </w:pPr>
            <w:r>
              <w:rPr>
                <w:rFonts w:eastAsia="Arial" w:ascii="Times New Roman" w:hAnsi="Times New Roman"/>
                <w:bCs/>
                <w:sz w:val="20"/>
                <w:szCs w:val="20"/>
                <w:shd w:fill="auto" w:val="clear"/>
              </w:rPr>
              <w:t xml:space="preserve">Скрепки металлические 50 мм 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bCs/>
                <w:sz w:val="20"/>
                <w:szCs w:val="20"/>
              </w:rPr>
            </w:pPr>
            <w:r>
              <w:rPr>
                <w:rFonts w:eastAsia="Arial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  <w:t>1</w:t>
            </w:r>
            <w:r>
              <w:rPr/>
              <w:t>2</w:t>
            </w:r>
            <w:r>
              <w:rPr/>
              <w:t>0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77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bCs/>
                <w:sz w:val="20"/>
                <w:szCs w:val="20"/>
                <w:shd w:fill="auto" w:val="clear"/>
              </w:rPr>
            </w:pPr>
            <w:r>
              <w:rPr>
                <w:rFonts w:eastAsia="Arial" w:ascii="Times New Roman" w:hAnsi="Times New Roman"/>
                <w:bCs/>
                <w:sz w:val="20"/>
                <w:szCs w:val="20"/>
                <w:shd w:fill="auto" w:val="clear"/>
              </w:rPr>
              <w:t>Скрепки металлические 25 мм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bCs/>
                <w:sz w:val="20"/>
                <w:szCs w:val="20"/>
              </w:rPr>
            </w:pPr>
            <w:r>
              <w:rPr>
                <w:rFonts w:eastAsia="Arial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  <w:t>1</w:t>
            </w:r>
            <w:r>
              <w:rPr/>
              <w:t>2</w:t>
            </w:r>
            <w:r>
              <w:rPr/>
              <w:t>0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77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bCs/>
                <w:sz w:val="20"/>
                <w:szCs w:val="20"/>
                <w:shd w:fill="auto" w:val="clear"/>
              </w:rPr>
            </w:pPr>
            <w:r>
              <w:rPr>
                <w:rFonts w:eastAsia="Arial" w:ascii="Times New Roman" w:hAnsi="Times New Roman"/>
                <w:bCs/>
                <w:color w:val="000000"/>
                <w:kern w:val="2"/>
                <w:sz w:val="20"/>
                <w:szCs w:val="20"/>
                <w:shd w:fill="auto" w:val="clear"/>
              </w:rPr>
              <w:t>Папка картонная (с арочным механизмом)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bCs/>
                <w:sz w:val="20"/>
                <w:szCs w:val="20"/>
              </w:rPr>
            </w:pPr>
            <w:r>
              <w:rPr>
                <w:rFonts w:eastAsia="Arial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  <w:t>50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77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bCs/>
                <w:sz w:val="20"/>
                <w:szCs w:val="20"/>
                <w:shd w:fill="auto" w:val="clear"/>
              </w:rPr>
            </w:pPr>
            <w:r>
              <w:rPr>
                <w:rFonts w:eastAsia="Arial" w:ascii="Times New Roman" w:hAnsi="Times New Roman"/>
                <w:bCs/>
                <w:sz w:val="20"/>
                <w:szCs w:val="20"/>
                <w:shd w:fill="auto" w:val="clear"/>
              </w:rPr>
              <w:t>Клейкая лента канцелярская  (скотч)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bCs/>
                <w:sz w:val="20"/>
                <w:szCs w:val="20"/>
              </w:rPr>
            </w:pPr>
            <w:r>
              <w:rPr>
                <w:rFonts w:eastAsia="Arial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  <w:t>70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77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bCs/>
                <w:sz w:val="20"/>
                <w:szCs w:val="20"/>
                <w:shd w:fill="auto" w:val="clear"/>
              </w:rPr>
            </w:pPr>
            <w:r>
              <w:rPr>
                <w:rFonts w:eastAsia="Arial" w:ascii="Times New Roman" w:hAnsi="Times New Roman"/>
                <w:bCs/>
                <w:sz w:val="20"/>
                <w:szCs w:val="20"/>
                <w:shd w:fill="auto" w:val="clear"/>
              </w:rPr>
              <w:t>Файл – вкладыш (в упаковке 100 шт.)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bCs/>
                <w:sz w:val="20"/>
                <w:szCs w:val="20"/>
              </w:rPr>
            </w:pPr>
            <w:r>
              <w:rPr>
                <w:rFonts w:eastAsia="Arial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  <w:t>1</w:t>
            </w:r>
            <w:r>
              <w:rPr/>
              <w:t>5</w:t>
            </w:r>
            <w:r>
              <w:rPr/>
              <w:t>0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77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bCs/>
                <w:sz w:val="20"/>
                <w:szCs w:val="20"/>
                <w:shd w:fill="auto" w:val="clear"/>
              </w:rPr>
            </w:pPr>
            <w:r>
              <w:rPr>
                <w:rFonts w:eastAsia="Arial" w:ascii="Times New Roman" w:hAnsi="Times New Roman"/>
                <w:bCs/>
                <w:sz w:val="20"/>
                <w:szCs w:val="20"/>
                <w:shd w:fill="auto" w:val="clear"/>
              </w:rPr>
              <w:t>Скобы для степлера №10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bCs/>
                <w:sz w:val="20"/>
                <w:szCs w:val="20"/>
              </w:rPr>
            </w:pPr>
            <w:r>
              <w:rPr>
                <w:rFonts w:eastAsia="Arial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  <w:t>4</w:t>
            </w:r>
            <w:r>
              <w:rPr/>
              <w:t>00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77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bCs/>
                <w:sz w:val="20"/>
                <w:szCs w:val="20"/>
                <w:shd w:fill="auto" w:val="clear"/>
              </w:rPr>
            </w:pPr>
            <w:r>
              <w:rPr>
                <w:rFonts w:eastAsia="Arial" w:ascii="Times New Roman" w:hAnsi="Times New Roman"/>
                <w:bCs/>
                <w:sz w:val="20"/>
                <w:szCs w:val="20"/>
                <w:shd w:fill="auto" w:val="clear"/>
              </w:rPr>
              <w:t>Скобы для степлера №24/6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bCs/>
                <w:sz w:val="20"/>
                <w:szCs w:val="20"/>
              </w:rPr>
            </w:pPr>
            <w:r>
              <w:rPr>
                <w:rFonts w:eastAsia="Arial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упак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  <w:t>4</w:t>
            </w:r>
            <w:r>
              <w:rPr/>
              <w:t>00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77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sz w:val="20"/>
                <w:szCs w:val="20"/>
                <w:shd w:fill="auto" w:val="clear"/>
              </w:rPr>
            </w:pPr>
            <w:r>
              <w:rPr>
                <w:rFonts w:eastAsia="Arial" w:ascii="Times New Roman" w:hAnsi="Times New Roman"/>
                <w:sz w:val="20"/>
                <w:szCs w:val="20"/>
                <w:shd w:fill="auto" w:val="clear"/>
              </w:rPr>
              <w:t>Ручка канцелярская шариковая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sz w:val="20"/>
                <w:szCs w:val="20"/>
              </w:rPr>
            </w:pPr>
            <w:r>
              <w:rPr>
                <w:rFonts w:eastAsia="Arial" w:ascii="Times New Roman" w:hAnsi="Times New Roman"/>
                <w:sz w:val="20"/>
                <w:szCs w:val="20"/>
              </w:rPr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  <w:t>30</w:t>
            </w:r>
            <w:r>
              <w:rPr/>
              <w:t>00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77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rial"/>
                <w:sz w:val="20"/>
                <w:szCs w:val="20"/>
                <w:shd w:fill="auto" w:val="clear"/>
              </w:rPr>
            </w:pPr>
            <w:r>
              <w:rPr>
                <w:rFonts w:eastAsia="Arial" w:cs="Lucida Sans" w:ascii="Times New Roman" w:hAnsi="Times New Roman"/>
                <w:color w:val="000000"/>
                <w:kern w:val="2"/>
                <w:sz w:val="20"/>
                <w:szCs w:val="20"/>
                <w:shd w:fill="auto" w:val="clear"/>
                <w:lang w:eastAsia="zh-CN" w:bidi="hi-IN"/>
              </w:rPr>
              <w:t>Папка скоросшиватель «Дело»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rial"/>
                <w:sz w:val="20"/>
                <w:szCs w:val="20"/>
              </w:rPr>
            </w:pPr>
            <w:r>
              <w:rPr>
                <w:rFonts w:eastAsia="Arial" w:ascii="Times New Roman" w:hAnsi="Times New Roman"/>
                <w:sz w:val="20"/>
                <w:szCs w:val="20"/>
              </w:rPr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  <w:t>500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77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bCs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eastAsia="Arial" w:ascii="Times New Roman" w:hAnsi="Times New Roman"/>
                <w:bCs/>
                <w:color w:val="000000"/>
                <w:sz w:val="20"/>
                <w:szCs w:val="20"/>
                <w:shd w:fill="auto" w:val="clear"/>
              </w:rPr>
              <w:t>Нож канцелярский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/>
                <w:bCs/>
                <w:sz w:val="20"/>
                <w:szCs w:val="20"/>
              </w:rPr>
            </w:pPr>
            <w:r>
              <w:rPr>
                <w:rFonts w:eastAsia="Arial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  <w:t>10</w:t>
            </w:r>
            <w:r>
              <w:rPr/>
              <w:t>0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77" w:hRule="atLeast"/>
        </w:trPr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2939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af5"/>
        <w:tblW w:w="9750" w:type="dxa"/>
        <w:jc w:val="left"/>
        <w:tblInd w:w="3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98"/>
        <w:gridCol w:w="4951"/>
      </w:tblGrid>
      <w:tr>
        <w:trPr/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1"/>
              <w:widowControl w:val="false"/>
              <w:suppressAutoHyphens w:val="true"/>
              <w:spacing w:lineRule="auto" w:line="192" w:before="0" w:after="0"/>
              <w:ind w:right="-1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Заместитель руководителя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" w:hanging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" w:hanging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___________________Е.Г. Чупракова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МП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«____» _________ 2026 г.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__________________/_____________________/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МП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«____» _________ 2026 г.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№ 2</w:t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Контракту №2504</w:t>
      </w:r>
      <w:r>
        <w:rPr>
          <w:rFonts w:cs="Times New Roman" w:ascii="Times New Roman" w:hAnsi="Times New Roman"/>
          <w:b/>
        </w:rPr>
        <w:t>/2026-КП</w:t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</w:rPr>
        <w:t>от _______  2026 г</w:t>
      </w:r>
      <w:r>
        <w:rPr>
          <w:rFonts w:cs="Times New Roman" w:ascii="Times New Roman" w:hAnsi="Times New Roman"/>
          <w:b/>
        </w:rPr>
        <w:t>.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техническое задание</w:t>
      </w:r>
    </w:p>
    <w:tbl>
      <w:tblPr>
        <w:tblW w:w="9013" w:type="dxa"/>
        <w:jc w:val="left"/>
        <w:tblInd w:w="-6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1" w:noVBand="1" w:lastRow="0" w:firstColumn="1" w:lastColumn="0" w:noHBand="0" w:val="04a0"/>
      </w:tblPr>
      <w:tblGrid>
        <w:gridCol w:w="599"/>
        <w:gridCol w:w="1784"/>
        <w:gridCol w:w="2602"/>
        <w:gridCol w:w="2776"/>
        <w:gridCol w:w="1252"/>
      </w:tblGrid>
      <w:tr>
        <w:trPr>
          <w:trHeight w:val="271" w:hRule="atLeast"/>
        </w:trPr>
        <w:tc>
          <w:tcPr>
            <w:tcW w:w="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yle18"/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yle18"/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yle18"/>
                <w:rFonts w:cs="Times New Roman" w:ascii="Times New Roman" w:hAnsi="Times New Roman"/>
                <w:sz w:val="24"/>
                <w:szCs w:val="24"/>
              </w:rPr>
              <w:t>Наименование товара/ ОКПД 2</w:t>
            </w:r>
          </w:p>
        </w:tc>
        <w:tc>
          <w:tcPr>
            <w:tcW w:w="5378" w:type="dxa"/>
            <w:gridSpan w:val="2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Blk"/>
                <w:rFonts w:cs="Times New Roman" w:ascii="Times New Roman" w:hAnsi="Times New Roman"/>
                <w:b/>
                <w:sz w:val="24"/>
                <w:szCs w:val="24"/>
              </w:rPr>
              <w:t>Конкретные показатели</w:t>
            </w:r>
            <w:r>
              <w:rPr>
                <w:rStyle w:val="Blk"/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Blk"/>
                <w:rFonts w:cs="Times New Roman" w:ascii="Times New Roman" w:hAnsi="Times New Roman"/>
                <w:b/>
                <w:sz w:val="24"/>
                <w:szCs w:val="24"/>
              </w:rPr>
              <w:t>товара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Ед.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изм.</w:t>
            </w:r>
          </w:p>
        </w:tc>
      </w:tr>
      <w:tr>
        <w:trPr>
          <w:trHeight w:val="98" w:hRule="atLeast"/>
        </w:trPr>
        <w:tc>
          <w:tcPr>
            <w:tcW w:w="59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Spacing"/>
              <w:widowControl w:val="false"/>
              <w:snapToGrid w:val="false"/>
              <w:jc w:val="center"/>
              <w:rPr>
                <w:b/>
                <w:b/>
                <w:highlight w:val="yellow"/>
              </w:rPr>
            </w:pPr>
            <w:r>
              <w:rPr>
                <w:b/>
                <w:highlight w:val="yellow"/>
              </w:rPr>
            </w:r>
          </w:p>
        </w:tc>
        <w:tc>
          <w:tcPr>
            <w:tcW w:w="178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Spacing"/>
              <w:widowControl w:val="false"/>
              <w:snapToGrid w:val="false"/>
              <w:jc w:val="center"/>
              <w:rPr>
                <w:b/>
                <w:b/>
                <w:highlight w:val="yellow"/>
              </w:rPr>
            </w:pPr>
            <w:r>
              <w:rPr>
                <w:b/>
                <w:highlight w:val="yellow"/>
              </w:rPr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yle18"/>
                <w:rFonts w:cs="Times New Roman" w:ascii="Times New Roman" w:hAnsi="Times New Roman"/>
                <w:sz w:val="24"/>
                <w:szCs w:val="24"/>
              </w:rPr>
              <w:t xml:space="preserve">Характеристики 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yle18"/>
                <w:rFonts w:cs="Times New Roman" w:ascii="Times New Roman" w:hAnsi="Times New Roman"/>
                <w:sz w:val="24"/>
                <w:szCs w:val="24"/>
              </w:rPr>
              <w:t>Значения показателей</w:t>
            </w:r>
          </w:p>
        </w:tc>
        <w:tc>
          <w:tcPr>
            <w:tcW w:w="1252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69" w:hRule="atLeast"/>
        </w:trPr>
        <w:tc>
          <w:tcPr>
            <w:tcW w:w="599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Arial" w:cs="" w:cstheme="minorBidi"/>
                <w:shd w:fill="auto" w:val="clear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shd w:fill="auto" w:val="clear"/>
              </w:rPr>
              <w:t>Скобы для степлера №10</w:t>
            </w:r>
          </w:p>
        </w:tc>
        <w:tc>
          <w:tcPr>
            <w:tcW w:w="26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в упаковке, </w:t>
            </w:r>
            <w:r>
              <w:rPr>
                <w:rFonts w:ascii="Times New Roman" w:hAnsi="Times New Roman"/>
                <w:lang w:val="en-US"/>
              </w:rPr>
              <w:t>min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≥ </w:t>
            </w:r>
            <w:r>
              <w:rPr>
                <w:rFonts w:ascii="Times New Roman" w:hAnsi="Times New Roman"/>
                <w:lang w:val="en-US"/>
              </w:rPr>
              <w:t>1000 (шт)</w:t>
            </w:r>
          </w:p>
        </w:tc>
        <w:tc>
          <w:tcPr>
            <w:tcW w:w="1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8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упаковка</w:t>
            </w:r>
          </w:p>
        </w:tc>
      </w:tr>
      <w:tr>
        <w:trPr>
          <w:trHeight w:val="269" w:hRule="atLeast"/>
        </w:trPr>
        <w:tc>
          <w:tcPr>
            <w:tcW w:w="599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84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6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в упаковке, </w:t>
            </w:r>
            <w:r>
              <w:rPr>
                <w:rFonts w:ascii="Times New Roman" w:hAnsi="Times New Roman"/>
                <w:lang w:val="en-US"/>
              </w:rPr>
              <w:t>max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≤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1000 (шт)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99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84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6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 скоб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99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Arial" w:cs="" w:cstheme="minorBidi"/>
                <w:shd w:fill="auto" w:val="clear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shd w:fill="auto" w:val="clear"/>
              </w:rPr>
              <w:t>Скрепки металлические</w:t>
            </w:r>
          </w:p>
        </w:tc>
        <w:tc>
          <w:tcPr>
            <w:tcW w:w="26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Длина,</w:t>
            </w:r>
            <w:r>
              <w:rPr>
                <w:rFonts w:ascii="Times New Roman" w:hAnsi="Times New Roman"/>
                <w:lang w:val="en-US"/>
              </w:rPr>
              <w:t xml:space="preserve"> max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≤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30 мм</w:t>
            </w:r>
          </w:p>
        </w:tc>
        <w:tc>
          <w:tcPr>
            <w:tcW w:w="125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8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упаковка</w:t>
            </w:r>
          </w:p>
        </w:tc>
      </w:tr>
      <w:tr>
        <w:trPr>
          <w:trHeight w:val="269" w:hRule="atLeast"/>
        </w:trPr>
        <w:tc>
          <w:tcPr>
            <w:tcW w:w="599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84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6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Длина, </w:t>
            </w:r>
            <w:r>
              <w:rPr>
                <w:rFonts w:ascii="Times New Roman" w:hAnsi="Times New Roman"/>
                <w:lang w:val="en-US"/>
              </w:rPr>
              <w:t>min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≥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26мм</w:t>
            </w:r>
          </w:p>
        </w:tc>
        <w:tc>
          <w:tcPr>
            <w:tcW w:w="12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99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84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6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Количество штук в упаковке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</w:t>
            </w: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99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4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Arial" w:cs="" w:cstheme="minorBidi"/>
                <w:shd w:fill="auto" w:val="clear"/>
              </w:rPr>
            </w:pPr>
            <w:r>
              <w:rPr>
                <w:rFonts w:eastAsia="Arial" w:cs="Times New Roman" w:ascii="Times New Roman" w:hAnsi="Times New Roman"/>
                <w:kern w:val="2"/>
                <w:sz w:val="24"/>
                <w:szCs w:val="24"/>
                <w:shd w:fill="auto" w:val="clear"/>
                <w:lang w:eastAsia="zh-CN" w:bidi="hi-IN"/>
              </w:rPr>
              <w:t>Скрепки металлические</w:t>
            </w:r>
          </w:p>
        </w:tc>
        <w:tc>
          <w:tcPr>
            <w:tcW w:w="26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Длина,</w:t>
            </w:r>
            <w:r>
              <w:rPr>
                <w:rFonts w:ascii="Times New Roman" w:hAnsi="Times New Roman"/>
                <w:lang w:val="en-US"/>
              </w:rPr>
              <w:t xml:space="preserve"> max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≤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50 мм</w:t>
            </w:r>
          </w:p>
        </w:tc>
        <w:tc>
          <w:tcPr>
            <w:tcW w:w="125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упаковка</w:t>
            </w:r>
          </w:p>
        </w:tc>
      </w:tr>
      <w:tr>
        <w:trPr>
          <w:trHeight w:val="269" w:hRule="atLeast"/>
        </w:trPr>
        <w:tc>
          <w:tcPr>
            <w:tcW w:w="599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84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Длина, </w:t>
            </w:r>
            <w:r>
              <w:rPr>
                <w:rFonts w:ascii="Times New Roman" w:hAnsi="Times New Roman"/>
                <w:lang w:val="en-US"/>
              </w:rPr>
              <w:t>min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≥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50мм</w:t>
            </w:r>
          </w:p>
        </w:tc>
        <w:tc>
          <w:tcPr>
            <w:tcW w:w="12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99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84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Количество штук в упаковке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</w:t>
            </w: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25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120"/>
        <w:jc w:val="both"/>
        <w:rPr>
          <w:bCs/>
          <w:iCs/>
          <w:kern w:val="2"/>
        </w:rPr>
      </w:pPr>
      <w:r>
        <w:rPr>
          <w:bCs/>
          <w:iCs/>
          <w:kern w:val="2"/>
        </w:rPr>
      </w:r>
    </w:p>
    <w:tbl>
      <w:tblPr>
        <w:tblW w:w="9013" w:type="dxa"/>
        <w:jc w:val="left"/>
        <w:tblInd w:w="-6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1" w:noVBand="1" w:lastRow="0" w:firstColumn="1" w:lastColumn="0" w:noHBand="0" w:val="04a0"/>
      </w:tblPr>
      <w:tblGrid>
        <w:gridCol w:w="563"/>
        <w:gridCol w:w="2160"/>
        <w:gridCol w:w="2262"/>
        <w:gridCol w:w="2776"/>
        <w:gridCol w:w="1252"/>
      </w:tblGrid>
      <w:tr>
        <w:trPr>
          <w:trHeight w:val="271" w:hRule="atLeast"/>
        </w:trPr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yle18"/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yle18"/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yle18"/>
                <w:rFonts w:cs="Times New Roman" w:ascii="Times New Roman" w:hAnsi="Times New Roman"/>
                <w:sz w:val="24"/>
                <w:szCs w:val="24"/>
              </w:rPr>
              <w:t>Наименование товара/ ОКПД 2</w:t>
            </w:r>
          </w:p>
        </w:tc>
        <w:tc>
          <w:tcPr>
            <w:tcW w:w="5038" w:type="dxa"/>
            <w:gridSpan w:val="2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Blk"/>
                <w:rFonts w:cs="Times New Roman" w:ascii="Times New Roman" w:hAnsi="Times New Roman"/>
                <w:b/>
                <w:sz w:val="24"/>
                <w:szCs w:val="24"/>
              </w:rPr>
              <w:t>Конкретные показатели</w:t>
            </w:r>
            <w:r>
              <w:rPr>
                <w:rStyle w:val="Blk"/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Blk"/>
                <w:rFonts w:cs="Times New Roman" w:ascii="Times New Roman" w:hAnsi="Times New Roman"/>
                <w:b/>
                <w:sz w:val="24"/>
                <w:szCs w:val="24"/>
              </w:rPr>
              <w:t>товара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Ед.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изм.</w:t>
            </w:r>
          </w:p>
        </w:tc>
      </w:tr>
      <w:tr>
        <w:trPr>
          <w:trHeight w:val="98" w:hRule="atLeast"/>
        </w:trPr>
        <w:tc>
          <w:tcPr>
            <w:tcW w:w="5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Spacing"/>
              <w:widowControl w:val="false"/>
              <w:snapToGrid w:val="false"/>
              <w:jc w:val="center"/>
              <w:rPr>
                <w:b/>
                <w:b/>
                <w:highlight w:val="yellow"/>
              </w:rPr>
            </w:pPr>
            <w:r>
              <w:rPr>
                <w:b/>
                <w:highlight w:val="yellow"/>
              </w:rPr>
            </w:r>
          </w:p>
        </w:tc>
        <w:tc>
          <w:tcPr>
            <w:tcW w:w="2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Spacing"/>
              <w:widowControl w:val="false"/>
              <w:snapToGrid w:val="false"/>
              <w:jc w:val="center"/>
              <w:rPr>
                <w:b/>
                <w:b/>
                <w:highlight w:val="yellow"/>
              </w:rPr>
            </w:pPr>
            <w:r>
              <w:rPr>
                <w:b/>
                <w:highlight w:val="yellow"/>
              </w:rPr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yle18"/>
                <w:rFonts w:cs="Times New Roman" w:ascii="Times New Roman" w:hAnsi="Times New Roman"/>
                <w:sz w:val="24"/>
                <w:szCs w:val="24"/>
              </w:rPr>
              <w:t xml:space="preserve">Характеристики 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yle18"/>
                <w:rFonts w:cs="Times New Roman" w:ascii="Times New Roman" w:hAnsi="Times New Roman"/>
                <w:sz w:val="24"/>
                <w:szCs w:val="24"/>
              </w:rPr>
              <w:t>Значения показателей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NoSpacing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69" w:hRule="atLeast"/>
        </w:trPr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yle18"/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" w:cs="" w:cstheme="minorBidi"/>
                <w:shd w:fill="auto" w:val="clear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shd w:fill="auto" w:val="clear"/>
              </w:rPr>
              <w:t>Папка картонная (с арочным механизмом)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Механизм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Арочный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штука</w:t>
            </w:r>
          </w:p>
        </w:tc>
      </w:tr>
      <w:tr>
        <w:trPr>
          <w:trHeight w:val="551" w:hRule="atLeast"/>
        </w:trPr>
        <w:tc>
          <w:tcPr>
            <w:tcW w:w="5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Формат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A4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Тип 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Папка-регистратор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Ширина корешка,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≥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50 (миллиметр)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Ширина корешка,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≤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50 (миллиметр)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Arial" w:cs="" w:cstheme="minorBidi"/>
                <w:shd w:fill="auto" w:val="clear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shd w:fill="auto" w:val="clear"/>
              </w:rPr>
              <w:t>Клейкая лента канцелярская  (скотч)</w:t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Намотка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</w:t>
            </w:r>
            <w:r>
              <w:rPr>
                <w:rFonts w:ascii="Times New Roman" w:hAnsi="Times New Roman"/>
              </w:rPr>
              <w:t>30 (метр)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штука</w:t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упаковочный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Ширина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</w:t>
            </w:r>
            <w:r>
              <w:rPr>
                <w:rFonts w:ascii="Times New Roman" w:hAnsi="Times New Roman"/>
              </w:rPr>
              <w:t>50 (миллиметр)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NSimSun" w:cs="Lucida Sans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 w:cs="Lucida Sans" w:ascii="Times New Roman" w:hAnsi="Times New Roman"/>
                <w:kern w:val="2"/>
                <w:sz w:val="24"/>
                <w:szCs w:val="24"/>
                <w:lang w:eastAsia="zh-CN" w:bidi="hi-IN"/>
              </w:rPr>
              <w:t>прозрачность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прозрачный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83838"/>
                <w:sz w:val="20"/>
              </w:rPr>
              <w:t>Бесцветный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shd w:fill="auto" w:val="clear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односторонняя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Arial" w:cs="" w:cstheme="minorBidi"/>
                <w:shd w:fill="auto" w:val="clear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shd w:fill="auto" w:val="clear"/>
              </w:rPr>
              <w:t>Файл – вкладыш (в упаковке 100 шт.)</w:t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Плотность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</w:t>
            </w:r>
            <w:r>
              <w:rPr>
                <w:rFonts w:ascii="Times New Roman" w:hAnsi="Times New Roman"/>
              </w:rPr>
              <w:t>30 &lt;45 (мкм)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Style28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упаковка</w:t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глянцевый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Формат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А4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Arial" w:cs="" w:cstheme="minorBidi"/>
                <w:shd w:fill="auto" w:val="clear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shd w:fill="auto" w:val="clear"/>
              </w:rPr>
              <w:t>Скобы для степлера №24/6</w:t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в упаковке, </w:t>
            </w:r>
            <w:r>
              <w:rPr>
                <w:rFonts w:ascii="Times New Roman" w:hAnsi="Times New Roman"/>
                <w:lang w:val="en-US"/>
              </w:rPr>
              <w:t>min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≥ </w:t>
            </w:r>
            <w:r>
              <w:rPr>
                <w:rFonts w:ascii="Times New Roman" w:hAnsi="Times New Roman"/>
                <w:lang w:val="en-US"/>
              </w:rPr>
              <w:t>1000 (шт)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Style28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упаковка</w:t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в упаковке, </w:t>
            </w:r>
            <w:r>
              <w:rPr>
                <w:rFonts w:ascii="Times New Roman" w:hAnsi="Times New Roman"/>
                <w:lang w:val="en-US"/>
              </w:rPr>
              <w:t>max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≤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1000 (шт)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 скоб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24/6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Arial" w:cs="" w:cstheme="minorBidi"/>
                <w:shd w:fill="auto" w:val="clear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shd w:fill="auto" w:val="clear"/>
              </w:rPr>
              <w:t>Ручка канцелярская шариковая</w:t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Возможность замены пишущего стержня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штука</w:t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 чернил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синий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шариковая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Ручка автоматическая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цветов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83838"/>
                <w:sz w:val="24"/>
                <w:szCs w:val="24"/>
              </w:rPr>
              <w:t>Толщина линии письма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0,5мм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eastAsia="Arial" w:cs="Lucida Sans"/>
                <w:kern w:val="2"/>
                <w:sz w:val="24"/>
                <w:szCs w:val="24"/>
                <w:shd w:fill="auto" w:val="clear"/>
                <w:lang w:eastAsia="zh-CN" w:bidi="hi-IN"/>
              </w:rPr>
            </w:pPr>
            <w:r>
              <w:rPr>
                <w:rFonts w:eastAsia="Arial" w:cs="Lucida Sans" w:ascii="Times New Roman" w:hAnsi="Times New Roman"/>
                <w:kern w:val="2"/>
                <w:sz w:val="24"/>
                <w:szCs w:val="24"/>
                <w:shd w:fill="auto" w:val="clear"/>
                <w:lang w:eastAsia="zh-CN" w:bidi="hi-IN"/>
              </w:rPr>
              <w:t>Папка скоросшиватель «Дело»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rial" w:cs="" w:cstheme="minorBidi"/>
                <w:shd w:fill="auto" w:val="clear"/>
              </w:rPr>
            </w:pPr>
            <w:r>
              <w:rPr>
                <w:rFonts w:eastAsia="Arial" w:cs="" w:cstheme="minorBidi" w:ascii="Times New Roman" w:hAnsi="Times New Roman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Формат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А4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штука</w:t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Папка-скоросшиватель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Плотность*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менее </w:t>
            </w:r>
            <w:r>
              <w:rPr>
                <w:rFonts w:ascii="Times New Roman" w:hAnsi="Times New Roman"/>
                <w:lang w:val="en-US"/>
              </w:rPr>
              <w:t>250</w:t>
            </w:r>
            <w:r>
              <w:rPr>
                <w:rFonts w:ascii="Times New Roman" w:hAnsi="Times New Roman"/>
              </w:rPr>
              <w:t>г/кв.м.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Arial" w:cs="" w:cstheme="minorBidi"/>
                <w:shd w:fill="auto" w:val="clear"/>
              </w:rPr>
            </w:pPr>
            <w:r>
              <w:rPr>
                <w:rFonts w:eastAsia="Arial" w:cs="" w:ascii="Times New Roman" w:hAnsi="Times New Roman" w:cstheme="minorBidi"/>
                <w:shd w:fill="auto" w:val="clear"/>
              </w:rPr>
              <w:t>Нож канцелярский</w:t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Длина корпуса 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более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165 мм.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штука</w:t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Система блокировки лезвия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из цветного пластика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Одно лезвие в комплекте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/>
                <w:color w:val="212529"/>
                <w:sz w:val="20"/>
                <w:szCs w:val="20"/>
              </w:rPr>
              <w:t>да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Ширина лезвия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/>
                <w:color w:val="212529"/>
                <w:sz w:val="20"/>
                <w:szCs w:val="20"/>
              </w:rPr>
              <w:t>Не более 18 мм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0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hd w:fill="auto" w:val="clear"/>
              </w:rPr>
              <w:t>Блок для записей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Arial"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непроклеенный</w:t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Длина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/>
                <w:color w:val="212529"/>
                <w:sz w:val="20"/>
                <w:szCs w:val="20"/>
              </w:rPr>
              <w:t xml:space="preserve">Не более 90 мм 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штука</w:t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Количество листов в блоке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/>
                <w:color w:val="212529"/>
                <w:sz w:val="20"/>
                <w:szCs w:val="20"/>
              </w:rPr>
              <w:t>1000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Фигурные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/>
                <w:color w:val="212529"/>
                <w:sz w:val="20"/>
                <w:szCs w:val="20"/>
              </w:rPr>
              <w:t>нет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Количество цветов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/>
                <w:color w:val="212529"/>
                <w:sz w:val="20"/>
                <w:szCs w:val="20"/>
              </w:rPr>
              <w:t>1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Тип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Без клейкого края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В боксе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/>
                <w:color w:val="212529"/>
                <w:sz w:val="20"/>
                <w:szCs w:val="20"/>
              </w:rPr>
              <w:t>нет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Ширина</w:t>
            </w:r>
          </w:p>
        </w:tc>
        <w:tc>
          <w:tcPr>
            <w:tcW w:w="277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/>
                <w:color w:val="212529"/>
                <w:sz w:val="20"/>
                <w:szCs w:val="20"/>
              </w:rPr>
              <w:t>Не более 90 мм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013" w:type="dxa"/>
        <w:jc w:val="left"/>
        <w:tblInd w:w="-6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1" w:noVBand="1" w:lastRow="0" w:firstColumn="1" w:lastColumn="0" w:noHBand="0" w:val="04a0"/>
      </w:tblPr>
      <w:tblGrid>
        <w:gridCol w:w="563"/>
        <w:gridCol w:w="1811"/>
        <w:gridCol w:w="2611"/>
        <w:gridCol w:w="2665"/>
        <w:gridCol w:w="1363"/>
      </w:tblGrid>
      <w:tr>
        <w:trPr>
          <w:trHeight w:val="269" w:hRule="atLeast"/>
        </w:trPr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eastAsia="" w:cs="Times New Roman" w:eastAsiaTheme="minorEastAsia"/>
                <w:kern w:val="2"/>
                <w:sz w:val="20"/>
                <w:szCs w:val="20"/>
                <w:shd w:fill="auto" w:val="clear"/>
                <w:lang w:eastAsia="zh-CN" w:bidi="hi-IN"/>
              </w:rPr>
            </w:pPr>
            <w:r>
              <w:rPr>
                <w:rFonts w:eastAsia="" w:cs="Times New Roman" w:ascii="Times New Roman" w:hAnsi="Times New Roman" w:eastAsiaTheme="minorEastAsia"/>
                <w:kern w:val="2"/>
                <w:sz w:val="20"/>
                <w:szCs w:val="20"/>
                <w:shd w:fill="auto" w:val="clear"/>
                <w:lang w:eastAsia="zh-CN" w:bidi="hi-IN"/>
              </w:rPr>
              <w:t>Набор клейких закладок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цветов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/>
                <w:color w:val="212529"/>
                <w:sz w:val="20"/>
                <w:szCs w:val="20"/>
              </w:rPr>
              <w:t>Не менее 5</w:t>
            </w:r>
          </w:p>
        </w:tc>
        <w:tc>
          <w:tcPr>
            <w:tcW w:w="1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/>
                <w:color w:val="212529"/>
                <w:sz w:val="20"/>
                <w:szCs w:val="20"/>
              </w:rPr>
              <w:t>упаковка</w:t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1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1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листов (закладок)</w:t>
            </w:r>
          </w:p>
        </w:tc>
        <w:tc>
          <w:tcPr>
            <w:tcW w:w="266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/>
                <w:color w:val="212529"/>
                <w:sz w:val="20"/>
                <w:szCs w:val="20"/>
              </w:rPr>
              <w:t>Не менее 20 каждого цвета</w:t>
            </w:r>
          </w:p>
        </w:tc>
        <w:tc>
          <w:tcPr>
            <w:tcW w:w="13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/>
                <w:color w:val="212529"/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563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1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1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размер</w:t>
            </w:r>
          </w:p>
        </w:tc>
        <w:tc>
          <w:tcPr>
            <w:tcW w:w="266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/>
                <w:color w:val="212529"/>
                <w:sz w:val="20"/>
                <w:szCs w:val="20"/>
              </w:rPr>
              <w:t>12*45 мм</w:t>
            </w:r>
          </w:p>
        </w:tc>
        <w:tc>
          <w:tcPr>
            <w:tcW w:w="13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color w:val="212529"/>
                <w:sz w:val="20"/>
                <w:szCs w:val="20"/>
              </w:rPr>
            </w:pPr>
            <w:r>
              <w:rPr>
                <w:rFonts w:ascii="Times New Roman" w:hAnsi="Times New Roman"/>
                <w:color w:val="212529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af5"/>
        <w:tblW w:w="8963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51"/>
        <w:gridCol w:w="3811"/>
      </w:tblGrid>
      <w:tr>
        <w:trPr/>
        <w:tc>
          <w:tcPr>
            <w:tcW w:w="51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1"/>
              <w:widowControl w:val="false"/>
              <w:suppressAutoHyphens w:val="true"/>
              <w:spacing w:lineRule="auto" w:line="192" w:before="0" w:after="0"/>
              <w:ind w:right="-1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Заместитель руководителя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" w:hanging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1" w:hanging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2"/>
                <w:szCs w:val="22"/>
                <w:lang w:val="ru-RU" w:eastAsia="en-US" w:bidi="ar-SA"/>
              </w:rPr>
              <w:t>___________________Е.Г. Чупракова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МП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«____» _________ 2026 г.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/_____________________/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>МП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«____» _________ 2026 г.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134" w:right="567" w:header="0" w:top="1134" w:footer="0" w:bottom="1134" w:gutter="0"/>
      <w:pgNumType w:fmt="decimal"/>
      <w:formProt w:val="false"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ET">
    <w:charset w:val="cc"/>
    <w:family w:val="roman"/>
    <w:pitch w:val="variable"/>
  </w:font>
  <w:font w:name="tahoma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27a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f83e85"/>
    <w:rPr>
      <w:rFonts w:ascii="Times New Roman" w:hAnsi="Times New Roman" w:eastAsia="Times New Roman" w:cs="Times New Roman"/>
      <w:sz w:val="20"/>
      <w:szCs w:val="20"/>
    </w:rPr>
  </w:style>
  <w:style w:type="character" w:styleId="Style15" w:customStyle="1">
    <w:name w:val="Нижний колонтитул Знак"/>
    <w:basedOn w:val="DefaultParagraphFont"/>
    <w:qFormat/>
    <w:rsid w:val="00f83e85"/>
    <w:rPr>
      <w:rFonts w:ascii="Times New Roman" w:hAnsi="Times New Roman" w:eastAsia="Times New Roman" w:cs="Times New Roman"/>
      <w:sz w:val="20"/>
      <w:szCs w:val="20"/>
    </w:rPr>
  </w:style>
  <w:style w:type="character" w:styleId="Pagenumber">
    <w:name w:val="page number"/>
    <w:basedOn w:val="DefaultParagraphFont"/>
    <w:qFormat/>
    <w:rsid w:val="00f83e85"/>
    <w:rPr/>
  </w:style>
  <w:style w:type="character" w:styleId="Style16" w:customStyle="1">
    <w:name w:val="Текст выноски Знак"/>
    <w:basedOn w:val="DefaultParagraphFont"/>
    <w:uiPriority w:val="99"/>
    <w:semiHidden/>
    <w:qFormat/>
    <w:rsid w:val="006f3f3c"/>
    <w:rPr>
      <w:rFonts w:ascii="Segoe UI" w:hAnsi="Segoe UI" w:cs="Segoe UI"/>
      <w:sz w:val="18"/>
      <w:szCs w:val="18"/>
    </w:rPr>
  </w:style>
  <w:style w:type="character" w:styleId="2" w:customStyle="1">
    <w:name w:val="Основной текст (2)_"/>
    <w:basedOn w:val="DefaultParagraphFont"/>
    <w:link w:val="20"/>
    <w:qFormat/>
    <w:rsid w:val="00217adb"/>
    <w:rPr>
      <w:rFonts w:ascii="Times New Roman" w:hAnsi="Times New Roman" w:eastAsia="Times New Roman" w:cs="Times New Roman"/>
      <w:shd w:fill="FFFFFF" w:val="clear"/>
    </w:rPr>
  </w:style>
  <w:style w:type="character" w:styleId="2Arial95pt" w:customStyle="1">
    <w:name w:val="Основной текст (2) + Arial;9;5 pt"/>
    <w:basedOn w:val="2"/>
    <w:qFormat/>
    <w:rsid w:val="00217adb"/>
    <w:rPr>
      <w:rFonts w:ascii="Arial" w:hAnsi="Arial" w:eastAsia="Arial" w:cs="Arial"/>
      <w:color w:val="000000"/>
      <w:spacing w:val="0"/>
      <w:w w:val="100"/>
      <w:sz w:val="19"/>
      <w:szCs w:val="19"/>
      <w:shd w:fill="FFFFFF" w:val="clear"/>
      <w:lang w:val="ru-RU" w:eastAsia="ru-RU" w:bidi="ru-RU"/>
    </w:rPr>
  </w:style>
  <w:style w:type="character" w:styleId="210pt" w:customStyle="1">
    <w:name w:val="Основной текст (2) + 10 pt;Курсив"/>
    <w:basedOn w:val="2"/>
    <w:qFormat/>
    <w:rsid w:val="00217adb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shd w:fill="FFFFFF" w:val="clear"/>
      <w:lang w:val="ru-RU" w:eastAsia="ru-RU" w:bidi="ru-RU"/>
    </w:rPr>
  </w:style>
  <w:style w:type="character" w:styleId="Style17" w:customStyle="1">
    <w:name w:val="Интернет-ссылка"/>
    <w:rPr>
      <w:color w:val="0000FF"/>
      <w:u w:val="single"/>
    </w:rPr>
  </w:style>
  <w:style w:type="character" w:styleId="Style18" w:customStyle="1">
    <w:name w:val="Выделение жирным"/>
    <w:qFormat/>
    <w:rPr>
      <w:b/>
      <w:bCs/>
    </w:rPr>
  </w:style>
  <w:style w:type="character" w:styleId="16" w:customStyle="1">
    <w:name w:val="Основной шрифт абзаца16"/>
    <w:qFormat/>
    <w:rPr/>
  </w:style>
  <w:style w:type="character" w:styleId="Blk" w:customStyle="1">
    <w:name w:val="blk"/>
    <w:basedOn w:val="16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0">
    <w:name w:val="Body Text"/>
    <w:basedOn w:val="Normal"/>
    <w:pPr>
      <w:spacing w:before="0" w:after="140"/>
    </w:pPr>
    <w:rPr/>
  </w:style>
  <w:style w:type="paragraph" w:styleId="Style21">
    <w:name w:val="List"/>
    <w:basedOn w:val="Style20"/>
    <w:pPr/>
    <w:rPr>
      <w:rFonts w:cs="Lucida Sans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ucida Sans"/>
    </w:rPr>
  </w:style>
  <w:style w:type="paragraph" w:styleId="Style24">
    <w:name w:val="Title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Style25" w:customStyle="1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rsid w:val="00f83e8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Style27">
    <w:name w:val="Footer"/>
    <w:basedOn w:val="Normal"/>
    <w:rsid w:val="00f83e8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83e85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0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6f3f3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21" w:customStyle="1">
    <w:name w:val="Основной текст (2)"/>
    <w:basedOn w:val="Normal"/>
    <w:link w:val="2"/>
    <w:qFormat/>
    <w:rsid w:val="00217adb"/>
    <w:pPr>
      <w:widowControl w:val="false"/>
      <w:shd w:val="clear" w:color="auto" w:fill="FFFFFF"/>
      <w:spacing w:lineRule="atLeast" w:line="0" w:before="0" w:after="0"/>
      <w:ind w:hanging="580"/>
    </w:pPr>
    <w:rPr>
      <w:rFonts w:ascii="Times New Roman" w:hAnsi="Times New Roman" w:eastAsia="Times New Roman" w:cs="Times New Roman"/>
    </w:rPr>
  </w:style>
  <w:style w:type="paragraph" w:styleId="1" w:customStyle="1">
    <w:name w:val="Обычный1"/>
    <w:qFormat/>
    <w:rsid w:val="006d09a2"/>
    <w:pPr>
      <w:widowControl/>
      <w:suppressAutoHyphens w:val="true"/>
      <w:bidi w:val="0"/>
      <w:spacing w:before="0" w:after="0"/>
      <w:jc w:val="both"/>
    </w:pPr>
    <w:rPr>
      <w:rFonts w:ascii="TimesET" w:hAnsi="TimesET" w:eastAsia="Calibri" w:cs="TimesET"/>
      <w:color w:val="auto"/>
      <w:kern w:val="0"/>
      <w:sz w:val="24"/>
      <w:szCs w:val="24"/>
      <w:lang w:val="ru-RU" w:eastAsia="ar-SA" w:bidi="ar-SA"/>
    </w:rPr>
  </w:style>
  <w:style w:type="paragraph" w:styleId="Style28" w:customStyle="1">
    <w:name w:val="Содержимое таблицы"/>
    <w:basedOn w:val="Normal"/>
    <w:qFormat/>
    <w:pPr>
      <w:suppressLineNumbers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Style29" w:customStyle="1">
    <w:name w:val="Заголовок таблицы"/>
    <w:basedOn w:val="Style28"/>
    <w:qFormat/>
    <w:pPr>
      <w:jc w:val="center"/>
    </w:pPr>
    <w:rPr>
      <w:b/>
      <w:bCs/>
    </w:rPr>
  </w:style>
  <w:style w:type="paragraph" w:styleId="Style61">
    <w:name w:val="Style6"/>
    <w:basedOn w:val="Normal"/>
    <w:qFormat/>
    <w:pPr>
      <w:widowControl w:val="false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39"/>
    <w:rsid w:val="00f83e85"/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1395</TotalTime>
  <Application>LibreOffice/7.1.4.2$Windows_x86 LibreOffice_project/a529a4fab45b75fefc5b6226684193eb000654f6</Application>
  <AppVersion>15.0000</AppVersion>
  <Pages>7</Pages>
  <Words>1703</Words>
  <Characters>11484</Characters>
  <CharactersWithSpaces>13064</CharactersWithSpaces>
  <Paragraphs>305</Paragraphs>
  <Company>DNS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2020-02-26T05:30:00Z</dcterms:created>
  <dc:creator>Лариса</dc:creator>
  <dc:description/>
  <dc:language>ru-RU</dc:language>
  <cp:lastModifiedBy/>
  <cp:lastPrinted>2025-02-25T15:59:00Z</cp:lastPrinted>
  <dcterms:modified xsi:type="dcterms:W3CDTF">2026-02-02T09:41:13Z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