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ЦК))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подготовки обоснования НМЦ</w:t>
      </w:r>
      <w:r>
        <w:rPr>
          <w:rFonts w:ascii="Times New Roman" w:hAnsi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cs="Times New Roman"/>
          <w:sz w:val="28"/>
          <w:szCs w:val="28"/>
        </w:rPr>
        <w:t xml:space="preserve">ЦК):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ко</w:t>
      </w:r>
      <w:r>
        <w:rPr>
          <w:rFonts w:ascii="Times New Roman" w:hAnsi="Times New Roman" w:cs="Times New Roman"/>
          <w:sz w:val="28"/>
          <w:szCs w:val="28"/>
        </w:rPr>
        <w:t xml:space="preserve">нтракта: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Оказание услуг по ремонту дизель-генераторной установки для нужд Управления Федерального казначейства 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(прочая закупка)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Используемый метод определения Н</w:t>
      </w:r>
      <w:r>
        <w:rPr>
          <w:rFonts w:ascii="Times New Roman" w:hAnsi="Times New Roman" w:cs="Times New Roman"/>
          <w:sz w:val="28"/>
          <w:szCs w:val="28"/>
        </w:rPr>
        <w:t xml:space="preserve">МЦ</w:t>
      </w:r>
      <w:r>
        <w:rPr>
          <w:rFonts w:ascii="Times New Roman" w:hAnsi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cs="Times New Roman"/>
          <w:sz w:val="28"/>
          <w:szCs w:val="28"/>
        </w:rPr>
        <w:t xml:space="preserve">ЦК):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Метод сопоставим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ых рыночных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цен (анализ рынка)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запросов ценовой информац</w:t>
      </w:r>
      <w:r>
        <w:rPr>
          <w:rFonts w:ascii="Times New Roman" w:hAnsi="Times New Roman" w:cs="Times New Roman"/>
          <w:sz w:val="28"/>
          <w:szCs w:val="28"/>
        </w:rPr>
        <w:t xml:space="preserve">ии (в </w:t>
      </w:r>
      <w:r>
        <w:rPr>
          <w:rFonts w:ascii="Times New Roman" w:hAnsi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cs="Times New Roman"/>
          <w:sz w:val="28"/>
          <w:szCs w:val="28"/>
        </w:rPr>
        <w:t xml:space="preserve">. в ЕИС): </w:t>
      </w:r>
      <w:r>
        <w:rPr>
          <w:rFonts w:ascii="Times New Roman" w:hAnsi="Times New Roman" w:cs="Times New Roman"/>
          <w:sz w:val="28"/>
          <w:szCs w:val="28"/>
        </w:rPr>
        <w:t xml:space="preserve">Запрос направлен в 5 организаций: исх. от </w:t>
      </w: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05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56-26-16/2229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ЕИС от </w:t>
      </w: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05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№ 085840000012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000</w:t>
      </w:r>
      <w:r>
        <w:rPr>
          <w:rFonts w:ascii="Times New Roman" w:hAnsi="Times New Roman" w:cs="Times New Roman"/>
          <w:sz w:val="28"/>
          <w:szCs w:val="28"/>
        </w:rPr>
        <w:t xml:space="preserve">227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получен от 3 организаций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Источник № 1 – </w:t>
      </w:r>
      <w:r>
        <w:rPr>
          <w:rFonts w:ascii="Times New Roman" w:hAnsi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cs="Times New Roman"/>
          <w:sz w:val="28"/>
          <w:szCs w:val="28"/>
        </w:rPr>
        <w:t xml:space="preserve">. № 5338 </w:t>
      </w:r>
      <w:r>
        <w:rPr>
          <w:rFonts w:ascii="Times New Roman" w:hAnsi="Times New Roman" w:cs="Times New Roman"/>
          <w:sz w:val="28"/>
          <w:szCs w:val="28"/>
        </w:rPr>
        <w:t xml:space="preserve">от 18.05.2026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Источник № 2 - </w:t>
      </w:r>
      <w:r>
        <w:rPr>
          <w:rFonts w:ascii="Times New Roman" w:hAnsi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cs="Times New Roman"/>
          <w:sz w:val="28"/>
          <w:szCs w:val="28"/>
        </w:rPr>
        <w:t xml:space="preserve">. № 5339 </w:t>
      </w:r>
      <w:r>
        <w:rPr>
          <w:rFonts w:ascii="Times New Roman" w:hAnsi="Times New Roman" w:cs="Times New Roman"/>
          <w:sz w:val="28"/>
          <w:szCs w:val="28"/>
        </w:rPr>
        <w:t xml:space="preserve">от 18.05.2026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Источник № 3 – </w:t>
      </w:r>
      <w:r>
        <w:rPr>
          <w:rFonts w:ascii="Times New Roman" w:hAnsi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cs="Times New Roman"/>
          <w:sz w:val="28"/>
          <w:szCs w:val="28"/>
        </w:rPr>
        <w:t xml:space="preserve">. № 5341 </w:t>
      </w:r>
      <w:r>
        <w:rPr>
          <w:rFonts w:ascii="Times New Roman" w:hAnsi="Times New Roman" w:cs="Times New Roman"/>
          <w:sz w:val="28"/>
          <w:szCs w:val="28"/>
        </w:rPr>
        <w:t xml:space="preserve">от 18.05.2026.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Расчет НМЦК (ЦК) произведен по наименьшему коммерческому предложению Источник № 1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от 18.05.2026 № 5338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  <w:u w:val="single"/>
        </w:rPr>
      </w:r>
    </w:p>
    <w:tbl>
      <w:tblPr>
        <w:tblW w:w="15451" w:type="dxa"/>
        <w:tblInd w:w="-8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2410"/>
        <w:gridCol w:w="1134"/>
        <w:gridCol w:w="709"/>
        <w:gridCol w:w="567"/>
        <w:gridCol w:w="1134"/>
        <w:gridCol w:w="1134"/>
        <w:gridCol w:w="992"/>
        <w:gridCol w:w="851"/>
        <w:gridCol w:w="1134"/>
        <w:gridCol w:w="992"/>
        <w:gridCol w:w="992"/>
        <w:gridCol w:w="992"/>
        <w:gridCol w:w="1134"/>
      </w:tblGrid>
      <w:tr>
        <w:tblPrEx/>
        <w:trPr>
          <w:trHeight w:val="3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-39" w:right="-61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по КТРУ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согласно описанию объекта закупки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ind w:left="-62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62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62" w:right="-62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left="-137" w:right="-186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ind w:left="-137" w:right="-186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начальной цены единицы товара и начальной суммы цен единиц товара (работы, услуги)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цена единицы товара (работы, услуги) в том числе с учетом ЛБО (руб.)</w:t>
            </w:r>
            <w:r>
              <w:rPr>
                <w:rStyle w:val="69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ind w:left="-63" w:right="-6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63" w:right="-6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НМЦК (ЦК) /цена единицы товара (работы, услуги) с учетом ЛБО (руб.)</w:t>
            </w:r>
            <w:r>
              <w:rPr>
                <w:rStyle w:val="69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Ценовые значения анализа рынка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left="-75" w:right="-52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Коэфф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вариации (v)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2" w:right="-6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Наименьшая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рыночная цена за единицу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-72" w:right="-6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 с учетом нормативных затрат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left="-63" w:right="-54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Итоговое значение НМЦК (ЦК) (руб.)</w:t>
            </w:r>
            <w:r>
              <w:rPr>
                <w:rStyle w:val="69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39" w:right="-44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39" w:right="-44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39" w:right="-44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80" w:right="-45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80" w:right="-45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80" w:right="-45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79" w:right="-46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79" w:right="-46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79" w:right="-46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contextualSpacing/>
        <w:spacing w:after="0" w:line="240" w:lineRule="auto"/>
        <w:rPr>
          <w:rFonts w:cstheme="minorHAnsi"/>
          <w:sz w:val="2"/>
          <w:szCs w:val="2"/>
        </w:rPr>
      </w:pPr>
      <w:r>
        <w:rPr>
          <w:rFonts w:cstheme="minorHAnsi"/>
          <w:sz w:val="2"/>
          <w:szCs w:val="2"/>
        </w:rPr>
      </w:r>
      <w:r>
        <w:rPr>
          <w:rFonts w:cstheme="minorHAnsi"/>
          <w:sz w:val="2"/>
          <w:szCs w:val="2"/>
        </w:rPr>
      </w:r>
    </w:p>
    <w:tbl>
      <w:tblPr>
        <w:tblStyle w:val="694"/>
        <w:tblW w:w="5021" w:type="pct"/>
        <w:jc w:val="center"/>
        <w:tblLook w:val="04A0" w:firstRow="1" w:lastRow="0" w:firstColumn="1" w:lastColumn="0" w:noHBand="0" w:noVBand="1"/>
      </w:tblPr>
      <w:tblGrid>
        <w:gridCol w:w="326"/>
        <w:gridCol w:w="828"/>
        <w:gridCol w:w="2503"/>
        <w:gridCol w:w="1125"/>
        <w:gridCol w:w="699"/>
        <w:gridCol w:w="613"/>
        <w:gridCol w:w="1128"/>
        <w:gridCol w:w="1073"/>
        <w:gridCol w:w="1067"/>
        <w:gridCol w:w="842"/>
        <w:gridCol w:w="1089"/>
        <w:gridCol w:w="1067"/>
        <w:gridCol w:w="1067"/>
        <w:gridCol w:w="925"/>
        <w:gridCol w:w="1066"/>
      </w:tblGrid>
      <w:tr>
        <w:tblPrEx/>
        <w:trPr>
          <w:jc w:val="center"/>
          <w:tblHeader/>
        </w:trPr>
        <w:tc>
          <w:tcPr>
            <w:tcW w:w="106" w:type="pc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" w:type="pc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5" w:type="pc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7" w:type="pc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9" w:type="pc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6" w:type="pc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8" w:type="pc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6" w:type="pc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3" w:type="pc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6" w:type="pc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6" w:type="pc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0" w:type="pc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6" w:type="pc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1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Оказание услуг по ремонту дизель-генераторной установки для нужд Управления Федерального казначейства по Волгоградской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65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ед.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9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7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312500,00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6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816667,00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6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312500,00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0" w:type="pct"/>
            <w:vAlign w:val="center"/>
            <w:textDirection w:val="lrTb"/>
            <w:noWrap w:val="false"/>
          </w:tcPr>
          <w:p>
            <w:pPr>
              <w:ind w:left="-173" w:right="-1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346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312500,00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W w:w="1976" w:type="pct"/>
            <w:vAlign w:val="center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ind w:left="-107" w:right="-6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ind w:left="-63" w:right="-9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3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4"/>
            <w:tcW w:w="1318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НМЦК (ЦК):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0" w:type="pct"/>
            <w:vAlign w:val="center"/>
            <w:textDirection w:val="lrTb"/>
            <w:noWrap w:val="false"/>
          </w:tcPr>
          <w:p>
            <w:pPr>
              <w:ind w:left="-173" w:right="-1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346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312500,00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contextualSpacing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</w:r>
      <w:r>
        <w:rPr>
          <w:rFonts w:ascii="Times New Roman" w:hAnsi="Times New Roman" w:cs="Times New Roman"/>
          <w:sz w:val="20"/>
          <w:szCs w:val="20"/>
          <w:lang w:val="en-US"/>
        </w:rPr>
      </w:r>
    </w:p>
    <w:sectPr>
      <w:headerReference w:type="default" r:id="rId9"/>
      <w:footnotePr/>
      <w:endnotePr/>
      <w:type w:val="nextPage"/>
      <w:pgSz w:w="16839" w:h="11907" w:orient="landscape"/>
      <w:pgMar w:top="1134" w:right="567" w:bottom="993" w:left="1134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jc w:val="center"/>
    </w:pPr>
    <w:r/>
    <w:r/>
  </w:p>
  <w:p>
    <w:pPr>
      <w:pStyle w:val="695"/>
      <w:jc w:val="center"/>
    </w:pPr>
    <w:r/>
    <w:r/>
  </w:p>
  <w:p>
    <w:pPr>
      <w:pStyle w:val="695"/>
      <w:jc w:val="center"/>
      <w:rPr>
        <w:rFonts w:ascii="Times New Roman" w:hAnsi="Times New Roman" w:cs="Times New Roman"/>
      </w:rPr>
    </w:pPr>
    <w:r/>
    <w:sdt>
      <w:sdtPr>
        <w15:appearance w15:val="boundingBox"/>
        <w:id w:val="265120101"/>
        <w:docPartObj>
          <w:docPartGallery w:val="Page Numbers (Top of Page)"/>
          <w:docPartUnique w:val="true"/>
        </w:docPartObj>
        <w:rPr/>
      </w:sdtPr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</w:sdtContent>
    </w:sdt>
    <w:r/>
    <w:r>
      <w:rPr>
        <w:rFonts w:ascii="Times New Roman" w:hAnsi="Times New Roman" w:cs="Times New Roman"/>
      </w:rPr>
    </w:r>
  </w:p>
  <w:p>
    <w:pPr>
      <w:pStyle w:val="69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6"/>
    <w:next w:val="68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8"/>
    <w:link w:val="68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6"/>
    <w:next w:val="68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6"/>
    <w:next w:val="68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6"/>
    <w:next w:val="68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6"/>
    <w:next w:val="68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6"/>
    <w:next w:val="68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6"/>
    <w:next w:val="68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6"/>
    <w:next w:val="68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6"/>
    <w:next w:val="68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8"/>
    <w:link w:val="34"/>
    <w:uiPriority w:val="10"/>
    <w:rPr>
      <w:sz w:val="48"/>
      <w:szCs w:val="48"/>
    </w:rPr>
  </w:style>
  <w:style w:type="paragraph" w:styleId="36">
    <w:name w:val="Subtitle"/>
    <w:basedOn w:val="686"/>
    <w:next w:val="68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8"/>
    <w:link w:val="36"/>
    <w:uiPriority w:val="11"/>
    <w:rPr>
      <w:sz w:val="24"/>
      <w:szCs w:val="24"/>
    </w:rPr>
  </w:style>
  <w:style w:type="paragraph" w:styleId="38">
    <w:name w:val="Quote"/>
    <w:basedOn w:val="686"/>
    <w:next w:val="68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6"/>
    <w:next w:val="68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8"/>
    <w:link w:val="695"/>
    <w:uiPriority w:val="99"/>
  </w:style>
  <w:style w:type="character" w:styleId="45">
    <w:name w:val="Footer Char"/>
    <w:basedOn w:val="688"/>
    <w:link w:val="697"/>
    <w:uiPriority w:val="99"/>
  </w:style>
  <w:style w:type="paragraph" w:styleId="46">
    <w:name w:val="Caption"/>
    <w:basedOn w:val="686"/>
    <w:next w:val="68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91"/>
    <w:uiPriority w:val="99"/>
    <w:rPr>
      <w:sz w:val="18"/>
    </w:rPr>
  </w:style>
  <w:style w:type="paragraph" w:styleId="178">
    <w:name w:val="endnote text"/>
    <w:basedOn w:val="68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8"/>
    <w:uiPriority w:val="99"/>
    <w:semiHidden/>
    <w:unhideWhenUsed/>
    <w:rPr>
      <w:vertAlign w:val="superscript"/>
    </w:rPr>
  </w:style>
  <w:style w:type="paragraph" w:styleId="181">
    <w:name w:val="toc 1"/>
    <w:basedOn w:val="686"/>
    <w:next w:val="68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6"/>
    <w:next w:val="68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6"/>
    <w:next w:val="68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6"/>
    <w:next w:val="68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6"/>
    <w:next w:val="68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6"/>
    <w:next w:val="68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6"/>
    <w:next w:val="68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6"/>
    <w:next w:val="68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6"/>
    <w:next w:val="68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6"/>
    <w:next w:val="686"/>
    <w:uiPriority w:val="99"/>
    <w:unhideWhenUsed/>
    <w:pPr>
      <w:spacing w:after="0" w:afterAutospacing="0"/>
    </w:pPr>
  </w:style>
  <w:style w:type="paragraph" w:styleId="686" w:default="1">
    <w:name w:val="Normal"/>
    <w:qFormat/>
  </w:style>
  <w:style w:type="paragraph" w:styleId="687">
    <w:name w:val="Heading 2"/>
    <w:basedOn w:val="686"/>
    <w:next w:val="686"/>
    <w:link w:val="706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paragraph" w:styleId="691">
    <w:name w:val="footnote text"/>
    <w:basedOn w:val="686"/>
    <w:link w:val="69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92" w:customStyle="1">
    <w:name w:val="Текст сноски Знак"/>
    <w:basedOn w:val="688"/>
    <w:link w:val="691"/>
    <w:uiPriority w:val="99"/>
    <w:semiHidden/>
    <w:rPr>
      <w:sz w:val="20"/>
      <w:szCs w:val="20"/>
    </w:rPr>
  </w:style>
  <w:style w:type="character" w:styleId="693">
    <w:name w:val="footnote reference"/>
    <w:basedOn w:val="688"/>
    <w:uiPriority w:val="99"/>
    <w:semiHidden/>
    <w:unhideWhenUsed/>
    <w:rPr>
      <w:vertAlign w:val="superscript"/>
    </w:rPr>
  </w:style>
  <w:style w:type="table" w:styleId="694">
    <w:name w:val="Table Grid"/>
    <w:basedOn w:val="6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5">
    <w:name w:val="Header"/>
    <w:basedOn w:val="686"/>
    <w:link w:val="6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6" w:customStyle="1">
    <w:name w:val="Верхний колонтитул Знак"/>
    <w:basedOn w:val="688"/>
    <w:link w:val="695"/>
    <w:uiPriority w:val="99"/>
  </w:style>
  <w:style w:type="paragraph" w:styleId="697">
    <w:name w:val="Footer"/>
    <w:basedOn w:val="686"/>
    <w:link w:val="6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8" w:customStyle="1">
    <w:name w:val="Нижний колонтитул Знак"/>
    <w:basedOn w:val="688"/>
    <w:link w:val="697"/>
    <w:uiPriority w:val="99"/>
  </w:style>
  <w:style w:type="character" w:styleId="699">
    <w:name w:val="annotation reference"/>
    <w:basedOn w:val="688"/>
    <w:uiPriority w:val="99"/>
    <w:semiHidden/>
    <w:unhideWhenUsed/>
    <w:rPr>
      <w:sz w:val="16"/>
      <w:szCs w:val="16"/>
    </w:rPr>
  </w:style>
  <w:style w:type="paragraph" w:styleId="700">
    <w:name w:val="annotation text"/>
    <w:basedOn w:val="686"/>
    <w:link w:val="70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01" w:customStyle="1">
    <w:name w:val="Текст примечания Знак"/>
    <w:basedOn w:val="688"/>
    <w:link w:val="700"/>
    <w:uiPriority w:val="99"/>
    <w:semiHidden/>
    <w:rPr>
      <w:sz w:val="20"/>
      <w:szCs w:val="20"/>
    </w:rPr>
  </w:style>
  <w:style w:type="paragraph" w:styleId="702">
    <w:name w:val="annotation subject"/>
    <w:basedOn w:val="700"/>
    <w:next w:val="700"/>
    <w:link w:val="703"/>
    <w:uiPriority w:val="99"/>
    <w:semiHidden/>
    <w:unhideWhenUsed/>
    <w:rPr>
      <w:b/>
      <w:bCs/>
    </w:rPr>
  </w:style>
  <w:style w:type="character" w:styleId="703" w:customStyle="1">
    <w:name w:val="Тема примечания Знак"/>
    <w:basedOn w:val="701"/>
    <w:link w:val="702"/>
    <w:uiPriority w:val="99"/>
    <w:semiHidden/>
    <w:rPr>
      <w:b/>
      <w:bCs/>
      <w:sz w:val="20"/>
      <w:szCs w:val="20"/>
    </w:rPr>
  </w:style>
  <w:style w:type="paragraph" w:styleId="704">
    <w:name w:val="Balloon Text"/>
    <w:basedOn w:val="686"/>
    <w:link w:val="70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5" w:customStyle="1">
    <w:name w:val="Текст выноски Знак"/>
    <w:basedOn w:val="688"/>
    <w:link w:val="704"/>
    <w:uiPriority w:val="99"/>
    <w:semiHidden/>
    <w:rPr>
      <w:rFonts w:ascii="Tahoma" w:hAnsi="Tahoma" w:cs="Tahoma"/>
      <w:sz w:val="16"/>
      <w:szCs w:val="16"/>
    </w:rPr>
  </w:style>
  <w:style w:type="character" w:styleId="706" w:customStyle="1">
    <w:name w:val="Заголовок 2 Знак"/>
    <w:basedOn w:val="688"/>
    <w:link w:val="687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07">
    <w:name w:val="List Paragraph"/>
    <w:basedOn w:val="68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3925-71A3-4740-8604-6E990322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Малышев Олег Александрович</cp:lastModifiedBy>
  <cp:revision>30</cp:revision>
  <dcterms:created xsi:type="dcterms:W3CDTF">2026-01-13T07:35:00Z</dcterms:created>
  <dcterms:modified xsi:type="dcterms:W3CDTF">2026-05-26T12:35:36Z</dcterms:modified>
</cp:coreProperties>
</file>