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B37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№ </w:t>
      </w:r>
    </w:p>
    <w:p w14:paraId="2605DBBC">
      <w:pPr>
        <w:jc w:val="both"/>
      </w:pPr>
      <w:r>
        <w:t xml:space="preserve"> </w:t>
      </w:r>
      <w:r>
        <w:rPr>
          <w:rFonts w:hint="default"/>
          <w:lang w:val="ru-RU"/>
        </w:rP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default"/>
          <w:lang w:val="ru-RU"/>
        </w:rPr>
        <w:t xml:space="preserve">           </w:t>
      </w:r>
      <w:r>
        <w:t xml:space="preserve">       «___»___________2026г.</w:t>
      </w:r>
    </w:p>
    <w:p w14:paraId="310317CF">
      <w:pPr>
        <w:tabs>
          <w:tab w:val="left" w:pos="2064"/>
        </w:tabs>
        <w:jc w:val="both"/>
      </w:pPr>
      <w:r>
        <w:tab/>
      </w:r>
    </w:p>
    <w:p w14:paraId="28D43FC5">
      <w:pPr>
        <w:ind w:firstLine="426"/>
        <w:jc w:val="both"/>
      </w:pPr>
      <w:r>
        <w:rPr>
          <w:b/>
          <w:color w:val="000000"/>
          <w:lang w:val="ru-RU"/>
        </w:rPr>
        <w:t>Федеральное</w:t>
      </w:r>
      <w:r>
        <w:rPr>
          <w:rFonts w:hint="default"/>
          <w:b/>
          <w:color w:val="000000"/>
          <w:lang w:val="ru-RU"/>
        </w:rPr>
        <w:t xml:space="preserve"> государственное бюджетное учреждение «Национальный парк «Нижняя Кама» (ФГБУ «Национальный парк «Нижняя Кама»)</w:t>
      </w:r>
      <w:r>
        <w:t xml:space="preserve"> именуемое в дальнейшем "Заказчик", в лице директора </w:t>
      </w:r>
      <w:r>
        <w:rPr>
          <w:lang w:val="ru-RU"/>
        </w:rPr>
        <w:t>Имамова</w:t>
      </w:r>
      <w:r>
        <w:rPr>
          <w:rFonts w:hint="default"/>
          <w:lang w:val="ru-RU"/>
        </w:rPr>
        <w:t xml:space="preserve"> Алексея Айратовича</w:t>
      </w:r>
      <w:r>
        <w:t xml:space="preserve">, действующего на основании Устава, с одной стороны, и </w:t>
      </w:r>
      <w:r>
        <w:rPr>
          <w:rFonts w:hint="default"/>
          <w:lang w:val="ru-RU"/>
        </w:rPr>
        <w:t>______________________________________</w:t>
      </w:r>
      <w:r>
        <w:t xml:space="preserve">, именуемое в дальнейшем "Исполнитель", в лице </w:t>
      </w:r>
      <w:r>
        <w:rPr>
          <w:rFonts w:hint="default"/>
          <w:lang w:val="ru-RU"/>
        </w:rPr>
        <w:t>_________________________________</w:t>
      </w:r>
      <w:r>
        <w:t xml:space="preserve">, действующего на основании Устава, с другой стороны, совместно </w:t>
      </w:r>
      <w:r>
        <w:rPr>
          <w:lang w:val="ru-RU"/>
        </w:rPr>
        <w:t>на</w:t>
      </w:r>
      <w:r>
        <w:rPr>
          <w:rFonts w:hint="default"/>
          <w:lang w:val="ru-RU"/>
        </w:rPr>
        <w:t xml:space="preserve"> основании п.5 ст.93 Федерального закона от 05.04.2013 №44-ФЗ </w:t>
      </w:r>
      <w:r>
        <w:t>в дальнейшем именуемые "Стороны", заключили  настоящий Договор о нижеследующем:</w:t>
      </w:r>
    </w:p>
    <w:p w14:paraId="7CF11101">
      <w:pPr>
        <w:jc w:val="center"/>
        <w:rPr>
          <w:b/>
        </w:rPr>
      </w:pPr>
      <w:r>
        <w:rPr>
          <w:b/>
        </w:rPr>
        <w:t>1. Предмет Договора.</w:t>
      </w:r>
    </w:p>
    <w:p w14:paraId="51884320">
      <w:pPr>
        <w:ind w:firstLine="426"/>
        <w:jc w:val="both"/>
      </w:pPr>
      <w:r>
        <w:t xml:space="preserve">1.1. Заказчик поручает, а Исполнитель принимает на себя обязательства по оказанию услуг </w:t>
      </w:r>
      <w:r>
        <w:rPr>
          <w:b/>
        </w:rPr>
        <w:t xml:space="preserve">по </w:t>
      </w:r>
      <w:r>
        <w:rPr>
          <w:b/>
          <w:shd w:val="clear" w:color="auto" w:fill="FFFFFF"/>
        </w:rPr>
        <w:t>поверке средств измерений</w:t>
      </w:r>
      <w:r>
        <w:t>, в соответствии с</w:t>
      </w:r>
      <w:r>
        <w:rPr>
          <w:rFonts w:hint="default"/>
          <w:lang w:val="ru-RU"/>
        </w:rPr>
        <w:t xml:space="preserve"> Техническим заданием,</w:t>
      </w:r>
      <w:r>
        <w:t xml:space="preserve"> Спецификацией №1 (Приложение №1). </w:t>
      </w:r>
    </w:p>
    <w:p w14:paraId="3423B754">
      <w:pPr>
        <w:ind w:firstLine="426"/>
        <w:jc w:val="both"/>
      </w:pPr>
      <w:r>
        <w:t>1.2. Требования к предмету Договора отражены в Законе Российской Федерации № 102-ФЗ  от 26.06.2008г. "Об обеспечении единства измерений", Приказе Минпромторга РФ № 2510 от 31 июля 2020 г. "Об утверждении Порядка проведения поверки средств измерений, требования к знаку поверки и содержанию свидетельства о поверке" и другие законодательные акты.</w:t>
      </w:r>
    </w:p>
    <w:p w14:paraId="3FEE3CC1">
      <w:pPr>
        <w:ind w:firstLine="426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1.3. </w:t>
      </w:r>
      <w:r>
        <w:rPr>
          <w:lang w:val="ru-RU"/>
        </w:rPr>
        <w:t>ИКЗ</w:t>
      </w:r>
      <w:r>
        <w:rPr>
          <w:rFonts w:hint="default"/>
          <w:lang w:val="ru-RU"/>
        </w:rPr>
        <w:t xml:space="preserve"> _______________________________</w:t>
      </w:r>
    </w:p>
    <w:p w14:paraId="0DE68AC7">
      <w:pPr>
        <w:ind w:firstLine="426"/>
        <w:jc w:val="both"/>
        <w:rPr>
          <w:rFonts w:hint="default"/>
          <w:lang w:val="ru-RU"/>
        </w:rPr>
      </w:pPr>
    </w:p>
    <w:p w14:paraId="72370F8C">
      <w:pPr>
        <w:ind w:hanging="141"/>
        <w:jc w:val="center"/>
        <w:rPr>
          <w:b/>
        </w:rPr>
      </w:pPr>
      <w:r>
        <w:rPr>
          <w:b/>
        </w:rPr>
        <w:t>2. Стоимость Договора и порядок расчетов.</w:t>
      </w:r>
    </w:p>
    <w:p w14:paraId="14C5135C">
      <w:pPr>
        <w:ind w:firstLine="426"/>
        <w:jc w:val="both"/>
      </w:pPr>
      <w:r>
        <w:t xml:space="preserve">2.1. Стоимость услуг по настоящему Договору составляет </w:t>
      </w:r>
      <w:r>
        <w:rPr>
          <w:rFonts w:hint="default"/>
          <w:lang w:val="ru-RU"/>
        </w:rPr>
        <w:t>_______________</w:t>
      </w:r>
      <w:r>
        <w:t xml:space="preserve"> (</w:t>
      </w:r>
      <w:r>
        <w:rPr>
          <w:rFonts w:hint="default"/>
          <w:lang w:val="ru-RU"/>
        </w:rPr>
        <w:t>_______________________</w:t>
      </w:r>
      <w:r>
        <w:t xml:space="preserve">) рублей </w:t>
      </w:r>
      <w:r>
        <w:rPr>
          <w:rFonts w:hint="default"/>
          <w:lang w:val="ru-RU"/>
        </w:rPr>
        <w:t>__</w:t>
      </w:r>
      <w:r>
        <w:t xml:space="preserve"> копеек, в том числе НДС 22%: </w:t>
      </w:r>
      <w:r>
        <w:rPr>
          <w:rFonts w:hint="default"/>
          <w:lang w:val="ru-RU"/>
        </w:rPr>
        <w:t xml:space="preserve">(                         </w:t>
      </w:r>
      <w:r>
        <w:t xml:space="preserve">) рублей </w:t>
      </w:r>
      <w:r>
        <w:rPr>
          <w:rFonts w:hint="default"/>
          <w:lang w:val="ru-RU"/>
        </w:rPr>
        <w:t>_______</w:t>
      </w:r>
      <w:r>
        <w:t>копеек.</w:t>
      </w:r>
    </w:p>
    <w:p w14:paraId="748A389B">
      <w:pPr>
        <w:tabs>
          <w:tab w:val="left" w:pos="720"/>
          <w:tab w:val="left" w:pos="2127"/>
        </w:tabs>
        <w:ind w:firstLine="426"/>
        <w:jc w:val="both"/>
      </w:pPr>
      <w:r>
        <w:t xml:space="preserve">2.2. Платеж (постоплата) в размере 100% от общей стоимости оказываемых услуг осуществляется Заказчиком в течение 5 (Пяти) банковских дней с момента получения Заказчиком от Исполнителя </w:t>
      </w:r>
      <w:r>
        <w:rPr>
          <w:rStyle w:val="24"/>
          <w:b w:val="0"/>
          <w:i w:val="0"/>
          <w:color w:val="000000" w:themeColor="text1"/>
          <w14:textFill>
            <w14:solidFill>
              <w14:schemeClr w14:val="tx1"/>
            </w14:solidFill>
          </w14:textFill>
        </w:rPr>
        <w:t>Универсального передаточного документа (УПД).</w:t>
      </w:r>
    </w:p>
    <w:p w14:paraId="503F359D">
      <w:pPr>
        <w:ind w:firstLine="426"/>
        <w:jc w:val="both"/>
        <w:rPr>
          <w:rFonts w:hint="default"/>
          <w:lang w:val="ru-RU"/>
        </w:rPr>
      </w:pPr>
      <w:r>
        <w:t xml:space="preserve">2.3. Источник финансирования: </w:t>
      </w:r>
      <w:r>
        <w:rPr>
          <w:lang w:val="ru-RU"/>
        </w:rPr>
        <w:t>средства</w:t>
      </w:r>
      <w:r>
        <w:rPr>
          <w:rFonts w:hint="default"/>
          <w:lang w:val="ru-RU"/>
        </w:rPr>
        <w:t xml:space="preserve"> бюджетного учреждения.</w:t>
      </w:r>
    </w:p>
    <w:p w14:paraId="3EBF9041">
      <w:pPr>
        <w:ind w:firstLine="426"/>
        <w:jc w:val="both"/>
        <w:rPr>
          <w:rFonts w:hint="default"/>
          <w:lang w:val="ru-RU"/>
        </w:rPr>
      </w:pPr>
    </w:p>
    <w:p w14:paraId="4C02076E">
      <w:pPr>
        <w:ind w:firstLine="426"/>
        <w:jc w:val="center"/>
        <w:rPr>
          <w:b/>
        </w:rPr>
      </w:pPr>
      <w:r>
        <w:rPr>
          <w:b/>
        </w:rPr>
        <w:t>3. Срок выполнения услуг по Договору.</w:t>
      </w:r>
    </w:p>
    <w:p w14:paraId="04C552C4">
      <w:pPr>
        <w:tabs>
          <w:tab w:val="left" w:pos="720"/>
          <w:tab w:val="left" w:pos="2127"/>
        </w:tabs>
        <w:ind w:firstLine="426"/>
        <w:jc w:val="both"/>
      </w:pPr>
      <w:r>
        <w:t xml:space="preserve"> 3.1. Срок оказания услуг: в течение </w:t>
      </w:r>
      <w:r>
        <w:rPr>
          <w:rFonts w:hint="default"/>
          <w:lang w:val="ru-RU"/>
        </w:rPr>
        <w:t>5-10</w:t>
      </w:r>
      <w:r>
        <w:t xml:space="preserve"> рабочих дней с момента передачи средств измерений Исполнителю, если это допускается методикой поверки (калибровки, аттестации). В случае если оборудование Исполнителя для выполнения работ находится на поверке, калибровке или аттестации, а также в ремонте, то срок оказания услуг увеличивается на время проведения данных работ.</w:t>
      </w:r>
    </w:p>
    <w:p w14:paraId="13A4A2B2">
      <w:pPr>
        <w:tabs>
          <w:tab w:val="left" w:pos="720"/>
          <w:tab w:val="left" w:pos="2127"/>
        </w:tabs>
        <w:ind w:firstLine="426"/>
        <w:jc w:val="both"/>
        <w:rPr>
          <w:rStyle w:val="24"/>
          <w:b w:val="0"/>
          <w:i w:val="0"/>
          <w:color w:val="000000" w:themeColor="text1"/>
          <w14:textFill>
            <w14:solidFill>
              <w14:schemeClr w14:val="tx1"/>
            </w14:solidFill>
          </w14:textFill>
        </w:rPr>
      </w:pPr>
      <w:r>
        <w:t xml:space="preserve">3.2. Датой оказания услуг по настоящему Договору является дата подписания Заказчиком </w:t>
      </w:r>
      <w:r>
        <w:rPr>
          <w:rStyle w:val="24"/>
          <w:b w:val="0"/>
          <w:i w:val="0"/>
          <w:color w:val="000000" w:themeColor="text1"/>
          <w14:textFill>
            <w14:solidFill>
              <w14:schemeClr w14:val="tx1"/>
            </w14:solidFill>
          </w14:textFill>
        </w:rPr>
        <w:t>Универсального передаточного документа (УПД).</w:t>
      </w:r>
    </w:p>
    <w:p w14:paraId="00202391">
      <w:pPr>
        <w:tabs>
          <w:tab w:val="left" w:pos="720"/>
          <w:tab w:val="left" w:pos="2127"/>
        </w:tabs>
        <w:ind w:firstLine="426"/>
        <w:jc w:val="both"/>
        <w:rPr>
          <w:rStyle w:val="24"/>
          <w:rFonts w:hint="default"/>
          <w:b w:val="0"/>
          <w:i w:val="0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Style w:val="24"/>
          <w:rFonts w:hint="default"/>
          <w:b w:val="0"/>
          <w:i w:val="0"/>
          <w:color w:val="000000" w:themeColor="text1"/>
          <w:lang w:val="ru-RU"/>
          <w14:textFill>
            <w14:solidFill>
              <w14:schemeClr w14:val="tx1"/>
            </w14:solidFill>
          </w14:textFill>
        </w:rPr>
        <w:t>3.3. Срок действия Договора до 31.12.2026г.</w:t>
      </w:r>
    </w:p>
    <w:p w14:paraId="0D9810BD">
      <w:pPr>
        <w:tabs>
          <w:tab w:val="left" w:pos="720"/>
          <w:tab w:val="left" w:pos="2127"/>
        </w:tabs>
        <w:ind w:firstLine="426"/>
        <w:jc w:val="both"/>
        <w:rPr>
          <w:rStyle w:val="24"/>
          <w:rFonts w:hint="default"/>
          <w:b w:val="0"/>
          <w:i w:val="0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4633B430">
      <w:pPr>
        <w:ind w:firstLine="426"/>
        <w:jc w:val="center"/>
        <w:rPr>
          <w:b/>
        </w:rPr>
      </w:pPr>
      <w:r>
        <w:rPr>
          <w:b/>
        </w:rPr>
        <w:t>4. Сдача-приемка услуг.</w:t>
      </w:r>
    </w:p>
    <w:p w14:paraId="3F43601D">
      <w:pPr>
        <w:tabs>
          <w:tab w:val="left" w:pos="851"/>
        </w:tabs>
        <w:ind w:firstLine="426"/>
        <w:jc w:val="both"/>
        <w:rPr>
          <w:rStyle w:val="24"/>
          <w:b w:val="0"/>
          <w:i w:val="0"/>
          <w:color w:val="000000" w:themeColor="text1"/>
          <w14:textFill>
            <w14:solidFill>
              <w14:schemeClr w14:val="tx1"/>
            </w14:solidFill>
          </w14:textFill>
        </w:rPr>
      </w:pPr>
      <w:r>
        <w:t xml:space="preserve">4.1. В течение пяти дней после фактического оказания услуг, предусмотренных настоящим Договором, представителями Сторон производится приемка оказанных услуг по объему, качеству и соответствию требованиям, установленным в настоящем Договоре. Исполнитель предоставляет Заказчику </w:t>
      </w:r>
      <w:r>
        <w:rPr>
          <w:rStyle w:val="24"/>
          <w:b w:val="0"/>
          <w:i w:val="0"/>
          <w:color w:val="000000" w:themeColor="text1"/>
          <w14:textFill>
            <w14:solidFill>
              <w14:schemeClr w14:val="tx1"/>
            </w14:solidFill>
          </w14:textFill>
        </w:rPr>
        <w:t>Универсальный передаточный документ (УПД).</w:t>
      </w:r>
    </w:p>
    <w:p w14:paraId="0E51FAED">
      <w:pPr>
        <w:tabs>
          <w:tab w:val="left" w:pos="851"/>
        </w:tabs>
        <w:ind w:firstLine="426"/>
        <w:jc w:val="both"/>
        <w:rPr>
          <w:rFonts w:hint="default"/>
          <w:lang w:val="ru-RU"/>
        </w:rPr>
      </w:pPr>
      <w:r>
        <w:t xml:space="preserve">4.2. </w:t>
      </w:r>
      <w:r>
        <w:rPr>
          <w:lang w:val="ru-RU"/>
        </w:rPr>
        <w:t>Приемка</w:t>
      </w:r>
      <w:r>
        <w:rPr>
          <w:rFonts w:hint="default"/>
          <w:lang w:val="ru-RU"/>
        </w:rPr>
        <w:t xml:space="preserve"> предоставленных услуг оформляется актом приемки работ,услуг ,далее Акт приемки),который подписывается Заказчиком и утверждается Заказчиком и представителем Исполнителя.При отсутствии претензий и расхождений приемка осуществляется без участия Исполнителя.</w:t>
      </w:r>
    </w:p>
    <w:p w14:paraId="4DC0BC94">
      <w:pPr>
        <w:tabs>
          <w:tab w:val="left" w:pos="851"/>
        </w:tabs>
        <w:ind w:firstLine="426"/>
        <w:jc w:val="both"/>
        <w:rPr>
          <w:b/>
        </w:rPr>
      </w:pPr>
      <w:r>
        <w:rPr>
          <w:rFonts w:hint="default"/>
          <w:lang w:val="ru-RU"/>
        </w:rPr>
        <w:t xml:space="preserve">4.3. </w:t>
      </w:r>
      <w:r>
        <w:t xml:space="preserve">В случае если </w:t>
      </w:r>
      <w:r>
        <w:rPr>
          <w:rStyle w:val="24"/>
          <w:b w:val="0"/>
          <w:i w:val="0"/>
          <w:color w:val="000000" w:themeColor="text1"/>
          <w14:textFill>
            <w14:solidFill>
              <w14:schemeClr w14:val="tx1"/>
            </w14:solidFill>
          </w14:textFill>
        </w:rPr>
        <w:t xml:space="preserve">Универсальный передаточный документ (УПД) </w:t>
      </w:r>
      <w:r>
        <w:t xml:space="preserve">или возражения Заказчика по </w:t>
      </w:r>
      <w:r>
        <w:rPr>
          <w:rStyle w:val="24"/>
          <w:b w:val="0"/>
          <w:i w:val="0"/>
          <w:color w:val="000000" w:themeColor="text1"/>
          <w14:textFill>
            <w14:solidFill>
              <w14:schemeClr w14:val="tx1"/>
            </w14:solidFill>
          </w14:textFill>
        </w:rPr>
        <w:t>Универсальному передаточному документу (УПД)</w:t>
      </w:r>
      <w:r>
        <w:t xml:space="preserve"> не получены Исполнителем в течение 15 рабочих дней после оказания услуг, </w:t>
      </w:r>
      <w:r>
        <w:rPr>
          <w:rStyle w:val="24"/>
          <w:b w:val="0"/>
          <w:i w:val="0"/>
          <w:color w:val="000000" w:themeColor="text1"/>
          <w14:textFill>
            <w14:solidFill>
              <w14:schemeClr w14:val="tx1"/>
            </w14:solidFill>
          </w14:textFill>
        </w:rPr>
        <w:t>Универсальный передаточный документ (УПД)</w:t>
      </w:r>
      <w:r>
        <w:t xml:space="preserve"> считается подписанным Заказчиком, а услуги оказаны в полном объеме и приняты.</w:t>
      </w:r>
    </w:p>
    <w:p w14:paraId="1B7190A3">
      <w:pPr>
        <w:ind w:firstLine="426"/>
        <w:jc w:val="center"/>
        <w:rPr>
          <w:b/>
        </w:rPr>
      </w:pPr>
      <w:r>
        <w:rPr>
          <w:b/>
        </w:rPr>
        <w:t>5. Права и обязанности сторон по Договору.</w:t>
      </w:r>
    </w:p>
    <w:p w14:paraId="4C735486">
      <w:pPr>
        <w:tabs>
          <w:tab w:val="left" w:pos="851"/>
        </w:tabs>
        <w:ind w:firstLine="426"/>
        <w:jc w:val="both"/>
        <w:rPr>
          <w:b/>
        </w:rPr>
      </w:pPr>
      <w:r>
        <w:rPr>
          <w:b/>
        </w:rPr>
        <w:t>5.1. Исполнитель обязуется:</w:t>
      </w:r>
    </w:p>
    <w:p w14:paraId="40799AF9">
      <w:pPr>
        <w:tabs>
          <w:tab w:val="left" w:pos="851"/>
        </w:tabs>
        <w:ind w:firstLine="426"/>
        <w:jc w:val="both"/>
      </w:pPr>
      <w:r>
        <w:t xml:space="preserve">5.1.1. Провести поверку средств измерений в соответствии с </w:t>
      </w:r>
      <w:r>
        <w:rPr>
          <w:lang w:val="ru-RU"/>
        </w:rPr>
        <w:t>Приложением</w:t>
      </w:r>
      <w:r>
        <w:t xml:space="preserve"> №1.</w:t>
      </w:r>
    </w:p>
    <w:p w14:paraId="519BFA46">
      <w:pPr>
        <w:tabs>
          <w:tab w:val="left" w:pos="851"/>
        </w:tabs>
        <w:ind w:firstLine="426"/>
        <w:jc w:val="both"/>
      </w:pPr>
      <w:r>
        <w:t>5.1.2. Обеспечить сохранность средств измерений.</w:t>
      </w:r>
    </w:p>
    <w:p w14:paraId="3753D1B4">
      <w:pPr>
        <w:tabs>
          <w:tab w:val="left" w:pos="851"/>
        </w:tabs>
        <w:ind w:firstLine="426"/>
        <w:jc w:val="both"/>
        <w:rPr>
          <w:b/>
        </w:rPr>
      </w:pPr>
      <w:r>
        <w:rPr>
          <w:b/>
        </w:rPr>
        <w:t>5.2. Исполнитель вправе:</w:t>
      </w:r>
    </w:p>
    <w:p w14:paraId="3CB159C4">
      <w:pPr>
        <w:tabs>
          <w:tab w:val="left" w:pos="851"/>
        </w:tabs>
        <w:ind w:firstLine="426"/>
        <w:jc w:val="both"/>
      </w:pPr>
      <w:r>
        <w:t>5.2.1. Требовать своевременной оплаты оказанных Услуг в соответствии с пунктом 2.2. настоящего Договора.</w:t>
      </w:r>
    </w:p>
    <w:p w14:paraId="3F7BF417">
      <w:pPr>
        <w:tabs>
          <w:tab w:val="left" w:pos="851"/>
        </w:tabs>
        <w:ind w:firstLine="426"/>
        <w:jc w:val="both"/>
      </w:pPr>
      <w:r>
        <w:t>5.2.2. Запрашивать у Заказчика разъяснения и уточнения относительно оказания Услуг в рамках настоящего Договора.</w:t>
      </w:r>
    </w:p>
    <w:p w14:paraId="661D15E3">
      <w:pPr>
        <w:tabs>
          <w:tab w:val="left" w:pos="851"/>
        </w:tabs>
        <w:ind w:firstLine="426"/>
        <w:jc w:val="both"/>
      </w:pPr>
      <w:r>
        <w:rPr>
          <w:b/>
        </w:rPr>
        <w:t>5.3. Заказчик обязуется:</w:t>
      </w:r>
    </w:p>
    <w:p w14:paraId="1AC9F2D7">
      <w:pPr>
        <w:tabs>
          <w:tab w:val="left" w:pos="851"/>
        </w:tabs>
        <w:ind w:firstLine="426"/>
        <w:jc w:val="both"/>
      </w:pPr>
      <w:r>
        <w:t>5.3.1. Представить Исполнителю средства измерений на поверку только в работоспособном состоянии, в комплектации, с приложением необходимой технической документации.</w:t>
      </w:r>
    </w:p>
    <w:p w14:paraId="4FC47706">
      <w:pPr>
        <w:tabs>
          <w:tab w:val="left" w:pos="851"/>
        </w:tabs>
        <w:ind w:firstLine="426"/>
        <w:jc w:val="both"/>
      </w:pPr>
      <w:r>
        <w:t>5.3.2. Производить расчеты с Исполнителем своевременно и в соответствии с условиями настоящего Договора.</w:t>
      </w:r>
    </w:p>
    <w:p w14:paraId="14E2FB2D">
      <w:pPr>
        <w:tabs>
          <w:tab w:val="left" w:pos="851"/>
        </w:tabs>
        <w:ind w:firstLine="426"/>
        <w:jc w:val="both"/>
      </w:pPr>
      <w:r>
        <w:t>5.3.3. Получить средства измерений не позднее 15 дневного срока со дня окончания поверки.</w:t>
      </w:r>
    </w:p>
    <w:p w14:paraId="4DB2713B">
      <w:pPr>
        <w:tabs>
          <w:tab w:val="left" w:pos="851"/>
        </w:tabs>
        <w:ind w:firstLine="426"/>
        <w:jc w:val="both"/>
      </w:pPr>
      <w:r>
        <w:rPr>
          <w:b/>
        </w:rPr>
        <w:t>5.4. Заказчик вправе:</w:t>
      </w:r>
    </w:p>
    <w:p w14:paraId="7BCBB300">
      <w:pPr>
        <w:tabs>
          <w:tab w:val="left" w:pos="851"/>
        </w:tabs>
        <w:ind w:firstLine="426"/>
        <w:jc w:val="both"/>
      </w:pPr>
      <w:r>
        <w:t>5.4.1. 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14:paraId="3FA14409">
      <w:pPr>
        <w:tabs>
          <w:tab w:val="left" w:pos="851"/>
        </w:tabs>
        <w:ind w:firstLine="426"/>
        <w:jc w:val="both"/>
      </w:pPr>
      <w:r>
        <w:t>5.4.2. Требовать от Исполнителя представления надлежащим образом оформленной отчетной документации, подтверждающих исполнение обязательств в соответствии с настоящим Договором.</w:t>
      </w:r>
    </w:p>
    <w:p w14:paraId="03B36A79">
      <w:pPr>
        <w:tabs>
          <w:tab w:val="left" w:pos="851"/>
        </w:tabs>
        <w:ind w:firstLine="426"/>
        <w:jc w:val="both"/>
      </w:pPr>
      <w:r>
        <w:t>5.4.3. Контролировать ход оказания услуг Исполнителя по настоящему Договору без вмешательства в оперативно-хозяйственную деятельность Исполнителя.</w:t>
      </w:r>
    </w:p>
    <w:p w14:paraId="4CFFEBE8">
      <w:pPr>
        <w:tabs>
          <w:tab w:val="left" w:pos="851"/>
        </w:tabs>
        <w:ind w:firstLine="426"/>
        <w:jc w:val="center"/>
        <w:rPr>
          <w:b/>
        </w:rPr>
      </w:pPr>
      <w:r>
        <w:rPr>
          <w:b/>
        </w:rPr>
        <w:t>6. Ответственность сторон.</w:t>
      </w:r>
    </w:p>
    <w:p w14:paraId="39117D26">
      <w:pPr>
        <w:tabs>
          <w:tab w:val="left" w:pos="851"/>
        </w:tabs>
        <w:ind w:firstLine="426"/>
        <w:jc w:val="both"/>
      </w:pPr>
      <w:r>
        <w:t>6.1. Стороны несут ответственность за невыполнение своих обязательств по настоящему Договору в соответствии с законодательством Российской Федерации.</w:t>
      </w:r>
    </w:p>
    <w:p w14:paraId="4FE4D530">
      <w:pPr>
        <w:tabs>
          <w:tab w:val="left" w:pos="851"/>
        </w:tabs>
        <w:ind w:firstLine="426"/>
        <w:jc w:val="both"/>
        <w:rPr>
          <w:b/>
        </w:rPr>
      </w:pPr>
      <w:r>
        <w:t>6.2. В случае нарушения Заказчиком срока установленного пунктом 5.3.3. настоящего договора, Исполнитель не несет ответственности за хранение средств измерений, по истечении данного срока.</w:t>
      </w:r>
    </w:p>
    <w:p w14:paraId="7E4CE52D">
      <w:pPr>
        <w:tabs>
          <w:tab w:val="left" w:pos="851"/>
        </w:tabs>
        <w:ind w:firstLine="426"/>
        <w:jc w:val="center"/>
        <w:rPr>
          <w:b/>
        </w:rPr>
      </w:pPr>
      <w:r>
        <w:rPr>
          <w:b/>
        </w:rPr>
        <w:t>7. Срок действия, условия и порядок внесения изменений и расторжения Договора.</w:t>
      </w:r>
    </w:p>
    <w:p w14:paraId="1D0E80E1">
      <w:pPr>
        <w:tabs>
          <w:tab w:val="left" w:pos="851"/>
        </w:tabs>
        <w:ind w:firstLine="426"/>
        <w:jc w:val="both"/>
      </w:pPr>
      <w:r>
        <w:t>7.1. Настоящий Договор вступает в силу с момента его подписания Сторонами и действует до 31.12.2026 года.</w:t>
      </w:r>
    </w:p>
    <w:p w14:paraId="2BC780AE">
      <w:pPr>
        <w:tabs>
          <w:tab w:val="left" w:pos="851"/>
        </w:tabs>
        <w:ind w:firstLine="426"/>
        <w:jc w:val="both"/>
      </w:pPr>
      <w:r>
        <w:t>7.2. Настоящий Договор может быть расторгнут по соглашению сторон в случае и в порядке, предусмотренном законодательством Российской Федерации.</w:t>
      </w:r>
    </w:p>
    <w:p w14:paraId="2CFDF976">
      <w:pPr>
        <w:tabs>
          <w:tab w:val="left" w:pos="851"/>
        </w:tabs>
        <w:ind w:firstLine="426"/>
        <w:jc w:val="both"/>
      </w:pPr>
      <w:r>
        <w:t>7.3. Любые изменения и дополнения к настоящему Договору действительны лишь при условии, если они совершены в письменной форме, подписаны Сторонами и скреплены печатями.</w:t>
      </w:r>
    </w:p>
    <w:p w14:paraId="4136A9CB">
      <w:pPr>
        <w:tabs>
          <w:tab w:val="left" w:pos="851"/>
        </w:tabs>
        <w:ind w:firstLine="426"/>
        <w:jc w:val="both"/>
        <w:rPr>
          <w:b/>
        </w:rPr>
      </w:pPr>
      <w:r>
        <w:t>7.4. Все споры, вытекающие из условий настоящего Договора, разрешаются путем переговоров. В случае невозможности урегулирования спорных вопросов путем переговоров, они будут рассматриваться Арбитражным судом Республики Татарстан, в соответствии с законодательством Российской Федерации.</w:t>
      </w:r>
    </w:p>
    <w:p w14:paraId="56EC78D5">
      <w:pPr>
        <w:tabs>
          <w:tab w:val="left" w:pos="851"/>
        </w:tabs>
        <w:jc w:val="center"/>
        <w:rPr>
          <w:b/>
        </w:rPr>
      </w:pPr>
      <w:r>
        <w:rPr>
          <w:b/>
        </w:rPr>
        <w:t>8. Обстоятельства непреодолимой силы.</w:t>
      </w:r>
    </w:p>
    <w:p w14:paraId="2D658447">
      <w:pPr>
        <w:tabs>
          <w:tab w:val="left" w:pos="851"/>
        </w:tabs>
        <w:ind w:firstLine="426"/>
        <w:jc w:val="both"/>
      </w:pPr>
      <w:r>
        <w:t>8.1. В случае возникновения обстоятельств непреодолимой силы, к которым относятся стихийные бедствия, вступление в силу законодательных и правительственных актов, прямо или косвенно запрещающих, а также препятствующих исполнению сторонами обязательств по настоящему Договору, они освобождаются от ответственности за неисполнение взятых на себя обязательств.</w:t>
      </w:r>
    </w:p>
    <w:p w14:paraId="712A6BDC">
      <w:pPr>
        <w:tabs>
          <w:tab w:val="left" w:pos="851"/>
        </w:tabs>
        <w:ind w:firstLine="426"/>
        <w:jc w:val="both"/>
      </w:pPr>
      <w:r>
        <w:t>8.2. Сторона, понесшая убытки из-за невыполнения другой стороной своих обязательств по настоящему Договору в связи с обстоятельствами непреодолимой силы, имеет право получить от нее документальное подтверждение о масштабах этих событий, а также об их влиянии на ее деятельность, подтвержденное компетентными органами и организациями.</w:t>
      </w:r>
    </w:p>
    <w:p w14:paraId="7EA494CF">
      <w:pPr>
        <w:tabs>
          <w:tab w:val="left" w:pos="851"/>
        </w:tabs>
        <w:jc w:val="center"/>
        <w:rPr>
          <w:b/>
        </w:rPr>
      </w:pPr>
      <w:r>
        <w:rPr>
          <w:b/>
        </w:rPr>
        <w:t>9. Заключительные положения.</w:t>
      </w:r>
    </w:p>
    <w:p w14:paraId="7C005934">
      <w:pPr>
        <w:tabs>
          <w:tab w:val="left" w:pos="851"/>
        </w:tabs>
        <w:ind w:firstLine="426"/>
        <w:jc w:val="both"/>
      </w:pPr>
      <w:r>
        <w:t>9.1. Договор составлен в двух экземплярах, имеющих одинаковую юридическую силу.</w:t>
      </w:r>
    </w:p>
    <w:p w14:paraId="755363FF">
      <w:pPr>
        <w:tabs>
          <w:tab w:val="left" w:pos="851"/>
        </w:tabs>
        <w:ind w:firstLine="426"/>
        <w:jc w:val="both"/>
      </w:pPr>
      <w:r>
        <w:t>9.2. Договор может быть изменен или расторгнут по соглашению Сторон в случае и в порядке, предусмотренном законодательством Российской Федерации.</w:t>
      </w:r>
    </w:p>
    <w:p w14:paraId="68191C0D">
      <w:pPr>
        <w:tabs>
          <w:tab w:val="left" w:pos="851"/>
        </w:tabs>
        <w:ind w:firstLine="426"/>
        <w:jc w:val="both"/>
      </w:pPr>
      <w:r>
        <w:t>9.3. По всем вопросам, не урегулированным Договором, Стороны руководствуются законодательством Российской Федерации.</w:t>
      </w:r>
    </w:p>
    <w:p w14:paraId="7484E89D">
      <w:pPr>
        <w:tabs>
          <w:tab w:val="left" w:pos="851"/>
        </w:tabs>
        <w:ind w:firstLine="426"/>
        <w:jc w:val="both"/>
      </w:pPr>
      <w:r>
        <w:t xml:space="preserve">9.4. Стороны, руководствуясь законодательством Российской Федерации, договорились о возможности использования системы электронного документооборота (далее – ЭДО) в процессе формирования и обмена договорами, соглашениями, бухгалтерскими документами (в том числе, но не ограничиваясь: универсальные передаточные документы, счета-фактуры, товарные накладные, акты об оказанных услугах, акты выполненных работ, акты сверки взаиморасчетов), а также иными документами, необходимыми для сотрудничества. Документы, оформленные в порядке ЭДО, должны быть подписаны квалифицированной электронной подписью (далее – ЭП), что предполагает наличие у Сторон сертификатов ЭП, оформленных в соответствии с требованиями действующего законодательства РФ, а также наличие технических и иных возможностей для обмена документами в электронном виде.  </w:t>
      </w:r>
    </w:p>
    <w:p w14:paraId="54A8376E">
      <w:pPr>
        <w:tabs>
          <w:tab w:val="left" w:pos="851"/>
        </w:tabs>
        <w:ind w:firstLine="426"/>
        <w:jc w:val="both"/>
        <w:rPr>
          <w:b/>
        </w:rPr>
      </w:pPr>
      <w:r>
        <w:t>Стороны признают, что документ, подписанный квалифицированной электронной подписью, считается действительным и имеет юридическую силу, равнозначно документу на бумажном носителе, подписанному собственноручной подписью уполномоченного лица и скрепленному печатью организации (если на законодательном уровне применительно к данному виду документа не установлено требование о составлении его исключительно на бумажном носителе).</w:t>
      </w:r>
    </w:p>
    <w:p w14:paraId="15392667">
      <w:pPr>
        <w:tabs>
          <w:tab w:val="left" w:pos="851"/>
        </w:tabs>
        <w:ind w:firstLine="426"/>
        <w:jc w:val="center"/>
        <w:rPr>
          <w:b/>
        </w:rPr>
      </w:pPr>
      <w:r>
        <w:rPr>
          <w:b/>
        </w:rPr>
        <w:t>10. Юридические адреса сторон и банковские реквизиты.</w:t>
      </w:r>
    </w:p>
    <w:tbl>
      <w:tblPr>
        <w:tblStyle w:val="7"/>
        <w:tblW w:w="96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820"/>
      </w:tblGrid>
      <w:tr w14:paraId="1DFEA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090FED77">
            <w:pPr>
              <w:jc w:val="center"/>
              <w:rPr>
                <w:b/>
                <w:sz w:val="20"/>
              </w:rPr>
            </w:pPr>
          </w:p>
          <w:p w14:paraId="6CA57E2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Заказчик:</w:t>
            </w:r>
          </w:p>
        </w:tc>
        <w:tc>
          <w:tcPr>
            <w:tcW w:w="4820" w:type="dxa"/>
          </w:tcPr>
          <w:p w14:paraId="371F4550">
            <w:pPr>
              <w:jc w:val="center"/>
              <w:rPr>
                <w:b/>
                <w:sz w:val="20"/>
              </w:rPr>
            </w:pPr>
          </w:p>
          <w:p w14:paraId="025953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Исполнитель:</w:t>
            </w:r>
          </w:p>
        </w:tc>
      </w:tr>
      <w:tr w14:paraId="29D5B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3CF15EDE">
            <w:pPr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bookmarkStart w:id="0" w:name="_Hlk226545964"/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Федеральное государственное бюджетное учреждение «Национальный парк «Нижняя Кама»</w:t>
            </w:r>
            <w:bookmarkEnd w:id="0"/>
          </w:p>
          <w:p w14:paraId="24D15B75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Юр. адрес: </w:t>
            </w:r>
            <w:r>
              <w:rPr>
                <w:rFonts w:hint="default"/>
                <w:sz w:val="18"/>
                <w:lang w:val="ru-RU"/>
              </w:rPr>
              <w:t xml:space="preserve">423631,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Респ. Татарстан, Елабужский район, Танаевский лес, квартал 109</w:t>
            </w:r>
          </w:p>
          <w:p w14:paraId="67E569E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Почт. адрес: </w:t>
            </w:r>
            <w:r>
              <w:rPr>
                <w:rFonts w:hint="default"/>
                <w:sz w:val="18"/>
                <w:lang w:val="ru-RU"/>
              </w:rPr>
              <w:t xml:space="preserve">423631,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Респ. Татарстан, Елабужский район, Танаевский лес, квартал 109</w:t>
            </w:r>
          </w:p>
          <w:p w14:paraId="1924BBA9">
            <w:pPr>
              <w:jc w:val="both"/>
              <w:rPr>
                <w:rFonts w:hint="default"/>
                <w:sz w:val="18"/>
                <w:lang w:val="ru-RU"/>
              </w:rPr>
            </w:pPr>
            <w:r>
              <w:rPr>
                <w:sz w:val="18"/>
              </w:rPr>
              <w:t xml:space="preserve">ИНН/КПП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1618001016</w:t>
            </w:r>
            <w:r>
              <w:rPr>
                <w:rFonts w:hint="default" w:cs="Times New Roman"/>
                <w:sz w:val="18"/>
                <w:szCs w:val="18"/>
                <w:lang w:val="ru-RU"/>
              </w:rPr>
              <w:t>/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164601001</w:t>
            </w:r>
          </w:p>
          <w:p w14:paraId="3627951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р/с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03214643000000013233</w:t>
            </w:r>
          </w:p>
          <w:p w14:paraId="5CD59A8A">
            <w:pPr>
              <w:jc w:val="both"/>
              <w:rPr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ОКЦ № 1 ВВГУ Банка России//УФК по Нижегородской области, г Нижний Новгород    </w:t>
            </w:r>
          </w:p>
          <w:p w14:paraId="0976F7E7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к/с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40102810745370000024</w:t>
            </w:r>
          </w:p>
          <w:p w14:paraId="26D77B59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012202102</w:t>
            </w:r>
          </w:p>
          <w:p w14:paraId="1161D8B8">
            <w:pPr>
              <w:jc w:val="both"/>
              <w:rPr>
                <w:sz w:val="18"/>
              </w:rPr>
            </w:pPr>
          </w:p>
        </w:tc>
        <w:tc>
          <w:tcPr>
            <w:tcW w:w="4820" w:type="dxa"/>
          </w:tcPr>
          <w:p w14:paraId="5374A984">
            <w:pPr>
              <w:jc w:val="both"/>
              <w:rPr>
                <w:color w:val="000000"/>
                <w:sz w:val="18"/>
                <w:shd w:val="clear" w:color="auto" w:fill="FFFFFF"/>
                <w:lang w:val="en-US"/>
              </w:rPr>
            </w:pPr>
          </w:p>
        </w:tc>
      </w:tr>
    </w:tbl>
    <w:p w14:paraId="16640B60">
      <w:pPr>
        <w:jc w:val="center"/>
        <w:rPr>
          <w:b/>
          <w:sz w:val="20"/>
        </w:rPr>
      </w:pPr>
      <w:r>
        <w:rPr>
          <w:b/>
          <w:sz w:val="20"/>
        </w:rPr>
        <w:t>Подписи сторон</w:t>
      </w:r>
    </w:p>
    <w:tbl>
      <w:tblPr>
        <w:tblStyle w:val="1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 w14:paraId="5EDFB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1BB5B3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Заказчик:</w:t>
            </w:r>
          </w:p>
        </w:tc>
        <w:tc>
          <w:tcPr>
            <w:tcW w:w="4785" w:type="dxa"/>
          </w:tcPr>
          <w:p w14:paraId="7BCCF6F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Исполнитель:</w:t>
            </w:r>
          </w:p>
        </w:tc>
      </w:tr>
      <w:tr w14:paraId="3D4B2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F4ACD05">
            <w:pPr>
              <w:rPr>
                <w:sz w:val="20"/>
              </w:rPr>
            </w:pPr>
            <w:r>
              <w:rPr>
                <w:sz w:val="20"/>
              </w:rPr>
              <w:t xml:space="preserve">Директор </w:t>
            </w:r>
          </w:p>
          <w:p w14:paraId="2A39D83A">
            <w:pPr>
              <w:rPr>
                <w:rFonts w:hint="default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ФГБУ</w:t>
            </w:r>
            <w:r>
              <w:rPr>
                <w:rFonts w:hint="default"/>
                <w:sz w:val="20"/>
                <w:lang w:val="ru-RU"/>
              </w:rPr>
              <w:t xml:space="preserve"> «Национальный парк «Нижняя Кама»</w:t>
            </w:r>
          </w:p>
        </w:tc>
        <w:tc>
          <w:tcPr>
            <w:tcW w:w="4785" w:type="dxa"/>
          </w:tcPr>
          <w:p w14:paraId="1717E5AC">
            <w:pPr>
              <w:jc w:val="both"/>
              <w:rPr>
                <w:sz w:val="20"/>
              </w:rPr>
            </w:pPr>
          </w:p>
        </w:tc>
      </w:tr>
      <w:tr w14:paraId="428AD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6F22627">
            <w:pPr>
              <w:jc w:val="both"/>
              <w:rPr>
                <w:sz w:val="20"/>
              </w:rPr>
            </w:pPr>
          </w:p>
          <w:p w14:paraId="55043CD1">
            <w:pPr>
              <w:jc w:val="both"/>
              <w:rPr>
                <w:sz w:val="20"/>
              </w:rPr>
            </w:pPr>
          </w:p>
          <w:p w14:paraId="0403FBBC">
            <w:pPr>
              <w:jc w:val="both"/>
              <w:rPr>
                <w:rFonts w:hint="default"/>
                <w:b/>
                <w:sz w:val="20"/>
                <w:lang w:val="ru-RU"/>
              </w:rPr>
            </w:pPr>
            <w:r>
              <w:rPr>
                <w:sz w:val="20"/>
              </w:rPr>
              <w:t>__________________</w:t>
            </w:r>
            <w:r>
              <w:rPr>
                <w:sz w:val="20"/>
                <w:lang w:val="ru-RU"/>
              </w:rPr>
              <w:t>А</w:t>
            </w:r>
            <w:r>
              <w:rPr>
                <w:rFonts w:hint="default"/>
                <w:sz w:val="20"/>
                <w:lang w:val="ru-RU"/>
              </w:rPr>
              <w:t>.А.Имамов</w:t>
            </w:r>
          </w:p>
        </w:tc>
        <w:tc>
          <w:tcPr>
            <w:tcW w:w="4785" w:type="dxa"/>
          </w:tcPr>
          <w:p w14:paraId="427A7ACF">
            <w:pPr>
              <w:jc w:val="both"/>
              <w:rPr>
                <w:sz w:val="20"/>
              </w:rPr>
            </w:pPr>
          </w:p>
          <w:p w14:paraId="7B924933">
            <w:pPr>
              <w:jc w:val="both"/>
              <w:rPr>
                <w:sz w:val="20"/>
              </w:rPr>
            </w:pPr>
          </w:p>
          <w:p w14:paraId="1E421044">
            <w:pPr>
              <w:jc w:val="both"/>
              <w:rPr>
                <w:sz w:val="20"/>
              </w:rPr>
            </w:pPr>
            <w:r>
              <w:rPr>
                <w:sz w:val="20"/>
              </w:rPr>
              <w:t>__________________</w:t>
            </w:r>
          </w:p>
        </w:tc>
      </w:tr>
      <w:tr w14:paraId="0E59A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0F259BB">
            <w:pPr>
              <w:jc w:val="both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4785" w:type="dxa"/>
          </w:tcPr>
          <w:p w14:paraId="27BB740B">
            <w:pPr>
              <w:jc w:val="both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14:paraId="4120FAB3">
            <w:pPr>
              <w:jc w:val="both"/>
              <w:rPr>
                <w:sz w:val="20"/>
              </w:rPr>
            </w:pPr>
          </w:p>
        </w:tc>
      </w:tr>
    </w:tbl>
    <w:p w14:paraId="072E1930">
      <w:pPr>
        <w:jc w:val="both"/>
        <w:rPr>
          <w:sz w:val="18"/>
          <w:szCs w:val="18"/>
        </w:rPr>
      </w:pPr>
    </w:p>
    <w:p w14:paraId="013A5AF2">
      <w:pPr>
        <w:tabs>
          <w:tab w:val="left" w:pos="3578"/>
        </w:tabs>
        <w:sectPr>
          <w:footerReference r:id="rId3" w:type="default"/>
          <w:pgSz w:w="11906" w:h="16838"/>
          <w:pgMar w:top="1276" w:right="851" w:bottom="426" w:left="1701" w:header="709" w:footer="709" w:gutter="0"/>
          <w:cols w:space="708" w:num="1"/>
          <w:docGrid w:linePitch="360" w:charSpace="0"/>
        </w:sectPr>
      </w:pPr>
    </w:p>
    <w:p w14:paraId="47248F9D">
      <w:pPr>
        <w:pStyle w:val="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ТЕХНИЧЕСКОЕ ЗАДАНИЕ</w:t>
      </w:r>
    </w:p>
    <w:p w14:paraId="182ADB74">
      <w:pPr>
        <w:pStyle w:val="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оказание услуг по поверке и техническому обслуживанию сигнализаторов загазованности котельных</w:t>
      </w:r>
    </w:p>
    <w:p w14:paraId="4A6E989D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numPr>
          <w:ilvl w:val="0"/>
          <w:numId w:val="1"/>
        </w:numPr>
        <w:shd w:val="clear" w:color="auto" w:fill="auto"/>
        <w:tabs>
          <w:tab w:val="left" w:pos="304"/>
        </w:tabs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Общая информация об объекте закупки</w:t>
      </w:r>
    </w:p>
    <w:p w14:paraId="09C1A68C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Объект закупки.</w:t>
      </w:r>
    </w:p>
    <w:p w14:paraId="5BA135BC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240" w:line="257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Оказание услуг по поверке и техническому обслуживанию сигнализаторов загазованности котельных ФГБУ”Национальный парк “Нижняя Кама”</w:t>
      </w:r>
    </w:p>
    <w:p w14:paraId="166720C2">
      <w:pPr>
        <w:pStyle w:val="26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1" w:name="bookmark2"/>
      <w:bookmarkStart w:id="2" w:name="bookmark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Место оказания Услуг</w:t>
      </w:r>
      <w:bookmarkEnd w:id="1"/>
      <w:bookmarkEnd w:id="2"/>
    </w:p>
    <w:p w14:paraId="580B202F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24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Приложением № 1 к настоящему Техническому заданию.</w:t>
      </w:r>
    </w:p>
    <w:p w14:paraId="173F128D">
      <w:pPr>
        <w:pStyle w:val="26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3" w:name="bookmark4"/>
      <w:bookmarkStart w:id="4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Объём услуг</w:t>
      </w:r>
      <w:bookmarkEnd w:id="3"/>
      <w:bookmarkEnd w:id="4"/>
    </w:p>
    <w:p w14:paraId="2BB095EF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Услуги выполняются в отношении сигнализаторов загазованности (в том числе его составных частей, узлов, элементов), расположенных на объектах ФГБУ”Национальный парк “Нижняя Кама” указанных в Приложении № Г к настоящему Техническому заданию и включают в себя:</w:t>
      </w:r>
    </w:p>
    <w:p w14:paraId="6FDA26DB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numPr>
          <w:ilvl w:val="0"/>
          <w:numId w:val="2"/>
        </w:numPr>
        <w:shd w:val="clear" w:color="auto" w:fill="auto"/>
        <w:tabs>
          <w:tab w:val="left" w:pos="304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демонтаж/монтаж приборов для анализа физико-химического состава вещества.(Категория сложности приборов 1) для проведения поверки;</w:t>
      </w:r>
    </w:p>
    <w:p w14:paraId="40AD1896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numPr>
          <w:ilvl w:val="0"/>
          <w:numId w:val="2"/>
        </w:numPr>
        <w:shd w:val="clear" w:color="auto" w:fill="auto"/>
        <w:tabs>
          <w:tab w:val="left" w:pos="304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поверка сигнализаторов загазованности (услуга оказывается с вывозом поверяемого прибора в специализированную лабораторию); ремонт или замена по результатам поверки;</w:t>
      </w:r>
    </w:p>
    <w:p w14:paraId="4EC27BCE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numPr>
          <w:ilvl w:val="0"/>
          <w:numId w:val="2"/>
        </w:numPr>
        <w:shd w:val="clear" w:color="auto" w:fill="auto"/>
        <w:tabs>
          <w:tab w:val="left" w:pos="214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техническое обслуживание анализаторов свойств газов, жидкостей, твердых и сыпучих тел, газосигнализаторов (</w:t>
      </w:r>
    </w:p>
    <w:p w14:paraId="5495848C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24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объём технического обслуживания входят: осмотр сигнализаторов на предмет работоспособности, испытания контрольной смесью.</w:t>
      </w:r>
    </w:p>
    <w:p w14:paraId="7B5C981C">
      <w:pPr>
        <w:pStyle w:val="26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5" w:name="bookmark7"/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Срок оказания Услуг.</w:t>
      </w:r>
      <w:bookmarkEnd w:id="5"/>
      <w:bookmarkEnd w:id="6"/>
    </w:p>
    <w:p w14:paraId="06A44499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24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даты заключения контракта по 31.08/2026.</w:t>
      </w:r>
    </w:p>
    <w:p w14:paraId="07967EC9">
      <w:pPr>
        <w:pStyle w:val="26"/>
        <w:keepNext w:val="0"/>
        <w:keepLines w:val="0"/>
        <w:framePr w:w="10966" w:h="15826" w:hRule="exact" w:wrap="auto" w:vAnchor="page" w:hAnchor="page" w:x="560" w:y="538"/>
        <w:widowControl w:val="0"/>
        <w:numPr>
          <w:ilvl w:val="0"/>
          <w:numId w:val="1"/>
        </w:numPr>
        <w:shd w:val="clear" w:color="auto" w:fill="auto"/>
        <w:tabs>
          <w:tab w:val="left" w:pos="571"/>
        </w:tabs>
        <w:bidi w:val="0"/>
        <w:spacing w:before="0" w:after="0" w:line="240" w:lineRule="auto"/>
        <w:ind w:left="0" w:right="0" w:firstLine="0"/>
        <w:jc w:val="both"/>
      </w:pPr>
      <w:bookmarkStart w:id="7" w:name="bookmark9"/>
      <w:bookmarkStart w:id="8" w:name="bookmark8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Стандарт Услуг.</w:t>
      </w:r>
      <w:bookmarkEnd w:id="7"/>
      <w:bookmarkEnd w:id="8"/>
    </w:p>
    <w:p w14:paraId="6A368401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Оказание услуг по поверке и техническому обслуживанию сигнализаторов загазованности котельных ФГБУ (далее - Услуги), осуществляется в связи с истекающим сроком поверки сигнализаторов и во избежание предписания Ростехнадзора.</w:t>
      </w:r>
    </w:p>
    <w:p w14:paraId="02F9EEAF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240" w:line="240" w:lineRule="auto"/>
        <w:ind w:left="0" w:right="0" w:firstLine="3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Оплата оказанных Услуг осуществляется в соответствии с условиями Контракта.</w:t>
      </w:r>
    </w:p>
    <w:p w14:paraId="46EFBF0A">
      <w:pPr>
        <w:pStyle w:val="26"/>
        <w:keepNext w:val="0"/>
        <w:keepLines w:val="0"/>
        <w:framePr w:w="10966" w:h="15826" w:hRule="exact" w:wrap="auto" w:vAnchor="page" w:hAnchor="page" w:x="560" w:y="538"/>
        <w:widowControl w:val="0"/>
        <w:numPr>
          <w:ilvl w:val="0"/>
          <w:numId w:val="1"/>
        </w:numPr>
        <w:shd w:val="clear" w:color="auto" w:fill="auto"/>
        <w:tabs>
          <w:tab w:val="left" w:pos="571"/>
        </w:tabs>
        <w:bidi w:val="0"/>
        <w:spacing w:before="0" w:after="0" w:line="240" w:lineRule="auto"/>
        <w:ind w:left="0" w:right="0" w:firstLine="0"/>
        <w:jc w:val="both"/>
      </w:pPr>
      <w:bookmarkStart w:id="9" w:name="bookmark11"/>
      <w:bookmarkStart w:id="10" w:name="bookmark1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 Услуг.</w:t>
      </w:r>
      <w:bookmarkEnd w:id="9"/>
      <w:bookmarkEnd w:id="10"/>
    </w:p>
    <w:p w14:paraId="016D6067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Оказание Услуг осуществляется Подрядчиком в соответствии с требованиями инструкций по эксплуатации и техническому обслуживанию, паспортов на оборудование, иной технической документации, а при её отсутствии на объектах в соответствии с типовой нормативно-технической документацией или документацией (требованиями) на аналогичное оборудование по согласованию с Заказчиком.</w:t>
      </w:r>
    </w:p>
    <w:p w14:paraId="07E03410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Оказание Услуг не должно препятствовать или создавать неудобства в работе объектов или представлять угрозу для сотрудников Заказчика. При оказании Услуг Подрядчик должен соблюдать режимные требования, установленные на объектах, правила пожарной и электробезопасности, требований по охране труда и согласовывать время оказания Услуг с Заказчиком.</w:t>
      </w:r>
    </w:p>
    <w:p w14:paraId="27EE2CF6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Материалы необходимые для оказания Услуг должны быть новыми, не бывшими в употреблении, не восстановленными, в отношении которых не производился ремонт и/или замена составных частей.</w:t>
      </w:r>
    </w:p>
    <w:p w14:paraId="0987BFB6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все материалы необходимые для оказания Услуг Подрядчик предоставляет паспорта и/или технические описания, содержащие информацию о технических параметрах, дату выпуска/изготовления, свидетельства о поверке, отметки о прохождении технического контроля на предприятии-изготовителе, сертификаты, подтверждающие качество.</w:t>
      </w:r>
    </w:p>
    <w:p w14:paraId="0E564696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Подрядчик осуществляет уборку и вывоз отходов, образовавшихся по результатам оказания Услуг своими силами и за свой счет.</w:t>
      </w:r>
    </w:p>
    <w:p w14:paraId="5928B195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 началом оказания Услуг Заказчик предоставляет Подрядчику имеющуюся исполнительную и проектную документацию, паспорта, иную техническую документацию на оборудование, в отношении которого оказываются Услуги. При отсутствии у Заказчика (на объектах Заказчика) необходимой документации на какое- либо оборудование Услуги оказываются в соответствии с типовой нормативно-технической документацией или документацией (требованиями) на аналогичное оборудование по согласованию с Заказчиком.</w:t>
      </w:r>
    </w:p>
    <w:p w14:paraId="43F7EFAF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Подрядчик направляет заявку на допуск сотрудников на объекты в соответствии с требованиями пропускного режима.</w:t>
      </w:r>
    </w:p>
    <w:p w14:paraId="128C1459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Подрядчик заблаговременно согласовывает с Заказчиком дату, время оказания Услуг: в будние дни в период с 08:00 до 17:00</w:t>
      </w:r>
    </w:p>
    <w:p w14:paraId="0C69C989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Подрядчик гарантирует бесперебойное теплоснабжение потребителей, подключенных от объектов, во время оказания Услуг.</w:t>
      </w:r>
    </w:p>
    <w:p w14:paraId="1A78E0CB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Подрядчик несет полную ответственность за качество выполненных Работ, товаров и надежность функционирования оборудования по итогам оказанных Услуг.</w:t>
      </w:r>
    </w:p>
    <w:p w14:paraId="43D7D194">
      <w:pPr>
        <w:pStyle w:val="27"/>
        <w:keepNext w:val="0"/>
        <w:keepLines w:val="0"/>
        <w:framePr w:w="10966" w:h="15826" w:hRule="exact" w:wrap="auto" w:vAnchor="page" w:hAnchor="page" w:x="560" w:y="538"/>
        <w:widowControl w:val="0"/>
        <w:shd w:val="clear" w:color="auto" w:fill="auto"/>
        <w:bidi w:val="0"/>
        <w:spacing w:before="0" w:after="0" w:line="262" w:lineRule="auto"/>
        <w:ind w:left="0" w:right="0" w:firstLine="7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итогам оказания Услуг Подрядчик предоставляет Заказчику Акт проведения технического обслуживания, свидетельство о поверке, акт оказанных услуг, счет на оплату, а так же иные документы, подтверждающие фактическое оказание услуг.</w:t>
      </w:r>
    </w:p>
    <w:p w14:paraId="6CD17C64">
      <w:pPr>
        <w:widowControl w:val="0"/>
        <w:spacing w:line="1" w:lineRule="exact"/>
        <w:sectPr>
          <w:footnotePr>
            <w:numFmt w:val="decimal"/>
          </w:footnotePr>
          <w:pgSz w:w="11900" w:h="16840"/>
          <w:pgMar w:top="360" w:right="360" w:bottom="360" w:left="360" w:header="0" w:footer="3" w:gutter="0"/>
          <w:cols w:space="720" w:num="1"/>
          <w:rtlGutter w:val="0"/>
          <w:docGrid w:linePitch="360" w:charSpace="0"/>
        </w:sectPr>
      </w:pPr>
    </w:p>
    <w:p w14:paraId="14ECD36C">
      <w:pPr>
        <w:widowControl w:val="0"/>
        <w:spacing w:line="1" w:lineRule="exact"/>
      </w:pPr>
    </w:p>
    <w:p w14:paraId="261F459F">
      <w:pPr>
        <w:pStyle w:val="26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1"/>
        </w:numPr>
        <w:shd w:val="clear" w:color="auto" w:fill="auto"/>
        <w:tabs>
          <w:tab w:val="left" w:pos="674"/>
        </w:tabs>
        <w:bidi w:val="0"/>
        <w:spacing w:before="0" w:after="0" w:line="240" w:lineRule="auto"/>
        <w:ind w:left="0" w:right="0" w:firstLine="0"/>
        <w:jc w:val="left"/>
      </w:pPr>
      <w:bookmarkStart w:id="11" w:name="bookmark12"/>
      <w:bookmarkStart w:id="12" w:name="bookmark1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Объем и сроки гарантий качества.</w:t>
      </w:r>
      <w:bookmarkEnd w:id="11"/>
      <w:bookmarkEnd w:id="12"/>
    </w:p>
    <w:p w14:paraId="197DB1E0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shd w:val="clear" w:color="auto" w:fill="auto"/>
        <w:bidi w:val="0"/>
        <w:spacing w:before="0" w:after="480" w:line="240" w:lineRule="auto"/>
        <w:ind w:left="0" w:right="0" w:firstLine="620"/>
        <w:jc w:val="left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Гарантийный срок на оказанные Услуги составляет 12 (двенадцать) месяцев с даты подписания акта сдачи- приемки Оказанных Услуг. Если в период гарантийного срока обнаружатся недостатки оказанных Услугах, то Подрядчик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продлевается на период устранения замечаний.</w:t>
      </w:r>
      <w:bookmarkStart w:id="13" w:name="bookmark15"/>
      <w:bookmarkStart w:id="14" w:name="bookmark14"/>
    </w:p>
    <w:p w14:paraId="02550D14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shd w:val="clear" w:color="auto" w:fill="auto"/>
        <w:bidi w:val="0"/>
        <w:spacing w:before="0" w:after="480" w:line="240" w:lineRule="auto"/>
        <w:ind w:left="0" w:right="0" w:firstLine="620"/>
        <w:jc w:val="left"/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Требования к безопасности оказания услуг.</w:t>
      </w:r>
      <w:bookmarkEnd w:id="13"/>
      <w:bookmarkEnd w:id="14"/>
    </w:p>
    <w:p w14:paraId="1C26B80B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shd w:val="clear" w:color="auto" w:fill="auto"/>
        <w:bidi w:val="0"/>
        <w:spacing w:before="0" w:after="480" w:line="240" w:lineRule="auto"/>
        <w:ind w:left="0" w:right="0" w:firstLine="6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Специалисты, оказывающие Услуги должны быть аттестованы в соответствии с требованиями действующих нормативных документов.</w:t>
      </w:r>
    </w:p>
    <w:p w14:paraId="0A27BDD4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Подрядчик обеспечивает проведение обучения, экзаменов и инструктажей своего персонала в объеме требований по охране труда. Персонал Подрядчика несет ответственность по охране труда, электробезопасности, пожарной безопасности при оказании Услуг.</w:t>
      </w:r>
    </w:p>
    <w:p w14:paraId="5479E4DC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Подрядчик в ходе оказания Услуг, своими силами и за свой счет должен обеспечить проведение необходимых мероприятий по охране труда и технике безопасности, охране окружающей среды в соответствии с Приложением № 2 к настоящему Техническому заданию.</w:t>
      </w:r>
    </w:p>
    <w:p w14:paraId="4EEDDB75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Подрядчик обеспечивает привлекаемый персонал средствами индивидуальной защиты, необходимых для оказания Услуг, спецодеждой, инструментом, измерительными приборами.</w:t>
      </w:r>
    </w:p>
    <w:p w14:paraId="1CF86C78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shd w:val="clear" w:color="auto" w:fill="auto"/>
        <w:bidi w:val="0"/>
        <w:spacing w:before="0" w:after="480" w:line="240" w:lineRule="auto"/>
        <w:ind w:left="0" w:right="0" w:firstLine="6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Подрядчик делает отметки в оперативном журнале, а также ежемесячно составляет детальные отчеты об оказанных Услуг с указанием выявленных замечаний и порядке их устранения, рекомендаций по эксплуатации оборудования, составляет дефектные ведомости (по согласованию с Заказчиком).</w:t>
      </w:r>
    </w:p>
    <w:p w14:paraId="1A841E41">
      <w:pPr>
        <w:pStyle w:val="26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1"/>
        </w:numPr>
        <w:shd w:val="clear" w:color="auto" w:fill="auto"/>
        <w:tabs>
          <w:tab w:val="left" w:pos="674"/>
        </w:tabs>
        <w:bidi w:val="0"/>
        <w:spacing w:before="0" w:after="0" w:line="240" w:lineRule="auto"/>
        <w:ind w:left="0" w:right="0" w:firstLine="0"/>
        <w:jc w:val="left"/>
      </w:pPr>
      <w:bookmarkStart w:id="15" w:name="bookmark16"/>
      <w:bookmarkStart w:id="16" w:name="bookmark1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Требования к используемым материалам и оборудованию.</w:t>
      </w:r>
      <w:bookmarkEnd w:id="15"/>
      <w:bookmarkEnd w:id="16"/>
    </w:p>
    <w:p w14:paraId="7BEDC6DB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Подрядчик поставляет материалы необходимые для оказания Услуг (Указанные в приложении № 1 к настоящему техническому заданию).</w:t>
      </w:r>
    </w:p>
    <w:p w14:paraId="1640B769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Заказчик обеспечивает допуск и надзор во время оказания Услуг Подрядчиком.</w:t>
      </w:r>
    </w:p>
    <w:p w14:paraId="284143BE">
      <w:pPr>
        <w:pStyle w:val="26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1"/>
        </w:numPr>
        <w:shd w:val="clear" w:color="auto" w:fill="auto"/>
        <w:tabs>
          <w:tab w:val="left" w:pos="353"/>
        </w:tabs>
        <w:bidi w:val="0"/>
        <w:spacing w:before="0" w:after="0" w:line="240" w:lineRule="auto"/>
        <w:ind w:left="0" w:right="0" w:firstLine="0"/>
        <w:jc w:val="left"/>
      </w:pPr>
      <w:bookmarkStart w:id="17" w:name="bookmark18"/>
      <w:bookmarkStart w:id="18" w:name="bookmark19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Перечень нормативных правовых и нормативных технических актов.</w:t>
      </w:r>
      <w:bookmarkEnd w:id="17"/>
      <w:bookmarkEnd w:id="18"/>
    </w:p>
    <w:p w14:paraId="497B393A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Услуги оказываются в соответствии с требованиями:</w:t>
      </w:r>
    </w:p>
    <w:p w14:paraId="702E5206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2"/>
        </w:numPr>
        <w:shd w:val="clear" w:color="auto" w:fill="auto"/>
        <w:tabs>
          <w:tab w:val="left" w:pos="768"/>
        </w:tabs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«Правила технической эксплуатации тепловых энергоустановок», утвержденные приказом Минэнерго России от 24.03.2003 № 115;</w:t>
      </w:r>
    </w:p>
    <w:p w14:paraId="0E85C6A5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2"/>
        </w:numPr>
        <w:shd w:val="clear" w:color="auto" w:fill="auto"/>
        <w:tabs>
          <w:tab w:val="left" w:pos="768"/>
        </w:tabs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«Правила устройства и безопасной эксплуатации паровых котлов с давлением пара не более 0,07 МПа, водогрейных котлов и водоподогревателей с температурой нагрева воды не выше 388 К (115 °C)», утвержденные приказом Минстроя России от 28.08.1992 № 205;</w:t>
      </w:r>
    </w:p>
    <w:p w14:paraId="44E783C1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2"/>
        </w:numPr>
        <w:shd w:val="clear" w:color="auto" w:fill="auto"/>
        <w:tabs>
          <w:tab w:val="left" w:pos="768"/>
        </w:tabs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«Правила пользования газом и предоставления услуг по газоснабжению в Российской Федерации», утвержденные постановлением Правительства Российской Федерации от 17.05.2002 № 317;</w:t>
      </w:r>
    </w:p>
    <w:p w14:paraId="0F78C463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2"/>
        </w:numPr>
        <w:shd w:val="clear" w:color="auto" w:fill="auto"/>
        <w:tabs>
          <w:tab w:val="left" w:pos="779"/>
        </w:tabs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Федеральный закон «О промышленной безопасности опасных производственных объектов» (редакция, действующая с 1 июля 2021 года);</w:t>
      </w:r>
    </w:p>
    <w:p w14:paraId="26F1960E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2"/>
        </w:numPr>
        <w:shd w:val="clear" w:color="auto" w:fill="auto"/>
        <w:tabs>
          <w:tab w:val="left" w:pos="772"/>
        </w:tabs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Технический регламент «О безопасности сетей газораспределения и газопотребления», утвержденный постановлением Правительства РФ от 29.10.2010 № 870;</w:t>
      </w:r>
    </w:p>
    <w:p w14:paraId="54E9B1AB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2"/>
        </w:numPr>
        <w:shd w:val="clear" w:color="auto" w:fill="auto"/>
        <w:tabs>
          <w:tab w:val="left" w:pos="768"/>
        </w:tabs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Приказ Министерства труда и социальной защиты Российской Федерации от 15 декабря 2020 года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903 н «Об утверждении правил по охране труда при эксплуатации электроустановок»;</w:t>
      </w:r>
    </w:p>
    <w:p w14:paraId="0C1CE51F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2"/>
        </w:numPr>
        <w:shd w:val="clear" w:color="auto" w:fill="auto"/>
        <w:tabs>
          <w:tab w:val="left" w:pos="776"/>
        </w:tabs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«Правила технической эксплуатации электроустановок потребителей», утвержденные приказом Министерства энергетики РФ от 13.01.2003 № 6;</w:t>
      </w:r>
    </w:p>
    <w:p w14:paraId="10D89349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2"/>
        </w:numPr>
        <w:shd w:val="clear" w:color="auto" w:fill="auto"/>
        <w:tabs>
          <w:tab w:val="left" w:pos="776"/>
        </w:tabs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«Правила технической эксплуатации тепловых энергоустановок», утвержденные приказом Минэнерго РФ от 24.03.2003 № 115;</w:t>
      </w:r>
    </w:p>
    <w:p w14:paraId="1EAF5AF2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2"/>
        </w:numPr>
        <w:shd w:val="clear" w:color="auto" w:fill="auto"/>
        <w:tabs>
          <w:tab w:val="left" w:pos="794"/>
        </w:tabs>
        <w:bidi w:val="0"/>
        <w:spacing w:before="0" w:after="0" w:line="240" w:lineRule="auto"/>
        <w:ind w:left="0" w:right="0" w:firstLine="5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ГОСТ 12.1.004-91 ССБТ «Пожарная безопасность. Общие требования»;</w:t>
      </w:r>
    </w:p>
    <w:p w14:paraId="53DB84CB">
      <w:pPr>
        <w:pStyle w:val="27"/>
        <w:keepNext w:val="0"/>
        <w:keepLines w:val="0"/>
        <w:framePr w:w="10966" w:h="13460" w:hRule="exact" w:wrap="auto" w:vAnchor="page" w:hAnchor="page" w:x="560" w:y="1057"/>
        <w:widowControl w:val="0"/>
        <w:numPr>
          <w:ilvl w:val="0"/>
          <w:numId w:val="2"/>
        </w:numPr>
        <w:shd w:val="clear" w:color="auto" w:fill="auto"/>
        <w:tabs>
          <w:tab w:val="left" w:pos="783"/>
        </w:tabs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ГОСТ Р ЕН 50194-1-2012. Национальный стандарт российской федерации. Сигнализаторы горючих газов для жилых помещений. Часть 1. Общие технические требования и методы испытаний</w:t>
      </w:r>
    </w:p>
    <w:tbl>
      <w:tblPr>
        <w:tblStyle w:val="1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9"/>
        <w:gridCol w:w="4780"/>
      </w:tblGrid>
      <w:tr w14:paraId="5858B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9" w:type="dxa"/>
          </w:tcPr>
          <w:p w14:paraId="5A808A4C">
            <w:pPr>
              <w:pStyle w:val="28"/>
              <w:keepNext w:val="0"/>
              <w:keepLines w:val="0"/>
              <w:framePr w:w="9949" w:wrap="auto" w:vAnchor="page" w:hAnchor="page" w:x="1120" w:y="14824"/>
              <w:widowControl w:val="0"/>
              <w:shd w:val="clear" w:color="auto" w:fill="auto"/>
              <w:tabs>
                <w:tab w:val="left" w:pos="5123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ЗАКАЗЧИК:</w:t>
            </w:r>
          </w:p>
          <w:p w14:paraId="12CDCB43">
            <w:pPr>
              <w:pStyle w:val="28"/>
              <w:keepNext w:val="0"/>
              <w:keepLines w:val="0"/>
              <w:framePr w:w="9949" w:wrap="auto" w:vAnchor="page" w:hAnchor="page" w:x="1120" w:y="14824"/>
              <w:widowControl w:val="0"/>
              <w:shd w:val="clear"/>
              <w:tabs>
                <w:tab w:val="left" w:pos="5123"/>
              </w:tabs>
              <w:bidi w:val="0"/>
              <w:spacing w:before="0" w:after="0" w:line="240" w:lineRule="auto"/>
              <w:ind w:right="0"/>
              <w:jc w:val="left"/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ru-RU" w:bidi="ru-RU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ru-RU" w:eastAsia="ru-RU" w:bidi="ru-RU"/>
              </w:rPr>
              <w:t>ФГБУ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ru-RU" w:bidi="ru-RU"/>
              </w:rPr>
              <w:t xml:space="preserve"> «Национальный парк «Нижняя Кама»</w:t>
            </w:r>
          </w:p>
          <w:p w14:paraId="4E5087DD">
            <w:pPr>
              <w:pStyle w:val="28"/>
              <w:keepNext w:val="0"/>
              <w:keepLines w:val="0"/>
              <w:framePr w:w="9949" w:wrap="auto" w:vAnchor="page" w:hAnchor="page" w:x="1120" w:y="14824"/>
              <w:widowControl w:val="0"/>
              <w:shd w:val="clear"/>
              <w:tabs>
                <w:tab w:val="left" w:pos="5123"/>
              </w:tabs>
              <w:bidi w:val="0"/>
              <w:spacing w:before="0" w:after="0" w:line="240" w:lineRule="auto"/>
              <w:ind w:right="0"/>
              <w:jc w:val="left"/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ru-RU" w:bidi="ru-RU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ru-RU" w:bidi="ru-RU"/>
              </w:rPr>
              <w:t>_________________________А.А.Имамов</w:t>
            </w:r>
          </w:p>
        </w:tc>
        <w:tc>
          <w:tcPr>
            <w:tcW w:w="4780" w:type="dxa"/>
          </w:tcPr>
          <w:p w14:paraId="26DA228D">
            <w:pPr>
              <w:pStyle w:val="28"/>
              <w:keepNext w:val="0"/>
              <w:keepLines w:val="0"/>
              <w:framePr w:w="9949" w:wrap="auto" w:vAnchor="page" w:hAnchor="page" w:x="1120" w:y="14824"/>
              <w:widowControl w:val="0"/>
              <w:shd w:val="clear"/>
              <w:tabs>
                <w:tab w:val="left" w:pos="5123"/>
              </w:tabs>
              <w:bidi w:val="0"/>
              <w:spacing w:before="0" w:after="0" w:line="240" w:lineRule="auto"/>
              <w:ind w:right="0"/>
              <w:jc w:val="left"/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ПОДРЯДЧИК:</w:t>
            </w:r>
          </w:p>
          <w:p w14:paraId="1AF07B2B">
            <w:pPr>
              <w:pStyle w:val="28"/>
              <w:keepNext w:val="0"/>
              <w:keepLines w:val="0"/>
              <w:framePr w:w="9949" w:wrap="auto" w:vAnchor="page" w:hAnchor="page" w:x="1120" w:y="14824"/>
              <w:widowControl w:val="0"/>
              <w:shd w:val="clear"/>
              <w:tabs>
                <w:tab w:val="left" w:pos="5123"/>
              </w:tabs>
              <w:bidi w:val="0"/>
              <w:spacing w:before="0" w:after="0" w:line="240" w:lineRule="auto"/>
              <w:ind w:right="0"/>
              <w:jc w:val="left"/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pPr>
          </w:p>
          <w:p w14:paraId="4AB34ED9">
            <w:pPr>
              <w:pStyle w:val="28"/>
              <w:keepNext w:val="0"/>
              <w:keepLines w:val="0"/>
              <w:framePr w:w="9949" w:wrap="auto" w:vAnchor="page" w:hAnchor="page" w:x="1120" w:y="14824"/>
              <w:widowControl w:val="0"/>
              <w:shd w:val="clear"/>
              <w:tabs>
                <w:tab w:val="left" w:pos="5123"/>
              </w:tabs>
              <w:bidi w:val="0"/>
              <w:spacing w:before="0" w:after="0" w:line="240" w:lineRule="auto"/>
              <w:ind w:right="0"/>
              <w:jc w:val="left"/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pPr>
          </w:p>
          <w:p w14:paraId="5CA7F9A8">
            <w:pPr>
              <w:pStyle w:val="28"/>
              <w:keepNext w:val="0"/>
              <w:keepLines w:val="0"/>
              <w:framePr w:w="9949" w:wrap="auto" w:vAnchor="page" w:hAnchor="page" w:x="1120" w:y="14824"/>
              <w:widowControl w:val="0"/>
              <w:shd w:val="clear"/>
              <w:tabs>
                <w:tab w:val="left" w:pos="5123"/>
              </w:tabs>
              <w:bidi w:val="0"/>
              <w:spacing w:before="0" w:after="0" w:line="240" w:lineRule="auto"/>
              <w:ind w:right="0"/>
              <w:jc w:val="left"/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>_______________________________</w:t>
            </w:r>
          </w:p>
        </w:tc>
      </w:tr>
      <w:tr w14:paraId="758E2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9" w:type="dxa"/>
          </w:tcPr>
          <w:p w14:paraId="78016090">
            <w:pPr>
              <w:pStyle w:val="28"/>
              <w:keepNext w:val="0"/>
              <w:keepLines w:val="0"/>
              <w:framePr w:w="9949" w:wrap="auto" w:vAnchor="page" w:hAnchor="page" w:x="1120" w:y="14824"/>
              <w:widowControl w:val="0"/>
              <w:shd w:val="clear"/>
              <w:tabs>
                <w:tab w:val="left" w:pos="5123"/>
              </w:tabs>
              <w:bidi w:val="0"/>
              <w:spacing w:before="0" w:after="0" w:line="240" w:lineRule="auto"/>
              <w:ind w:right="0"/>
              <w:jc w:val="left"/>
              <w:rPr>
                <w:rFonts w:hint="default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  <w:lang w:val="en-US" w:eastAsia="ru-RU" w:bidi="ru-RU"/>
              </w:rPr>
            </w:pPr>
            <w:bookmarkStart w:id="19" w:name="_GoBack"/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ru-RU" w:eastAsia="ru-RU" w:bidi="ru-RU"/>
              </w:rPr>
              <w:t>М</w:t>
            </w:r>
            <w:r>
              <w:rPr>
                <w:rFonts w:hint="default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baseline"/>
                <w:lang w:val="en-US" w:eastAsia="ru-RU" w:bidi="ru-RU"/>
              </w:rPr>
              <w:t>.П.</w:t>
            </w:r>
            <w:bookmarkEnd w:id="19"/>
          </w:p>
        </w:tc>
        <w:tc>
          <w:tcPr>
            <w:tcW w:w="4780" w:type="dxa"/>
          </w:tcPr>
          <w:p w14:paraId="24A87037">
            <w:pPr>
              <w:pStyle w:val="28"/>
              <w:keepNext w:val="0"/>
              <w:keepLines w:val="0"/>
              <w:framePr w:w="9949" w:wrap="auto" w:vAnchor="page" w:hAnchor="page" w:x="1120" w:y="14824"/>
              <w:widowControl w:val="0"/>
              <w:shd w:val="clear"/>
              <w:tabs>
                <w:tab w:val="left" w:pos="5123"/>
              </w:tabs>
              <w:bidi w:val="0"/>
              <w:spacing w:before="0" w:after="0" w:line="240" w:lineRule="auto"/>
              <w:ind w:right="0"/>
              <w:jc w:val="left"/>
              <w:rPr>
                <w:rFonts w:hint="default"/>
                <w:color w:val="000000"/>
                <w:spacing w:val="0"/>
                <w:w w:val="100"/>
                <w:position w:val="0"/>
                <w:shd w:val="clear" w:color="auto" w:fill="auto"/>
                <w:vertAlign w:val="baseline"/>
                <w:lang w:val="en-US" w:eastAsia="ru-RU" w:bidi="ru-RU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vertAlign w:val="baseline"/>
                <w:lang w:val="ru-RU" w:eastAsia="ru-RU" w:bidi="ru-RU"/>
              </w:rPr>
              <w:t>М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vertAlign w:val="baseline"/>
                <w:lang w:val="en-US" w:eastAsia="ru-RU" w:bidi="ru-RU"/>
              </w:rPr>
              <w:t>.П.</w:t>
            </w:r>
          </w:p>
        </w:tc>
      </w:tr>
    </w:tbl>
    <w:p w14:paraId="6827D83E">
      <w:pPr>
        <w:widowControl w:val="0"/>
        <w:spacing w:line="1" w:lineRule="exact"/>
        <w:sectPr>
          <w:footnotePr>
            <w:numFmt w:val="decimal"/>
          </w:footnotePr>
          <w:pgSz w:w="11900" w:h="16840"/>
          <w:pgMar w:top="360" w:right="360" w:bottom="360" w:left="360" w:header="0" w:footer="3" w:gutter="0"/>
          <w:cols w:space="720" w:num="1"/>
          <w:rtlGutter w:val="0"/>
          <w:docGrid w:linePitch="360" w:charSpace="0"/>
        </w:sectPr>
      </w:pPr>
    </w:p>
    <w:p w14:paraId="00C72CD3">
      <w:pPr>
        <w:pStyle w:val="27"/>
        <w:keepNext w:val="0"/>
        <w:keepLines w:val="0"/>
        <w:framePr w:w="15797" w:h="554" w:hRule="exact" w:wrap="auto" w:vAnchor="page" w:hAnchor="page" w:x="482" w:y="1053"/>
        <w:widowControl w:val="0"/>
        <w:shd w:val="clear" w:color="auto" w:fill="auto"/>
        <w:bidi w:val="0"/>
        <w:spacing w:before="0" w:after="0" w:line="240" w:lineRule="auto"/>
        <w:ind w:left="13040" w:right="28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Приложение № 1 к Техническому заданию</w:t>
      </w:r>
    </w:p>
    <w:p w14:paraId="2D876C9E">
      <w:pPr>
        <w:pStyle w:val="29"/>
        <w:keepNext w:val="0"/>
        <w:keepLines w:val="0"/>
        <w:framePr w:wrap="auto" w:vAnchor="page" w:hAnchor="page" w:x="7686" w:y="16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lang w:val="ru-RU"/>
        </w:rPr>
      </w:pPr>
      <w:r>
        <w:rPr>
          <w:lang w:val="ru-RU"/>
        </w:rPr>
        <w:t>Спецификация</w:t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6"/>
        <w:gridCol w:w="3438"/>
        <w:gridCol w:w="3798"/>
        <w:gridCol w:w="832"/>
        <w:gridCol w:w="1184"/>
        <w:gridCol w:w="1426"/>
        <w:gridCol w:w="4594"/>
      </w:tblGrid>
      <w:tr w14:paraId="056B5A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8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29420A6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№ п\ п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A79166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Наименование оборудования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ECC8058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Наименование работ, услуг, товара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2E375A4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Кол- во приб оров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4DAF627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Количес тво услуг (ед-)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6F6E73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Всего</w:t>
            </w:r>
          </w:p>
          <w:p w14:paraId="54A09E27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услуг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BB3587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Адреса установки оборудования</w:t>
            </w:r>
          </w:p>
        </w:tc>
      </w:tr>
      <w:tr w14:paraId="245BAE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B7D938D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B717A60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078CE38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5B0AE97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A450FFB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36D5179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AF563DA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</w:tr>
      <w:tr w14:paraId="22B496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0C7036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5337134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33B7F0F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3143200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B22C9DC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D9D8CD6">
            <w:pPr>
              <w:framePr w:w="15797" w:h="5425" w:wrap="auto" w:vAnchor="page" w:hAnchor="page" w:x="482" w:y="2317"/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70F2C0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Котельная расположенная по адресу РТ Елабужский район Елабужское лесничество Малый бор, квартал 7, здание кордона</w:t>
            </w:r>
          </w:p>
        </w:tc>
      </w:tr>
      <w:tr w14:paraId="0FB3BF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9" w:hRule="exact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C3C4FD0">
            <w:pPr>
              <w:framePr w:w="15797" w:h="5425" w:wrap="auto" w:vAnchor="page" w:hAnchor="page" w:x="482" w:y="2317"/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855432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Сигнализатор загазованности</w:t>
            </w:r>
          </w:p>
          <w:p w14:paraId="07E6CE7F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СГГ-6М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9734482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Техническое обслуживание анализаторов свойств газов, жидкостей, твердых и сыпучих тел, газосигнализаторов поверка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DFE674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275573E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9542E6D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203BE2">
            <w:pPr>
              <w:framePr w:w="15797" w:h="5425" w:wrap="auto" w:vAnchor="page" w:hAnchor="page" w:x="482" w:y="2317"/>
            </w:pPr>
          </w:p>
        </w:tc>
      </w:tr>
      <w:tr w14:paraId="6AE459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5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C9D341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7015E1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Сигнализатор оксида углерода,</w:t>
            </w:r>
          </w:p>
          <w:p w14:paraId="1FB8C73E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СОУ1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CAF6931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Техническое обслуживание анализаторов свойств газов, жидкостей, твердых и сыпучих тел, газосигнализаторов поверка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5A76A87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3DF1C1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052847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A96023C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Котельная расположенная по адресу РТ Елабужский район, Танаевский лес, Квартал 109</w:t>
            </w:r>
          </w:p>
        </w:tc>
      </w:tr>
      <w:tr w14:paraId="525005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8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3FA8E13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CE3570D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Сигнализаторы загазованности природным газом; СЗ-1, СЗ-1-2Г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67F0E7CD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Техническое обслуживание анализаторов свойств газов, жидкостей, твердых и сыпучих тел, газосигнализаторов поверка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F155EB5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2C8975C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4392187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8D1E3F">
            <w:pPr>
              <w:pStyle w:val="30"/>
              <w:keepNext w:val="0"/>
              <w:keepLines w:val="0"/>
              <w:framePr w:w="15797" w:h="5425" w:wrap="auto" w:vAnchor="page" w:hAnchor="page" w:x="482" w:y="23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Котельная расположенная по адресу РТ г.Елабуга Набережно-Челнинское шоссе Д.7</w:t>
            </w:r>
          </w:p>
        </w:tc>
      </w:tr>
    </w:tbl>
    <w:p w14:paraId="50339907">
      <w:pPr>
        <w:pStyle w:val="29"/>
        <w:keepNext w:val="0"/>
        <w:keepLines w:val="0"/>
        <w:framePr w:w="7476" w:h="1976" w:hRule="exact" w:wrap="auto" w:vAnchor="page" w:hAnchor="page" w:x="8748" w:y="78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ПОДРЯДЧИК:</w:t>
      </w:r>
    </w:p>
    <w:p w14:paraId="7093066C">
      <w:pPr>
        <w:pStyle w:val="29"/>
        <w:keepNext w:val="0"/>
        <w:keepLines w:val="0"/>
        <w:framePr w:w="7476" w:h="1976" w:hRule="exact" w:wrap="auto" w:vAnchor="page" w:hAnchor="page" w:x="8748" w:y="78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</w:pPr>
    </w:p>
    <w:p w14:paraId="03ABE396">
      <w:pPr>
        <w:pStyle w:val="29"/>
        <w:keepNext w:val="0"/>
        <w:keepLines w:val="0"/>
        <w:framePr w:w="7476" w:h="1976" w:hRule="exact" w:wrap="auto" w:vAnchor="page" w:hAnchor="page" w:x="8748" w:y="78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</w:pPr>
    </w:p>
    <w:p w14:paraId="359168E8">
      <w:pPr>
        <w:pStyle w:val="29"/>
        <w:keepNext w:val="0"/>
        <w:keepLines w:val="0"/>
        <w:framePr w:w="7476" w:h="1976" w:hRule="exact" w:wrap="auto" w:vAnchor="page" w:hAnchor="page" w:x="8748" w:y="7857"/>
        <w:widowControl w:val="0"/>
        <w:pBdr>
          <w:bottom w:val="single" w:color="auto" w:sz="12" w:space="0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</w:pPr>
    </w:p>
    <w:p w14:paraId="05A4F47B">
      <w:pPr>
        <w:pStyle w:val="29"/>
        <w:keepNext w:val="0"/>
        <w:keepLines w:val="0"/>
        <w:framePr w:w="7476" w:h="1976" w:hRule="exact" w:wrap="auto" w:vAnchor="page" w:hAnchor="page" w:x="8748" w:y="78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</w:pPr>
      <w:r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  <w:t>М.П.</w:t>
      </w:r>
    </w:p>
    <w:p w14:paraId="2E7394EA">
      <w:pPr>
        <w:pStyle w:val="29"/>
        <w:keepNext w:val="0"/>
        <w:keepLines w:val="0"/>
        <w:framePr w:w="7476" w:h="1976" w:hRule="exact" w:wrap="auto" w:vAnchor="page" w:hAnchor="page" w:x="8748" w:y="78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</w:pPr>
    </w:p>
    <w:p w14:paraId="4CC38877">
      <w:pPr>
        <w:pStyle w:val="28"/>
        <w:keepNext w:val="0"/>
        <w:keepLines w:val="0"/>
        <w:framePr w:w="6739" w:h="1719" w:hRule="exact" w:wrap="auto" w:vAnchor="page" w:hAnchor="page" w:x="1692" w:y="786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ЗАКАЗЧИК:</w:t>
      </w:r>
    </w:p>
    <w:p w14:paraId="49A32A89">
      <w:pPr>
        <w:pStyle w:val="28"/>
        <w:keepNext w:val="0"/>
        <w:keepLines w:val="0"/>
        <w:framePr w:w="6739" w:h="1719" w:hRule="exact" w:wrap="auto" w:vAnchor="page" w:hAnchor="page" w:x="1692" w:y="786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ФГБУ</w:t>
      </w:r>
      <w:r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  <w:t xml:space="preserve"> «Национальный парк «Нижняя Кама»</w:t>
      </w:r>
    </w:p>
    <w:p w14:paraId="68D7BC34">
      <w:pPr>
        <w:pStyle w:val="28"/>
        <w:keepNext w:val="0"/>
        <w:keepLines w:val="0"/>
        <w:framePr w:w="6739" w:h="1719" w:hRule="exact" w:wrap="auto" w:vAnchor="page" w:hAnchor="page" w:x="1692" w:y="786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</w:pPr>
    </w:p>
    <w:p w14:paraId="627AEFDC">
      <w:pPr>
        <w:pStyle w:val="28"/>
        <w:keepNext w:val="0"/>
        <w:keepLines w:val="0"/>
        <w:framePr w:w="6739" w:h="1719" w:hRule="exact" w:wrap="auto" w:vAnchor="page" w:hAnchor="page" w:x="1692" w:y="786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</w:pPr>
      <w:r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  <w:t>_____________________________А.А. Имамов</w:t>
      </w:r>
    </w:p>
    <w:p w14:paraId="2A7FBAFA">
      <w:pPr>
        <w:pStyle w:val="28"/>
        <w:keepNext w:val="0"/>
        <w:keepLines w:val="0"/>
        <w:framePr w:w="6739" w:h="1719" w:hRule="exact" w:wrap="auto" w:vAnchor="page" w:hAnchor="page" w:x="1692" w:y="786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</w:pPr>
      <w:r>
        <w:rPr>
          <w:rFonts w:hint="default"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en-US" w:eastAsia="ru-RU" w:bidi="ru-RU"/>
        </w:rPr>
        <w:t>М.П.</w:t>
      </w:r>
    </w:p>
    <w:p w14:paraId="261AAB08">
      <w:pPr>
        <w:widowControl w:val="0"/>
        <w:spacing w:line="1" w:lineRule="exact"/>
      </w:pPr>
    </w:p>
    <w:p w14:paraId="03A36155">
      <w:pPr>
        <w:jc w:val="both"/>
        <w:rPr>
          <w:sz w:val="18"/>
          <w:szCs w:val="18"/>
        </w:rPr>
      </w:pPr>
    </w:p>
    <w:sectPr>
      <w:footnotePr>
        <w:numFmt w:val="decimal"/>
      </w:footnotePr>
      <w:pgSz w:w="16840" w:h="11900" w:orient="landscape"/>
      <w:pgMar w:top="360" w:right="360" w:bottom="360" w:left="360" w:header="0" w:footer="3" w:gutter="0"/>
      <w:cols w:space="72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icrosoft Sans Serif">
    <w:panose1 w:val="020B0604020202020204"/>
    <w:charset w:val="86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8957666"/>
      <w:docPartObj>
        <w:docPartGallery w:val="autotext"/>
      </w:docPartObj>
    </w:sdtPr>
    <w:sdtContent>
      <w:p w14:paraId="79F74CB1">
        <w:pPr>
          <w:pStyle w:val="15"/>
        </w:pPr>
      </w:p>
      <w:p w14:paraId="67A0D39C">
        <w:pPr>
          <w:pStyle w:val="15"/>
          <w:tabs>
            <w:tab w:val="left" w:pos="5116"/>
          </w:tabs>
          <w:rPr>
            <w:lang w:val="en-US"/>
          </w:rPr>
        </w:pPr>
        <w:r>
          <w:rPr>
            <w:lang w:val="en-US"/>
          </w:rPr>
          <w:tab/>
        </w:r>
        <w:r>
          <w:rPr>
            <w:lang w:val="en-US"/>
          </w:rPr>
          <w:tab/>
        </w:r>
      </w:p>
    </w:sdtContent>
  </w:sdt>
  <w:p w14:paraId="44681B10">
    <w:pPr>
      <w:pStyle w:val="15"/>
      <w:rPr>
        <w:sz w:val="20"/>
        <w:szCs w:val="16"/>
        <w:lang w:val="en-US"/>
      </w:rPr>
    </w:pPr>
  </w:p>
  <w:p w14:paraId="00A0FF85">
    <w:pPr>
      <w:pStyle w:val="15"/>
      <w:rPr>
        <w:sz w:val="16"/>
        <w:szCs w:val="16"/>
        <w:lang w:val="en-US"/>
      </w:rPr>
    </w:pPr>
    <w:r>
      <w:rPr>
        <w:sz w:val="20"/>
        <w:szCs w:val="16"/>
        <w:lang w:val="en-US"/>
      </w:rPr>
      <w:tab/>
    </w:r>
    <w:r>
      <w:rPr>
        <w:sz w:val="20"/>
        <w:szCs w:val="16"/>
        <w:lang w:val="en-US"/>
      </w:rPr>
      <w:tab/>
    </w:r>
    <w:r>
      <w:rPr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</w:t>
    </w:r>
  </w:p>
  <w:p w14:paraId="08AE3B01">
    <w:pPr>
      <w:pStyle w:val="15"/>
      <w:rPr>
        <w:sz w:val="16"/>
        <w:szCs w:val="16"/>
        <w:lang w:val="en-US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426"/>
    <w:rsid w:val="000018C4"/>
    <w:rsid w:val="00002CA4"/>
    <w:rsid w:val="000066E4"/>
    <w:rsid w:val="00006BC1"/>
    <w:rsid w:val="000106DD"/>
    <w:rsid w:val="00011A3E"/>
    <w:rsid w:val="000123FD"/>
    <w:rsid w:val="00012C36"/>
    <w:rsid w:val="000153BD"/>
    <w:rsid w:val="0001604D"/>
    <w:rsid w:val="000166C6"/>
    <w:rsid w:val="000200AC"/>
    <w:rsid w:val="000207CD"/>
    <w:rsid w:val="000233A5"/>
    <w:rsid w:val="0002470C"/>
    <w:rsid w:val="0002554D"/>
    <w:rsid w:val="00037650"/>
    <w:rsid w:val="00037C07"/>
    <w:rsid w:val="000427E3"/>
    <w:rsid w:val="00054B5C"/>
    <w:rsid w:val="000551E1"/>
    <w:rsid w:val="00056503"/>
    <w:rsid w:val="00056B34"/>
    <w:rsid w:val="00056CBD"/>
    <w:rsid w:val="00057797"/>
    <w:rsid w:val="000623DC"/>
    <w:rsid w:val="0006245D"/>
    <w:rsid w:val="00065A5F"/>
    <w:rsid w:val="00065D96"/>
    <w:rsid w:val="000703E1"/>
    <w:rsid w:val="00073F45"/>
    <w:rsid w:val="00076857"/>
    <w:rsid w:val="00077217"/>
    <w:rsid w:val="00080E32"/>
    <w:rsid w:val="0008392D"/>
    <w:rsid w:val="00085D69"/>
    <w:rsid w:val="00090FCC"/>
    <w:rsid w:val="00092095"/>
    <w:rsid w:val="00096F4B"/>
    <w:rsid w:val="0009715C"/>
    <w:rsid w:val="000A1F1A"/>
    <w:rsid w:val="000A20BE"/>
    <w:rsid w:val="000A43BC"/>
    <w:rsid w:val="000A72C0"/>
    <w:rsid w:val="000B0424"/>
    <w:rsid w:val="000B0D82"/>
    <w:rsid w:val="000B295D"/>
    <w:rsid w:val="000B2CC2"/>
    <w:rsid w:val="000B3386"/>
    <w:rsid w:val="000B62B7"/>
    <w:rsid w:val="000B6D43"/>
    <w:rsid w:val="000B723E"/>
    <w:rsid w:val="000C0085"/>
    <w:rsid w:val="000C146F"/>
    <w:rsid w:val="000C1B55"/>
    <w:rsid w:val="000C1F1C"/>
    <w:rsid w:val="000C2CC7"/>
    <w:rsid w:val="000C2F8A"/>
    <w:rsid w:val="000C39DD"/>
    <w:rsid w:val="000C3F81"/>
    <w:rsid w:val="000C6213"/>
    <w:rsid w:val="000C6FCD"/>
    <w:rsid w:val="000C74A6"/>
    <w:rsid w:val="000C7FEE"/>
    <w:rsid w:val="000D06F0"/>
    <w:rsid w:val="000D2F30"/>
    <w:rsid w:val="000D2F41"/>
    <w:rsid w:val="000D741D"/>
    <w:rsid w:val="000E23D7"/>
    <w:rsid w:val="000E5819"/>
    <w:rsid w:val="000E7BD3"/>
    <w:rsid w:val="000F03F2"/>
    <w:rsid w:val="000F03FA"/>
    <w:rsid w:val="000F1067"/>
    <w:rsid w:val="000F10E3"/>
    <w:rsid w:val="000F356B"/>
    <w:rsid w:val="000F509C"/>
    <w:rsid w:val="000F62F9"/>
    <w:rsid w:val="000F68DF"/>
    <w:rsid w:val="00122D1E"/>
    <w:rsid w:val="00123E08"/>
    <w:rsid w:val="00124103"/>
    <w:rsid w:val="00126608"/>
    <w:rsid w:val="00126FB1"/>
    <w:rsid w:val="001326BF"/>
    <w:rsid w:val="00133FE9"/>
    <w:rsid w:val="00137C7A"/>
    <w:rsid w:val="001423B4"/>
    <w:rsid w:val="00144E04"/>
    <w:rsid w:val="00145505"/>
    <w:rsid w:val="00147F7B"/>
    <w:rsid w:val="0015099D"/>
    <w:rsid w:val="00151058"/>
    <w:rsid w:val="00151F53"/>
    <w:rsid w:val="00152C3B"/>
    <w:rsid w:val="001548B5"/>
    <w:rsid w:val="00154AEE"/>
    <w:rsid w:val="00156133"/>
    <w:rsid w:val="00160520"/>
    <w:rsid w:val="001704D0"/>
    <w:rsid w:val="001707A2"/>
    <w:rsid w:val="00172097"/>
    <w:rsid w:val="00172CAC"/>
    <w:rsid w:val="00181AF8"/>
    <w:rsid w:val="001822AA"/>
    <w:rsid w:val="00187C4B"/>
    <w:rsid w:val="00190DBD"/>
    <w:rsid w:val="00191726"/>
    <w:rsid w:val="00191D8D"/>
    <w:rsid w:val="00193F64"/>
    <w:rsid w:val="0019730C"/>
    <w:rsid w:val="00197EB7"/>
    <w:rsid w:val="001A0089"/>
    <w:rsid w:val="001A219E"/>
    <w:rsid w:val="001A2E85"/>
    <w:rsid w:val="001A3C90"/>
    <w:rsid w:val="001A4936"/>
    <w:rsid w:val="001A557A"/>
    <w:rsid w:val="001A7DFA"/>
    <w:rsid w:val="001B009D"/>
    <w:rsid w:val="001B0419"/>
    <w:rsid w:val="001B28EC"/>
    <w:rsid w:val="001B753D"/>
    <w:rsid w:val="001C1F29"/>
    <w:rsid w:val="001C3C2C"/>
    <w:rsid w:val="001C5D2E"/>
    <w:rsid w:val="001C67A5"/>
    <w:rsid w:val="001D1C59"/>
    <w:rsid w:val="001D1DBF"/>
    <w:rsid w:val="001D3581"/>
    <w:rsid w:val="001D6E67"/>
    <w:rsid w:val="001D77E2"/>
    <w:rsid w:val="001D7ACD"/>
    <w:rsid w:val="001E1A53"/>
    <w:rsid w:val="001E5AC6"/>
    <w:rsid w:val="001E6E43"/>
    <w:rsid w:val="001E765C"/>
    <w:rsid w:val="001F577B"/>
    <w:rsid w:val="001F613A"/>
    <w:rsid w:val="001F6FAD"/>
    <w:rsid w:val="001F7025"/>
    <w:rsid w:val="002001C4"/>
    <w:rsid w:val="002100BD"/>
    <w:rsid w:val="00210128"/>
    <w:rsid w:val="00210258"/>
    <w:rsid w:val="00211CD0"/>
    <w:rsid w:val="002217EE"/>
    <w:rsid w:val="00227AC9"/>
    <w:rsid w:val="002300EA"/>
    <w:rsid w:val="00232D16"/>
    <w:rsid w:val="00232D79"/>
    <w:rsid w:val="00232E98"/>
    <w:rsid w:val="00232F27"/>
    <w:rsid w:val="00235298"/>
    <w:rsid w:val="00235ACB"/>
    <w:rsid w:val="00237E1F"/>
    <w:rsid w:val="00240608"/>
    <w:rsid w:val="00240620"/>
    <w:rsid w:val="00247474"/>
    <w:rsid w:val="002512E7"/>
    <w:rsid w:val="002521A3"/>
    <w:rsid w:val="00257BF3"/>
    <w:rsid w:val="00262341"/>
    <w:rsid w:val="0026715F"/>
    <w:rsid w:val="00271177"/>
    <w:rsid w:val="002724D2"/>
    <w:rsid w:val="00280273"/>
    <w:rsid w:val="00281574"/>
    <w:rsid w:val="00283E50"/>
    <w:rsid w:val="00291C9F"/>
    <w:rsid w:val="00293523"/>
    <w:rsid w:val="0029396C"/>
    <w:rsid w:val="002A038F"/>
    <w:rsid w:val="002A139B"/>
    <w:rsid w:val="002A56C1"/>
    <w:rsid w:val="002A5DCF"/>
    <w:rsid w:val="002A73D5"/>
    <w:rsid w:val="002B22C5"/>
    <w:rsid w:val="002B556D"/>
    <w:rsid w:val="002C26BF"/>
    <w:rsid w:val="002C2E3B"/>
    <w:rsid w:val="002C2EAD"/>
    <w:rsid w:val="002C4102"/>
    <w:rsid w:val="002D10E4"/>
    <w:rsid w:val="002D5067"/>
    <w:rsid w:val="002D57D4"/>
    <w:rsid w:val="002E2555"/>
    <w:rsid w:val="002E28E3"/>
    <w:rsid w:val="002E486B"/>
    <w:rsid w:val="002E49F2"/>
    <w:rsid w:val="002E7055"/>
    <w:rsid w:val="002E78A6"/>
    <w:rsid w:val="002F1A09"/>
    <w:rsid w:val="002F29C7"/>
    <w:rsid w:val="002F2C0C"/>
    <w:rsid w:val="002F52A7"/>
    <w:rsid w:val="002F5860"/>
    <w:rsid w:val="002F6356"/>
    <w:rsid w:val="002F7B04"/>
    <w:rsid w:val="00300121"/>
    <w:rsid w:val="003006B8"/>
    <w:rsid w:val="00305535"/>
    <w:rsid w:val="003056E3"/>
    <w:rsid w:val="00306C10"/>
    <w:rsid w:val="003102FA"/>
    <w:rsid w:val="003104C8"/>
    <w:rsid w:val="00313473"/>
    <w:rsid w:val="003143C9"/>
    <w:rsid w:val="003151F8"/>
    <w:rsid w:val="0031644A"/>
    <w:rsid w:val="00321BDF"/>
    <w:rsid w:val="00323A95"/>
    <w:rsid w:val="00330303"/>
    <w:rsid w:val="00331B49"/>
    <w:rsid w:val="00331EA5"/>
    <w:rsid w:val="00333403"/>
    <w:rsid w:val="0033420A"/>
    <w:rsid w:val="0033664A"/>
    <w:rsid w:val="00341C7F"/>
    <w:rsid w:val="00342001"/>
    <w:rsid w:val="00342C8F"/>
    <w:rsid w:val="00344C05"/>
    <w:rsid w:val="00345AFB"/>
    <w:rsid w:val="0035114C"/>
    <w:rsid w:val="003528EC"/>
    <w:rsid w:val="00352A23"/>
    <w:rsid w:val="00353636"/>
    <w:rsid w:val="00356853"/>
    <w:rsid w:val="00361FB3"/>
    <w:rsid w:val="00363650"/>
    <w:rsid w:val="00366040"/>
    <w:rsid w:val="003743A0"/>
    <w:rsid w:val="00374547"/>
    <w:rsid w:val="00376B28"/>
    <w:rsid w:val="00377677"/>
    <w:rsid w:val="0038148F"/>
    <w:rsid w:val="00383662"/>
    <w:rsid w:val="00383BDE"/>
    <w:rsid w:val="003847E9"/>
    <w:rsid w:val="00391D8D"/>
    <w:rsid w:val="00396D5C"/>
    <w:rsid w:val="003A4295"/>
    <w:rsid w:val="003A601C"/>
    <w:rsid w:val="003B2672"/>
    <w:rsid w:val="003B5E0A"/>
    <w:rsid w:val="003B605D"/>
    <w:rsid w:val="003D5731"/>
    <w:rsid w:val="003D5741"/>
    <w:rsid w:val="003D7AAE"/>
    <w:rsid w:val="003E53E0"/>
    <w:rsid w:val="003E600D"/>
    <w:rsid w:val="003F09DF"/>
    <w:rsid w:val="003F2B5E"/>
    <w:rsid w:val="003F54C7"/>
    <w:rsid w:val="003F7AFB"/>
    <w:rsid w:val="0040086F"/>
    <w:rsid w:val="004013BC"/>
    <w:rsid w:val="00404E7F"/>
    <w:rsid w:val="00412339"/>
    <w:rsid w:val="0041336F"/>
    <w:rsid w:val="0041341E"/>
    <w:rsid w:val="00414D37"/>
    <w:rsid w:val="00414D76"/>
    <w:rsid w:val="004175B1"/>
    <w:rsid w:val="00421204"/>
    <w:rsid w:val="00422595"/>
    <w:rsid w:val="004263ED"/>
    <w:rsid w:val="00427C74"/>
    <w:rsid w:val="00430AFD"/>
    <w:rsid w:val="00431D79"/>
    <w:rsid w:val="00433141"/>
    <w:rsid w:val="004342EA"/>
    <w:rsid w:val="00434DC2"/>
    <w:rsid w:val="00435EAF"/>
    <w:rsid w:val="004377B1"/>
    <w:rsid w:val="004409AD"/>
    <w:rsid w:val="00441454"/>
    <w:rsid w:val="00444F7F"/>
    <w:rsid w:val="0044584D"/>
    <w:rsid w:val="0044732C"/>
    <w:rsid w:val="004479A3"/>
    <w:rsid w:val="0045149F"/>
    <w:rsid w:val="004517E3"/>
    <w:rsid w:val="00453803"/>
    <w:rsid w:val="00456483"/>
    <w:rsid w:val="004570B7"/>
    <w:rsid w:val="0045780F"/>
    <w:rsid w:val="004602EA"/>
    <w:rsid w:val="00466B97"/>
    <w:rsid w:val="00466DD0"/>
    <w:rsid w:val="00467F5B"/>
    <w:rsid w:val="0047059D"/>
    <w:rsid w:val="004740DC"/>
    <w:rsid w:val="0047593E"/>
    <w:rsid w:val="00475B38"/>
    <w:rsid w:val="004830D5"/>
    <w:rsid w:val="00484093"/>
    <w:rsid w:val="00485B1E"/>
    <w:rsid w:val="00485BA1"/>
    <w:rsid w:val="00486FD1"/>
    <w:rsid w:val="004949D5"/>
    <w:rsid w:val="00494BF3"/>
    <w:rsid w:val="00496030"/>
    <w:rsid w:val="00496B41"/>
    <w:rsid w:val="00496ED5"/>
    <w:rsid w:val="0049762C"/>
    <w:rsid w:val="00497873"/>
    <w:rsid w:val="004A11F1"/>
    <w:rsid w:val="004A59BF"/>
    <w:rsid w:val="004B26A9"/>
    <w:rsid w:val="004B3A1F"/>
    <w:rsid w:val="004B5303"/>
    <w:rsid w:val="004B5E77"/>
    <w:rsid w:val="004B6816"/>
    <w:rsid w:val="004B6E4E"/>
    <w:rsid w:val="004B7620"/>
    <w:rsid w:val="004C0284"/>
    <w:rsid w:val="004C1242"/>
    <w:rsid w:val="004C2345"/>
    <w:rsid w:val="004C32ED"/>
    <w:rsid w:val="004C3ED4"/>
    <w:rsid w:val="004C5A7E"/>
    <w:rsid w:val="004C6173"/>
    <w:rsid w:val="004C6AC9"/>
    <w:rsid w:val="004D17FD"/>
    <w:rsid w:val="004D5184"/>
    <w:rsid w:val="004D5C18"/>
    <w:rsid w:val="004D5F5E"/>
    <w:rsid w:val="004D6851"/>
    <w:rsid w:val="004E1234"/>
    <w:rsid w:val="004E3738"/>
    <w:rsid w:val="004E48DF"/>
    <w:rsid w:val="004E5CAF"/>
    <w:rsid w:val="004E7E1A"/>
    <w:rsid w:val="004F05B8"/>
    <w:rsid w:val="004F06A8"/>
    <w:rsid w:val="004F0B01"/>
    <w:rsid w:val="004F4F13"/>
    <w:rsid w:val="004F619D"/>
    <w:rsid w:val="00500DB6"/>
    <w:rsid w:val="005031B6"/>
    <w:rsid w:val="005044D3"/>
    <w:rsid w:val="005047B9"/>
    <w:rsid w:val="00505731"/>
    <w:rsid w:val="00507578"/>
    <w:rsid w:val="005122D4"/>
    <w:rsid w:val="00512755"/>
    <w:rsid w:val="00512FF7"/>
    <w:rsid w:val="00514944"/>
    <w:rsid w:val="005176F6"/>
    <w:rsid w:val="00522B22"/>
    <w:rsid w:val="00524537"/>
    <w:rsid w:val="00524E78"/>
    <w:rsid w:val="00526074"/>
    <w:rsid w:val="00526A6B"/>
    <w:rsid w:val="00527728"/>
    <w:rsid w:val="0053072B"/>
    <w:rsid w:val="00531219"/>
    <w:rsid w:val="005312CD"/>
    <w:rsid w:val="005316BF"/>
    <w:rsid w:val="00531762"/>
    <w:rsid w:val="00532E03"/>
    <w:rsid w:val="00533072"/>
    <w:rsid w:val="005354F3"/>
    <w:rsid w:val="00535D78"/>
    <w:rsid w:val="005368CC"/>
    <w:rsid w:val="00541EF3"/>
    <w:rsid w:val="00542DB6"/>
    <w:rsid w:val="00543074"/>
    <w:rsid w:val="005448D5"/>
    <w:rsid w:val="00545195"/>
    <w:rsid w:val="00545D75"/>
    <w:rsid w:val="00545ECE"/>
    <w:rsid w:val="0054697F"/>
    <w:rsid w:val="00546EF0"/>
    <w:rsid w:val="0054708C"/>
    <w:rsid w:val="00551748"/>
    <w:rsid w:val="00552149"/>
    <w:rsid w:val="00552390"/>
    <w:rsid w:val="0055320A"/>
    <w:rsid w:val="00554C44"/>
    <w:rsid w:val="005557AC"/>
    <w:rsid w:val="00555A41"/>
    <w:rsid w:val="00560580"/>
    <w:rsid w:val="00561E9C"/>
    <w:rsid w:val="00566547"/>
    <w:rsid w:val="00567295"/>
    <w:rsid w:val="005729DC"/>
    <w:rsid w:val="005738B2"/>
    <w:rsid w:val="005760A1"/>
    <w:rsid w:val="00576F8B"/>
    <w:rsid w:val="005802E0"/>
    <w:rsid w:val="005820E0"/>
    <w:rsid w:val="005820F8"/>
    <w:rsid w:val="005831A2"/>
    <w:rsid w:val="005868F1"/>
    <w:rsid w:val="00596123"/>
    <w:rsid w:val="005A1516"/>
    <w:rsid w:val="005A529B"/>
    <w:rsid w:val="005A52BC"/>
    <w:rsid w:val="005A68E1"/>
    <w:rsid w:val="005A76E9"/>
    <w:rsid w:val="005B375F"/>
    <w:rsid w:val="005B551B"/>
    <w:rsid w:val="005B668E"/>
    <w:rsid w:val="005C0B87"/>
    <w:rsid w:val="005C0C93"/>
    <w:rsid w:val="005C1B84"/>
    <w:rsid w:val="005C436C"/>
    <w:rsid w:val="005C4DCB"/>
    <w:rsid w:val="005C4ED7"/>
    <w:rsid w:val="005C6DF6"/>
    <w:rsid w:val="005C7047"/>
    <w:rsid w:val="005D48B6"/>
    <w:rsid w:val="005D574E"/>
    <w:rsid w:val="005E1394"/>
    <w:rsid w:val="005E195F"/>
    <w:rsid w:val="005E313D"/>
    <w:rsid w:val="005E41DB"/>
    <w:rsid w:val="005E47B9"/>
    <w:rsid w:val="005E4FBC"/>
    <w:rsid w:val="005F1DEC"/>
    <w:rsid w:val="005F2EBF"/>
    <w:rsid w:val="005F580A"/>
    <w:rsid w:val="00600C67"/>
    <w:rsid w:val="00602A7F"/>
    <w:rsid w:val="00602E46"/>
    <w:rsid w:val="00612431"/>
    <w:rsid w:val="00613BFD"/>
    <w:rsid w:val="00621BA1"/>
    <w:rsid w:val="00621EB2"/>
    <w:rsid w:val="00622A74"/>
    <w:rsid w:val="006247CD"/>
    <w:rsid w:val="00624E2B"/>
    <w:rsid w:val="006262CE"/>
    <w:rsid w:val="006316DF"/>
    <w:rsid w:val="00633135"/>
    <w:rsid w:val="006350BD"/>
    <w:rsid w:val="00635B42"/>
    <w:rsid w:val="00641CEA"/>
    <w:rsid w:val="00642016"/>
    <w:rsid w:val="00642C86"/>
    <w:rsid w:val="006457C1"/>
    <w:rsid w:val="00645F39"/>
    <w:rsid w:val="006462AB"/>
    <w:rsid w:val="00646C05"/>
    <w:rsid w:val="00650B31"/>
    <w:rsid w:val="00651046"/>
    <w:rsid w:val="00652A9F"/>
    <w:rsid w:val="00656216"/>
    <w:rsid w:val="00656EFD"/>
    <w:rsid w:val="00660D1E"/>
    <w:rsid w:val="00660E2D"/>
    <w:rsid w:val="0066174A"/>
    <w:rsid w:val="00662DC5"/>
    <w:rsid w:val="00663A04"/>
    <w:rsid w:val="00664696"/>
    <w:rsid w:val="006718EC"/>
    <w:rsid w:val="00673826"/>
    <w:rsid w:val="00674670"/>
    <w:rsid w:val="00675410"/>
    <w:rsid w:val="00675589"/>
    <w:rsid w:val="00681F68"/>
    <w:rsid w:val="006827E1"/>
    <w:rsid w:val="006836CE"/>
    <w:rsid w:val="00683E90"/>
    <w:rsid w:val="00684046"/>
    <w:rsid w:val="00684DBA"/>
    <w:rsid w:val="00690CC9"/>
    <w:rsid w:val="00695005"/>
    <w:rsid w:val="00697CA0"/>
    <w:rsid w:val="006A39D8"/>
    <w:rsid w:val="006A5F2C"/>
    <w:rsid w:val="006A6910"/>
    <w:rsid w:val="006A7809"/>
    <w:rsid w:val="006B0CF3"/>
    <w:rsid w:val="006B431B"/>
    <w:rsid w:val="006B7C3C"/>
    <w:rsid w:val="006C2084"/>
    <w:rsid w:val="006C34A1"/>
    <w:rsid w:val="006C64CD"/>
    <w:rsid w:val="006D0442"/>
    <w:rsid w:val="006D157A"/>
    <w:rsid w:val="006D6141"/>
    <w:rsid w:val="006F1E30"/>
    <w:rsid w:val="006F32A7"/>
    <w:rsid w:val="006F3C50"/>
    <w:rsid w:val="006F5F66"/>
    <w:rsid w:val="007009A9"/>
    <w:rsid w:val="0070201A"/>
    <w:rsid w:val="00703D7E"/>
    <w:rsid w:val="00704B25"/>
    <w:rsid w:val="0070595E"/>
    <w:rsid w:val="00706003"/>
    <w:rsid w:val="007118AB"/>
    <w:rsid w:val="00711A8A"/>
    <w:rsid w:val="00713ECF"/>
    <w:rsid w:val="00716D33"/>
    <w:rsid w:val="00717A74"/>
    <w:rsid w:val="0072011E"/>
    <w:rsid w:val="00720CAB"/>
    <w:rsid w:val="00722DB3"/>
    <w:rsid w:val="007279E2"/>
    <w:rsid w:val="00727E42"/>
    <w:rsid w:val="00730696"/>
    <w:rsid w:val="007310CE"/>
    <w:rsid w:val="00732F8D"/>
    <w:rsid w:val="00733D32"/>
    <w:rsid w:val="00734D20"/>
    <w:rsid w:val="007403A2"/>
    <w:rsid w:val="00744998"/>
    <w:rsid w:val="007463E6"/>
    <w:rsid w:val="0075215D"/>
    <w:rsid w:val="007536DB"/>
    <w:rsid w:val="00753E43"/>
    <w:rsid w:val="00754809"/>
    <w:rsid w:val="007551C5"/>
    <w:rsid w:val="00755700"/>
    <w:rsid w:val="00757B9C"/>
    <w:rsid w:val="007622C6"/>
    <w:rsid w:val="00763AAA"/>
    <w:rsid w:val="00766A11"/>
    <w:rsid w:val="00772D9B"/>
    <w:rsid w:val="00773064"/>
    <w:rsid w:val="00774721"/>
    <w:rsid w:val="00774A86"/>
    <w:rsid w:val="00782EBC"/>
    <w:rsid w:val="0078411D"/>
    <w:rsid w:val="00790299"/>
    <w:rsid w:val="00790326"/>
    <w:rsid w:val="0079367E"/>
    <w:rsid w:val="00795944"/>
    <w:rsid w:val="007967D7"/>
    <w:rsid w:val="00796B1E"/>
    <w:rsid w:val="00797B77"/>
    <w:rsid w:val="007A254D"/>
    <w:rsid w:val="007A2CD2"/>
    <w:rsid w:val="007A3C0D"/>
    <w:rsid w:val="007A4FAF"/>
    <w:rsid w:val="007B1293"/>
    <w:rsid w:val="007B373B"/>
    <w:rsid w:val="007B3A8C"/>
    <w:rsid w:val="007B486D"/>
    <w:rsid w:val="007B5A76"/>
    <w:rsid w:val="007B7489"/>
    <w:rsid w:val="007B7595"/>
    <w:rsid w:val="007C0FB5"/>
    <w:rsid w:val="007C1FE5"/>
    <w:rsid w:val="007C3BD2"/>
    <w:rsid w:val="007C7450"/>
    <w:rsid w:val="007C7D49"/>
    <w:rsid w:val="007D398E"/>
    <w:rsid w:val="007D46FC"/>
    <w:rsid w:val="007D7CC1"/>
    <w:rsid w:val="007E2B63"/>
    <w:rsid w:val="007E2C04"/>
    <w:rsid w:val="007E3BCC"/>
    <w:rsid w:val="007E4BA4"/>
    <w:rsid w:val="007E512F"/>
    <w:rsid w:val="007F1824"/>
    <w:rsid w:val="007F1B69"/>
    <w:rsid w:val="007F2B50"/>
    <w:rsid w:val="007F2C31"/>
    <w:rsid w:val="007F4213"/>
    <w:rsid w:val="007F5D4E"/>
    <w:rsid w:val="007F72B7"/>
    <w:rsid w:val="008031AB"/>
    <w:rsid w:val="0080499D"/>
    <w:rsid w:val="00804D69"/>
    <w:rsid w:val="00805AFC"/>
    <w:rsid w:val="00805E59"/>
    <w:rsid w:val="00807487"/>
    <w:rsid w:val="00807927"/>
    <w:rsid w:val="008111F2"/>
    <w:rsid w:val="00813AEC"/>
    <w:rsid w:val="008150BA"/>
    <w:rsid w:val="00815FD1"/>
    <w:rsid w:val="0082034E"/>
    <w:rsid w:val="00821313"/>
    <w:rsid w:val="0082148A"/>
    <w:rsid w:val="00821CF8"/>
    <w:rsid w:val="00822DE7"/>
    <w:rsid w:val="008231DD"/>
    <w:rsid w:val="008260DD"/>
    <w:rsid w:val="008265FC"/>
    <w:rsid w:val="00831894"/>
    <w:rsid w:val="00831F4E"/>
    <w:rsid w:val="00835B40"/>
    <w:rsid w:val="008434A9"/>
    <w:rsid w:val="008472B8"/>
    <w:rsid w:val="0085047A"/>
    <w:rsid w:val="00850E81"/>
    <w:rsid w:val="00853975"/>
    <w:rsid w:val="008551F8"/>
    <w:rsid w:val="00856CC0"/>
    <w:rsid w:val="00860E3C"/>
    <w:rsid w:val="00867DA7"/>
    <w:rsid w:val="00870D67"/>
    <w:rsid w:val="0087367D"/>
    <w:rsid w:val="00874B63"/>
    <w:rsid w:val="008771F7"/>
    <w:rsid w:val="00881A96"/>
    <w:rsid w:val="00881E9E"/>
    <w:rsid w:val="008836C8"/>
    <w:rsid w:val="00883D92"/>
    <w:rsid w:val="00886F94"/>
    <w:rsid w:val="00887504"/>
    <w:rsid w:val="00891D55"/>
    <w:rsid w:val="0089372D"/>
    <w:rsid w:val="00893793"/>
    <w:rsid w:val="00894D00"/>
    <w:rsid w:val="00895398"/>
    <w:rsid w:val="00896706"/>
    <w:rsid w:val="0089777C"/>
    <w:rsid w:val="008A366D"/>
    <w:rsid w:val="008A3FC8"/>
    <w:rsid w:val="008A69DA"/>
    <w:rsid w:val="008B15A2"/>
    <w:rsid w:val="008B17D3"/>
    <w:rsid w:val="008B1AE9"/>
    <w:rsid w:val="008B1F67"/>
    <w:rsid w:val="008B3024"/>
    <w:rsid w:val="008B321C"/>
    <w:rsid w:val="008B5721"/>
    <w:rsid w:val="008B6FB9"/>
    <w:rsid w:val="008C2B0A"/>
    <w:rsid w:val="008C2B62"/>
    <w:rsid w:val="008D1CC7"/>
    <w:rsid w:val="008D56B0"/>
    <w:rsid w:val="008D5986"/>
    <w:rsid w:val="008E293E"/>
    <w:rsid w:val="008E3187"/>
    <w:rsid w:val="008E55CB"/>
    <w:rsid w:val="008E60A5"/>
    <w:rsid w:val="008E6E95"/>
    <w:rsid w:val="008E7919"/>
    <w:rsid w:val="008F423C"/>
    <w:rsid w:val="009020FA"/>
    <w:rsid w:val="00902FAC"/>
    <w:rsid w:val="00905AE9"/>
    <w:rsid w:val="009069A5"/>
    <w:rsid w:val="00911B7E"/>
    <w:rsid w:val="009160BC"/>
    <w:rsid w:val="00917522"/>
    <w:rsid w:val="00917EA7"/>
    <w:rsid w:val="00921670"/>
    <w:rsid w:val="00922B77"/>
    <w:rsid w:val="009236FE"/>
    <w:rsid w:val="009253E7"/>
    <w:rsid w:val="0092573A"/>
    <w:rsid w:val="0092717B"/>
    <w:rsid w:val="00932146"/>
    <w:rsid w:val="009335A3"/>
    <w:rsid w:val="009341E9"/>
    <w:rsid w:val="009360FE"/>
    <w:rsid w:val="009379C4"/>
    <w:rsid w:val="00937EA6"/>
    <w:rsid w:val="00941762"/>
    <w:rsid w:val="00941780"/>
    <w:rsid w:val="00942B5B"/>
    <w:rsid w:val="00946982"/>
    <w:rsid w:val="009471E6"/>
    <w:rsid w:val="009476E3"/>
    <w:rsid w:val="009476E6"/>
    <w:rsid w:val="0095079E"/>
    <w:rsid w:val="00950D9C"/>
    <w:rsid w:val="00954808"/>
    <w:rsid w:val="0095644E"/>
    <w:rsid w:val="009568C8"/>
    <w:rsid w:val="00956DE1"/>
    <w:rsid w:val="009608D3"/>
    <w:rsid w:val="00965997"/>
    <w:rsid w:val="009752C1"/>
    <w:rsid w:val="00976E6F"/>
    <w:rsid w:val="0097729C"/>
    <w:rsid w:val="009777BB"/>
    <w:rsid w:val="00981C3F"/>
    <w:rsid w:val="00985A5F"/>
    <w:rsid w:val="00990EAA"/>
    <w:rsid w:val="00992534"/>
    <w:rsid w:val="0099314E"/>
    <w:rsid w:val="00993806"/>
    <w:rsid w:val="00995B8D"/>
    <w:rsid w:val="00996696"/>
    <w:rsid w:val="009A0015"/>
    <w:rsid w:val="009A3CE9"/>
    <w:rsid w:val="009A540B"/>
    <w:rsid w:val="009A5CD6"/>
    <w:rsid w:val="009B1290"/>
    <w:rsid w:val="009B1495"/>
    <w:rsid w:val="009B2944"/>
    <w:rsid w:val="009B2D8F"/>
    <w:rsid w:val="009B3EA2"/>
    <w:rsid w:val="009B55AB"/>
    <w:rsid w:val="009C13A4"/>
    <w:rsid w:val="009C1D1C"/>
    <w:rsid w:val="009C3262"/>
    <w:rsid w:val="009C3AF6"/>
    <w:rsid w:val="009C4768"/>
    <w:rsid w:val="009C58F0"/>
    <w:rsid w:val="009D125B"/>
    <w:rsid w:val="009D2BBB"/>
    <w:rsid w:val="009D367C"/>
    <w:rsid w:val="009D3D04"/>
    <w:rsid w:val="009E073B"/>
    <w:rsid w:val="009E085E"/>
    <w:rsid w:val="009E6AC8"/>
    <w:rsid w:val="009E7499"/>
    <w:rsid w:val="009F1108"/>
    <w:rsid w:val="009F1426"/>
    <w:rsid w:val="009F217C"/>
    <w:rsid w:val="009F2A70"/>
    <w:rsid w:val="009F4ED0"/>
    <w:rsid w:val="00A03377"/>
    <w:rsid w:val="00A03932"/>
    <w:rsid w:val="00A06694"/>
    <w:rsid w:val="00A10C41"/>
    <w:rsid w:val="00A10F37"/>
    <w:rsid w:val="00A12BD9"/>
    <w:rsid w:val="00A14CEC"/>
    <w:rsid w:val="00A15250"/>
    <w:rsid w:val="00A16283"/>
    <w:rsid w:val="00A16A86"/>
    <w:rsid w:val="00A17020"/>
    <w:rsid w:val="00A17994"/>
    <w:rsid w:val="00A179AC"/>
    <w:rsid w:val="00A20B4D"/>
    <w:rsid w:val="00A2209B"/>
    <w:rsid w:val="00A23942"/>
    <w:rsid w:val="00A24A67"/>
    <w:rsid w:val="00A26746"/>
    <w:rsid w:val="00A304CC"/>
    <w:rsid w:val="00A31346"/>
    <w:rsid w:val="00A31E70"/>
    <w:rsid w:val="00A3630C"/>
    <w:rsid w:val="00A377C1"/>
    <w:rsid w:val="00A417ED"/>
    <w:rsid w:val="00A42EA0"/>
    <w:rsid w:val="00A43B0B"/>
    <w:rsid w:val="00A443D8"/>
    <w:rsid w:val="00A4528E"/>
    <w:rsid w:val="00A464B0"/>
    <w:rsid w:val="00A470A6"/>
    <w:rsid w:val="00A51AB4"/>
    <w:rsid w:val="00A5564D"/>
    <w:rsid w:val="00A60994"/>
    <w:rsid w:val="00A66F18"/>
    <w:rsid w:val="00A70E60"/>
    <w:rsid w:val="00A75169"/>
    <w:rsid w:val="00A81F2B"/>
    <w:rsid w:val="00A82ABA"/>
    <w:rsid w:val="00A93F94"/>
    <w:rsid w:val="00A9507F"/>
    <w:rsid w:val="00A97460"/>
    <w:rsid w:val="00AA05E9"/>
    <w:rsid w:val="00AA06D7"/>
    <w:rsid w:val="00AA1596"/>
    <w:rsid w:val="00AA6CE1"/>
    <w:rsid w:val="00AA7A5C"/>
    <w:rsid w:val="00AB0D7E"/>
    <w:rsid w:val="00AB2975"/>
    <w:rsid w:val="00AB2DD4"/>
    <w:rsid w:val="00AB56D6"/>
    <w:rsid w:val="00AB68A3"/>
    <w:rsid w:val="00AB79C9"/>
    <w:rsid w:val="00AC7030"/>
    <w:rsid w:val="00AC7F35"/>
    <w:rsid w:val="00AD0352"/>
    <w:rsid w:val="00AD2A6A"/>
    <w:rsid w:val="00AD6376"/>
    <w:rsid w:val="00AD6C06"/>
    <w:rsid w:val="00AD6D08"/>
    <w:rsid w:val="00AE0A38"/>
    <w:rsid w:val="00AE190B"/>
    <w:rsid w:val="00AE21F0"/>
    <w:rsid w:val="00AE3D9D"/>
    <w:rsid w:val="00AE4C9B"/>
    <w:rsid w:val="00AE60B7"/>
    <w:rsid w:val="00AF20EE"/>
    <w:rsid w:val="00AF226F"/>
    <w:rsid w:val="00AF2FEC"/>
    <w:rsid w:val="00AF6963"/>
    <w:rsid w:val="00AF7652"/>
    <w:rsid w:val="00B0016C"/>
    <w:rsid w:val="00B00D1F"/>
    <w:rsid w:val="00B01231"/>
    <w:rsid w:val="00B02182"/>
    <w:rsid w:val="00B02F8F"/>
    <w:rsid w:val="00B065B7"/>
    <w:rsid w:val="00B11C07"/>
    <w:rsid w:val="00B12DEE"/>
    <w:rsid w:val="00B13466"/>
    <w:rsid w:val="00B15B76"/>
    <w:rsid w:val="00B17A6F"/>
    <w:rsid w:val="00B24168"/>
    <w:rsid w:val="00B24A9A"/>
    <w:rsid w:val="00B25AAB"/>
    <w:rsid w:val="00B30DA6"/>
    <w:rsid w:val="00B31677"/>
    <w:rsid w:val="00B31D1D"/>
    <w:rsid w:val="00B32DAE"/>
    <w:rsid w:val="00B32E0D"/>
    <w:rsid w:val="00B33267"/>
    <w:rsid w:val="00B36017"/>
    <w:rsid w:val="00B37B63"/>
    <w:rsid w:val="00B37FCC"/>
    <w:rsid w:val="00B4284D"/>
    <w:rsid w:val="00B46728"/>
    <w:rsid w:val="00B46EDD"/>
    <w:rsid w:val="00B47FD0"/>
    <w:rsid w:val="00B51294"/>
    <w:rsid w:val="00B51527"/>
    <w:rsid w:val="00B54EA5"/>
    <w:rsid w:val="00B5637B"/>
    <w:rsid w:val="00B61D8F"/>
    <w:rsid w:val="00B6247F"/>
    <w:rsid w:val="00B6278E"/>
    <w:rsid w:val="00B62925"/>
    <w:rsid w:val="00B632BC"/>
    <w:rsid w:val="00B632C0"/>
    <w:rsid w:val="00B63BF0"/>
    <w:rsid w:val="00B66096"/>
    <w:rsid w:val="00B675B8"/>
    <w:rsid w:val="00B70258"/>
    <w:rsid w:val="00B71579"/>
    <w:rsid w:val="00B71FCE"/>
    <w:rsid w:val="00B75DC1"/>
    <w:rsid w:val="00B762B5"/>
    <w:rsid w:val="00B76A69"/>
    <w:rsid w:val="00B77841"/>
    <w:rsid w:val="00B807CB"/>
    <w:rsid w:val="00B810CC"/>
    <w:rsid w:val="00B813D7"/>
    <w:rsid w:val="00B814E5"/>
    <w:rsid w:val="00B81A9C"/>
    <w:rsid w:val="00B82BDD"/>
    <w:rsid w:val="00B83E8C"/>
    <w:rsid w:val="00B901E2"/>
    <w:rsid w:val="00B92ABE"/>
    <w:rsid w:val="00B931C6"/>
    <w:rsid w:val="00B9532B"/>
    <w:rsid w:val="00B95DAA"/>
    <w:rsid w:val="00B96352"/>
    <w:rsid w:val="00BA1546"/>
    <w:rsid w:val="00BA1CFF"/>
    <w:rsid w:val="00BA610C"/>
    <w:rsid w:val="00BB03FC"/>
    <w:rsid w:val="00BB1506"/>
    <w:rsid w:val="00BB3DFE"/>
    <w:rsid w:val="00BB4DE3"/>
    <w:rsid w:val="00BB5A1E"/>
    <w:rsid w:val="00BB641C"/>
    <w:rsid w:val="00BC0637"/>
    <w:rsid w:val="00BC2A46"/>
    <w:rsid w:val="00BC4EB5"/>
    <w:rsid w:val="00BC51F4"/>
    <w:rsid w:val="00BD041D"/>
    <w:rsid w:val="00BD0966"/>
    <w:rsid w:val="00BD19FA"/>
    <w:rsid w:val="00BD2F28"/>
    <w:rsid w:val="00BD3E19"/>
    <w:rsid w:val="00BD7271"/>
    <w:rsid w:val="00BE036B"/>
    <w:rsid w:val="00BE5D62"/>
    <w:rsid w:val="00BE6204"/>
    <w:rsid w:val="00BF1C19"/>
    <w:rsid w:val="00BF1EA7"/>
    <w:rsid w:val="00BF29CF"/>
    <w:rsid w:val="00BF43A4"/>
    <w:rsid w:val="00BF4648"/>
    <w:rsid w:val="00BF72A1"/>
    <w:rsid w:val="00C00812"/>
    <w:rsid w:val="00C00DDC"/>
    <w:rsid w:val="00C0165D"/>
    <w:rsid w:val="00C01B25"/>
    <w:rsid w:val="00C03316"/>
    <w:rsid w:val="00C054C6"/>
    <w:rsid w:val="00C077FC"/>
    <w:rsid w:val="00C16182"/>
    <w:rsid w:val="00C16AEC"/>
    <w:rsid w:val="00C17D2D"/>
    <w:rsid w:val="00C22299"/>
    <w:rsid w:val="00C23DD0"/>
    <w:rsid w:val="00C265A9"/>
    <w:rsid w:val="00C304C4"/>
    <w:rsid w:val="00C30C2E"/>
    <w:rsid w:val="00C3206D"/>
    <w:rsid w:val="00C32E7E"/>
    <w:rsid w:val="00C33841"/>
    <w:rsid w:val="00C36F50"/>
    <w:rsid w:val="00C41A1D"/>
    <w:rsid w:val="00C436F5"/>
    <w:rsid w:val="00C43BCA"/>
    <w:rsid w:val="00C44DAB"/>
    <w:rsid w:val="00C46336"/>
    <w:rsid w:val="00C46477"/>
    <w:rsid w:val="00C471AD"/>
    <w:rsid w:val="00C47FF4"/>
    <w:rsid w:val="00C50EAE"/>
    <w:rsid w:val="00C514E5"/>
    <w:rsid w:val="00C521CE"/>
    <w:rsid w:val="00C52224"/>
    <w:rsid w:val="00C537B9"/>
    <w:rsid w:val="00C5795E"/>
    <w:rsid w:val="00C57CC8"/>
    <w:rsid w:val="00C606E7"/>
    <w:rsid w:val="00C61551"/>
    <w:rsid w:val="00C64449"/>
    <w:rsid w:val="00C64B77"/>
    <w:rsid w:val="00C65E10"/>
    <w:rsid w:val="00C664A6"/>
    <w:rsid w:val="00C6689A"/>
    <w:rsid w:val="00C67203"/>
    <w:rsid w:val="00C673ED"/>
    <w:rsid w:val="00C67570"/>
    <w:rsid w:val="00C71997"/>
    <w:rsid w:val="00C74E43"/>
    <w:rsid w:val="00C74F60"/>
    <w:rsid w:val="00C76C5D"/>
    <w:rsid w:val="00C8107A"/>
    <w:rsid w:val="00C811C0"/>
    <w:rsid w:val="00C81D67"/>
    <w:rsid w:val="00C82F7A"/>
    <w:rsid w:val="00C83483"/>
    <w:rsid w:val="00C83A08"/>
    <w:rsid w:val="00C859F1"/>
    <w:rsid w:val="00C865F1"/>
    <w:rsid w:val="00C87978"/>
    <w:rsid w:val="00C87A0F"/>
    <w:rsid w:val="00C9016B"/>
    <w:rsid w:val="00C9070C"/>
    <w:rsid w:val="00C932E1"/>
    <w:rsid w:val="00C93475"/>
    <w:rsid w:val="00C936B3"/>
    <w:rsid w:val="00C9545D"/>
    <w:rsid w:val="00CA0037"/>
    <w:rsid w:val="00CA0CC8"/>
    <w:rsid w:val="00CA41CD"/>
    <w:rsid w:val="00CA5832"/>
    <w:rsid w:val="00CA6DB8"/>
    <w:rsid w:val="00CA731C"/>
    <w:rsid w:val="00CB193D"/>
    <w:rsid w:val="00CB314F"/>
    <w:rsid w:val="00CB3E9B"/>
    <w:rsid w:val="00CB4BB8"/>
    <w:rsid w:val="00CB5ACE"/>
    <w:rsid w:val="00CB621F"/>
    <w:rsid w:val="00CB6CBD"/>
    <w:rsid w:val="00CB70AA"/>
    <w:rsid w:val="00CC18AB"/>
    <w:rsid w:val="00CC32BD"/>
    <w:rsid w:val="00CC3840"/>
    <w:rsid w:val="00CC3FEB"/>
    <w:rsid w:val="00CC5273"/>
    <w:rsid w:val="00CC5D9F"/>
    <w:rsid w:val="00CD2A1C"/>
    <w:rsid w:val="00CD6E16"/>
    <w:rsid w:val="00CE1700"/>
    <w:rsid w:val="00CE268F"/>
    <w:rsid w:val="00CE2D45"/>
    <w:rsid w:val="00CE302D"/>
    <w:rsid w:val="00CE362C"/>
    <w:rsid w:val="00CE443D"/>
    <w:rsid w:val="00CE453C"/>
    <w:rsid w:val="00CE51DE"/>
    <w:rsid w:val="00CE6104"/>
    <w:rsid w:val="00CE6F5A"/>
    <w:rsid w:val="00CE7922"/>
    <w:rsid w:val="00CF255A"/>
    <w:rsid w:val="00CF685B"/>
    <w:rsid w:val="00D02334"/>
    <w:rsid w:val="00D115A5"/>
    <w:rsid w:val="00D117E5"/>
    <w:rsid w:val="00D12ED4"/>
    <w:rsid w:val="00D1350E"/>
    <w:rsid w:val="00D136C3"/>
    <w:rsid w:val="00D14EA3"/>
    <w:rsid w:val="00D157F3"/>
    <w:rsid w:val="00D15949"/>
    <w:rsid w:val="00D16380"/>
    <w:rsid w:val="00D16F3D"/>
    <w:rsid w:val="00D20466"/>
    <w:rsid w:val="00D22D3A"/>
    <w:rsid w:val="00D23A85"/>
    <w:rsid w:val="00D24D87"/>
    <w:rsid w:val="00D34030"/>
    <w:rsid w:val="00D35C8B"/>
    <w:rsid w:val="00D368BA"/>
    <w:rsid w:val="00D36933"/>
    <w:rsid w:val="00D37602"/>
    <w:rsid w:val="00D413CA"/>
    <w:rsid w:val="00D41F1D"/>
    <w:rsid w:val="00D42395"/>
    <w:rsid w:val="00D43885"/>
    <w:rsid w:val="00D44162"/>
    <w:rsid w:val="00D4500A"/>
    <w:rsid w:val="00D45282"/>
    <w:rsid w:val="00D51844"/>
    <w:rsid w:val="00D51CE3"/>
    <w:rsid w:val="00D53544"/>
    <w:rsid w:val="00D543A5"/>
    <w:rsid w:val="00D546BC"/>
    <w:rsid w:val="00D54C81"/>
    <w:rsid w:val="00D55A4C"/>
    <w:rsid w:val="00D55CDA"/>
    <w:rsid w:val="00D613FA"/>
    <w:rsid w:val="00D63652"/>
    <w:rsid w:val="00D66805"/>
    <w:rsid w:val="00D74B3F"/>
    <w:rsid w:val="00D76E52"/>
    <w:rsid w:val="00D81FD5"/>
    <w:rsid w:val="00D82AF4"/>
    <w:rsid w:val="00D8526F"/>
    <w:rsid w:val="00D877DB"/>
    <w:rsid w:val="00D9396F"/>
    <w:rsid w:val="00D964C5"/>
    <w:rsid w:val="00D97865"/>
    <w:rsid w:val="00DA02C9"/>
    <w:rsid w:val="00DA0AC2"/>
    <w:rsid w:val="00DA295C"/>
    <w:rsid w:val="00DA3314"/>
    <w:rsid w:val="00DA39CD"/>
    <w:rsid w:val="00DA4A3D"/>
    <w:rsid w:val="00DA7939"/>
    <w:rsid w:val="00DA7F56"/>
    <w:rsid w:val="00DB36EF"/>
    <w:rsid w:val="00DB408E"/>
    <w:rsid w:val="00DB64B2"/>
    <w:rsid w:val="00DB6A9F"/>
    <w:rsid w:val="00DC0D94"/>
    <w:rsid w:val="00DC2C66"/>
    <w:rsid w:val="00DC4DA1"/>
    <w:rsid w:val="00DC4E26"/>
    <w:rsid w:val="00DC65B3"/>
    <w:rsid w:val="00DC6E1F"/>
    <w:rsid w:val="00DC7E24"/>
    <w:rsid w:val="00DD0E33"/>
    <w:rsid w:val="00DD1062"/>
    <w:rsid w:val="00DD1460"/>
    <w:rsid w:val="00DD2A63"/>
    <w:rsid w:val="00DD2C12"/>
    <w:rsid w:val="00DD33CE"/>
    <w:rsid w:val="00DD4B85"/>
    <w:rsid w:val="00DD572F"/>
    <w:rsid w:val="00DD62F9"/>
    <w:rsid w:val="00DE108F"/>
    <w:rsid w:val="00DE35DF"/>
    <w:rsid w:val="00DE5D57"/>
    <w:rsid w:val="00DE5EF7"/>
    <w:rsid w:val="00DE65F9"/>
    <w:rsid w:val="00DE694C"/>
    <w:rsid w:val="00DE7F8C"/>
    <w:rsid w:val="00DF21A9"/>
    <w:rsid w:val="00DF30FC"/>
    <w:rsid w:val="00DF6EBA"/>
    <w:rsid w:val="00E002E0"/>
    <w:rsid w:val="00E00646"/>
    <w:rsid w:val="00E00CE6"/>
    <w:rsid w:val="00E02127"/>
    <w:rsid w:val="00E027BC"/>
    <w:rsid w:val="00E05279"/>
    <w:rsid w:val="00E05A97"/>
    <w:rsid w:val="00E108A7"/>
    <w:rsid w:val="00E110D0"/>
    <w:rsid w:val="00E20DE4"/>
    <w:rsid w:val="00E213AC"/>
    <w:rsid w:val="00E2646F"/>
    <w:rsid w:val="00E267C4"/>
    <w:rsid w:val="00E30B18"/>
    <w:rsid w:val="00E315E6"/>
    <w:rsid w:val="00E324C5"/>
    <w:rsid w:val="00E36FDE"/>
    <w:rsid w:val="00E377BF"/>
    <w:rsid w:val="00E42A53"/>
    <w:rsid w:val="00E44222"/>
    <w:rsid w:val="00E449E8"/>
    <w:rsid w:val="00E46B2B"/>
    <w:rsid w:val="00E51A87"/>
    <w:rsid w:val="00E5278B"/>
    <w:rsid w:val="00E536AF"/>
    <w:rsid w:val="00E54182"/>
    <w:rsid w:val="00E60C5C"/>
    <w:rsid w:val="00E62505"/>
    <w:rsid w:val="00E63B2D"/>
    <w:rsid w:val="00E64015"/>
    <w:rsid w:val="00E6498C"/>
    <w:rsid w:val="00E66B7A"/>
    <w:rsid w:val="00E67573"/>
    <w:rsid w:val="00E70131"/>
    <w:rsid w:val="00E70421"/>
    <w:rsid w:val="00E70EE5"/>
    <w:rsid w:val="00E7688F"/>
    <w:rsid w:val="00E76C3D"/>
    <w:rsid w:val="00E80D2A"/>
    <w:rsid w:val="00E82081"/>
    <w:rsid w:val="00E83804"/>
    <w:rsid w:val="00E84810"/>
    <w:rsid w:val="00E867C4"/>
    <w:rsid w:val="00E87A03"/>
    <w:rsid w:val="00E87A80"/>
    <w:rsid w:val="00E87E7B"/>
    <w:rsid w:val="00E901A5"/>
    <w:rsid w:val="00E907F2"/>
    <w:rsid w:val="00E91046"/>
    <w:rsid w:val="00E91487"/>
    <w:rsid w:val="00E92225"/>
    <w:rsid w:val="00E949C0"/>
    <w:rsid w:val="00E96C6B"/>
    <w:rsid w:val="00E9759A"/>
    <w:rsid w:val="00EA160D"/>
    <w:rsid w:val="00EA4EC3"/>
    <w:rsid w:val="00EB1F52"/>
    <w:rsid w:val="00EB3969"/>
    <w:rsid w:val="00EB6365"/>
    <w:rsid w:val="00EC569D"/>
    <w:rsid w:val="00ED0BF4"/>
    <w:rsid w:val="00ED246D"/>
    <w:rsid w:val="00ED2562"/>
    <w:rsid w:val="00ED3A52"/>
    <w:rsid w:val="00ED4DDE"/>
    <w:rsid w:val="00ED79F9"/>
    <w:rsid w:val="00EE00BB"/>
    <w:rsid w:val="00EE13A4"/>
    <w:rsid w:val="00EE44E3"/>
    <w:rsid w:val="00EE5884"/>
    <w:rsid w:val="00EF04F8"/>
    <w:rsid w:val="00EF0743"/>
    <w:rsid w:val="00EF08E3"/>
    <w:rsid w:val="00EF154B"/>
    <w:rsid w:val="00EF4C2D"/>
    <w:rsid w:val="00EF5257"/>
    <w:rsid w:val="00F00588"/>
    <w:rsid w:val="00F0371C"/>
    <w:rsid w:val="00F06344"/>
    <w:rsid w:val="00F0702C"/>
    <w:rsid w:val="00F10B10"/>
    <w:rsid w:val="00F23AF9"/>
    <w:rsid w:val="00F24D90"/>
    <w:rsid w:val="00F26A85"/>
    <w:rsid w:val="00F2728B"/>
    <w:rsid w:val="00F30C50"/>
    <w:rsid w:val="00F32448"/>
    <w:rsid w:val="00F32E42"/>
    <w:rsid w:val="00F32F55"/>
    <w:rsid w:val="00F3418A"/>
    <w:rsid w:val="00F3426A"/>
    <w:rsid w:val="00F35A8E"/>
    <w:rsid w:val="00F37B04"/>
    <w:rsid w:val="00F40297"/>
    <w:rsid w:val="00F40650"/>
    <w:rsid w:val="00F417BE"/>
    <w:rsid w:val="00F41CA4"/>
    <w:rsid w:val="00F41EA3"/>
    <w:rsid w:val="00F42011"/>
    <w:rsid w:val="00F467EE"/>
    <w:rsid w:val="00F537B5"/>
    <w:rsid w:val="00F56B92"/>
    <w:rsid w:val="00F610D6"/>
    <w:rsid w:val="00F6559F"/>
    <w:rsid w:val="00F72676"/>
    <w:rsid w:val="00F73257"/>
    <w:rsid w:val="00F743E4"/>
    <w:rsid w:val="00F80134"/>
    <w:rsid w:val="00F8048E"/>
    <w:rsid w:val="00F81194"/>
    <w:rsid w:val="00F90853"/>
    <w:rsid w:val="00F936EB"/>
    <w:rsid w:val="00F93818"/>
    <w:rsid w:val="00F93D66"/>
    <w:rsid w:val="00FB25F8"/>
    <w:rsid w:val="00FB32EB"/>
    <w:rsid w:val="00FB47B9"/>
    <w:rsid w:val="00FB4F86"/>
    <w:rsid w:val="00FB6773"/>
    <w:rsid w:val="00FC3FDD"/>
    <w:rsid w:val="00FC468A"/>
    <w:rsid w:val="00FC5A27"/>
    <w:rsid w:val="00FC6D99"/>
    <w:rsid w:val="00FD1D7A"/>
    <w:rsid w:val="00FD4D2E"/>
    <w:rsid w:val="00FD4FEF"/>
    <w:rsid w:val="00FE2924"/>
    <w:rsid w:val="00FE2B21"/>
    <w:rsid w:val="00FE5EE5"/>
    <w:rsid w:val="00FF2DB7"/>
    <w:rsid w:val="00FF67E3"/>
    <w:rsid w:val="00FF71F9"/>
    <w:rsid w:val="04634BE1"/>
    <w:rsid w:val="2E9C68BB"/>
    <w:rsid w:val="3CA20410"/>
    <w:rsid w:val="494F76DA"/>
    <w:rsid w:val="4FD30977"/>
    <w:rsid w:val="50891ECB"/>
    <w:rsid w:val="52B931C2"/>
    <w:rsid w:val="7B74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semiHidden/>
    <w:unhideWhenUsed/>
    <w:qFormat/>
    <w:uiPriority w:val="0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5"/>
    <w:basedOn w:val="1"/>
    <w:next w:val="1"/>
    <w:qFormat/>
    <w:uiPriority w:val="0"/>
    <w:pPr>
      <w:keepNext/>
      <w:framePr w:hSpace="180" w:wrap="around" w:vAnchor="text" w:hAnchor="margin" w:xAlign="right" w:y="185"/>
      <w:spacing w:line="360" w:lineRule="auto"/>
      <w:outlineLvl w:val="4"/>
    </w:pPr>
    <w:rPr>
      <w:sz w:val="30"/>
    </w:rPr>
  </w:style>
  <w:style w:type="paragraph" w:styleId="5">
    <w:name w:val="heading 6"/>
    <w:basedOn w:val="1"/>
    <w:next w:val="1"/>
    <w:qFormat/>
    <w:uiPriority w:val="0"/>
    <w:pPr>
      <w:keepNext/>
      <w:tabs>
        <w:tab w:val="center" w:pos="4677"/>
        <w:tab w:val="right" w:pos="9355"/>
      </w:tabs>
      <w:ind w:left="5400"/>
      <w:jc w:val="both"/>
      <w:outlineLvl w:val="5"/>
    </w:pPr>
    <w:rPr>
      <w:sz w:val="30"/>
      <w:szCs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otnote reference"/>
    <w:semiHidden/>
    <w:unhideWhenUsed/>
    <w:qFormat/>
    <w:uiPriority w:val="0"/>
    <w:rPr>
      <w:vertAlign w:val="superscript"/>
    </w:rPr>
  </w:style>
  <w:style w:type="character" w:styleId="9">
    <w:name w:val="Hyperlink"/>
    <w:basedOn w:val="6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Balloon Text"/>
    <w:basedOn w:val="1"/>
    <w:link w:val="21"/>
    <w:semiHidden/>
    <w:unhideWhenUsed/>
    <w:qFormat/>
    <w:uiPriority w:val="0"/>
    <w:rPr>
      <w:rFonts w:ascii="Segoe UI" w:hAnsi="Segoe UI" w:cs="Segoe UI"/>
      <w:sz w:val="18"/>
      <w:szCs w:val="18"/>
    </w:rPr>
  </w:style>
  <w:style w:type="paragraph" w:styleId="11">
    <w:name w:val="footnote text"/>
    <w:basedOn w:val="1"/>
    <w:link w:val="18"/>
    <w:semiHidden/>
    <w:unhideWhenUsed/>
    <w:qFormat/>
    <w:uiPriority w:val="0"/>
    <w:rPr>
      <w:sz w:val="20"/>
      <w:szCs w:val="20"/>
    </w:rPr>
  </w:style>
  <w:style w:type="paragraph" w:styleId="12">
    <w:name w:val="header"/>
    <w:basedOn w:val="1"/>
    <w:link w:val="22"/>
    <w:unhideWhenUsed/>
    <w:qFormat/>
    <w:uiPriority w:val="0"/>
    <w:pPr>
      <w:tabs>
        <w:tab w:val="center" w:pos="4677"/>
        <w:tab w:val="right" w:pos="9355"/>
      </w:tabs>
    </w:pPr>
  </w:style>
  <w:style w:type="paragraph" w:styleId="13">
    <w:name w:val="Body Text"/>
    <w:basedOn w:val="1"/>
    <w:qFormat/>
    <w:uiPriority w:val="0"/>
    <w:pPr>
      <w:spacing w:after="120"/>
    </w:pPr>
  </w:style>
  <w:style w:type="paragraph" w:styleId="14">
    <w:name w:val="Body Text Indent"/>
    <w:basedOn w:val="1"/>
    <w:qFormat/>
    <w:uiPriority w:val="0"/>
    <w:pPr>
      <w:spacing w:line="360" w:lineRule="auto"/>
      <w:ind w:firstLine="1080"/>
    </w:pPr>
  </w:style>
  <w:style w:type="paragraph" w:styleId="15">
    <w:name w:val="footer"/>
    <w:basedOn w:val="1"/>
    <w:link w:val="23"/>
    <w:unhideWhenUsed/>
    <w:qFormat/>
    <w:uiPriority w:val="99"/>
    <w:pPr>
      <w:tabs>
        <w:tab w:val="center" w:pos="4677"/>
        <w:tab w:val="right" w:pos="9355"/>
      </w:tabs>
    </w:pPr>
  </w:style>
  <w:style w:type="paragraph" w:styleId="16">
    <w:name w:val="Body Text Indent 2"/>
    <w:basedOn w:val="1"/>
    <w:qFormat/>
    <w:uiPriority w:val="0"/>
    <w:pPr>
      <w:spacing w:after="120" w:line="480" w:lineRule="auto"/>
      <w:ind w:left="283"/>
    </w:pPr>
  </w:style>
  <w:style w:type="table" w:styleId="17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Текст сноски Знак"/>
    <w:link w:val="11"/>
    <w:semiHidden/>
    <w:qFormat/>
    <w:uiPriority w:val="0"/>
    <w:rPr>
      <w:lang w:val="ru-RU" w:eastAsia="ru-RU" w:bidi="ar-SA"/>
    </w:rPr>
  </w:style>
  <w:style w:type="paragraph" w:customStyle="1" w:styleId="19">
    <w:name w:val="ConsPlusNon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20">
    <w:name w:val="apple-converted-space"/>
    <w:basedOn w:val="6"/>
    <w:qFormat/>
    <w:uiPriority w:val="0"/>
  </w:style>
  <w:style w:type="character" w:customStyle="1" w:styleId="21">
    <w:name w:val="Текст выноски Знак"/>
    <w:basedOn w:val="6"/>
    <w:link w:val="10"/>
    <w:semiHidden/>
    <w:qFormat/>
    <w:uiPriority w:val="0"/>
    <w:rPr>
      <w:rFonts w:ascii="Segoe UI" w:hAnsi="Segoe UI" w:cs="Segoe UI"/>
      <w:sz w:val="18"/>
      <w:szCs w:val="18"/>
    </w:rPr>
  </w:style>
  <w:style w:type="character" w:customStyle="1" w:styleId="22">
    <w:name w:val="Верхний колонтитул Знак"/>
    <w:basedOn w:val="6"/>
    <w:link w:val="12"/>
    <w:qFormat/>
    <w:uiPriority w:val="0"/>
    <w:rPr>
      <w:sz w:val="24"/>
      <w:szCs w:val="24"/>
    </w:rPr>
  </w:style>
  <w:style w:type="character" w:customStyle="1" w:styleId="23">
    <w:name w:val="Нижний колонтитул Знак"/>
    <w:basedOn w:val="6"/>
    <w:link w:val="15"/>
    <w:qFormat/>
    <w:uiPriority w:val="99"/>
    <w:rPr>
      <w:sz w:val="24"/>
      <w:szCs w:val="24"/>
    </w:rPr>
  </w:style>
  <w:style w:type="character" w:customStyle="1" w:styleId="24">
    <w:name w:val="fill"/>
    <w:qFormat/>
    <w:uiPriority w:val="0"/>
    <w:rPr>
      <w:b/>
      <w:bCs/>
      <w:i/>
      <w:iCs/>
      <w:color w:val="FF0000"/>
    </w:rPr>
  </w:style>
  <w:style w:type="character" w:customStyle="1" w:styleId="25">
    <w:name w:val="Заголовок 2 Знак"/>
    <w:basedOn w:val="6"/>
    <w:link w:val="3"/>
    <w:semiHidden/>
    <w:qFormat/>
    <w:uiPriority w:val="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customStyle="1" w:styleId="26">
    <w:name w:val="Заголовок №1"/>
    <w:basedOn w:val="1"/>
    <w:qFormat/>
    <w:uiPriority w:val="0"/>
    <w:pPr>
      <w:widowControl w:val="0"/>
      <w:shd w:val="clear" w:color="auto" w:fill="FFFFFF"/>
      <w:outlineLvl w:val="0"/>
    </w:pPr>
    <w:rPr>
      <w:rFonts w:ascii="Times New Roman" w:hAnsi="Times New Roman" w:eastAsia="Times New Roman" w:cs="Times New Roman"/>
      <w:b/>
      <w:bCs/>
      <w:sz w:val="22"/>
      <w:szCs w:val="22"/>
      <w:u w:val="none"/>
    </w:rPr>
  </w:style>
  <w:style w:type="paragraph" w:customStyle="1" w:styleId="27">
    <w:name w:val="Основной текст1"/>
    <w:basedOn w:val="1"/>
    <w:qFormat/>
    <w:uiPriority w:val="0"/>
    <w:pPr>
      <w:widowControl w:val="0"/>
      <w:shd w:val="clear" w:color="auto" w:fill="FFFFFF"/>
      <w:ind w:firstLine="400"/>
    </w:pPr>
    <w:rPr>
      <w:rFonts w:ascii="Times New Roman" w:hAnsi="Times New Roman" w:eastAsia="Times New Roman" w:cs="Times New Roman"/>
      <w:sz w:val="22"/>
      <w:szCs w:val="22"/>
      <w:u w:val="none"/>
    </w:rPr>
  </w:style>
  <w:style w:type="paragraph" w:customStyle="1" w:styleId="28">
    <w:name w:val="Основной текст (2)"/>
    <w:basedOn w:val="1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paragraph" w:customStyle="1" w:styleId="29">
    <w:name w:val="Подпись к таблице"/>
    <w:basedOn w:val="1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b/>
      <w:bCs/>
      <w:sz w:val="22"/>
      <w:szCs w:val="22"/>
      <w:u w:val="none"/>
    </w:rPr>
  </w:style>
  <w:style w:type="paragraph" w:customStyle="1" w:styleId="30">
    <w:name w:val="Другое"/>
    <w:basedOn w:val="1"/>
    <w:qFormat/>
    <w:uiPriority w:val="0"/>
    <w:pPr>
      <w:widowControl w:val="0"/>
      <w:shd w:val="clear" w:color="auto" w:fill="FFFFFF"/>
      <w:ind w:firstLine="400"/>
    </w:pPr>
    <w:rPr>
      <w:rFonts w:ascii="Times New Roman" w:hAnsi="Times New Roman" w:eastAsia="Times New Roman" w:cs="Times New Roman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84236-BB54-420B-8654-2AF9B23E8A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</Company>
  <Pages>8</Pages>
  <Words>1041</Words>
  <Characters>7649</Characters>
  <Lines>75</Lines>
  <Paragraphs>20</Paragraphs>
  <TotalTime>1</TotalTime>
  <ScaleCrop>false</ScaleCrop>
  <LinksUpToDate>false</LinksUpToDate>
  <CharactersWithSpaces>8691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2022-09-13T07:36:00Z</dcterms:created>
  <dc:creator>1</dc:creator>
  <cp:lastModifiedBy>admin</cp:lastModifiedBy>
  <cp:lastPrinted>2026-06-25T12:52:00Z</cp:lastPrinted>
  <dcterms:modified xsi:type="dcterms:W3CDTF">2026-08-11T07:52:35Z</dcterms:modified>
  <dc:title>ДОГОВОР №</dc:title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eyJoZGlkIjoiNGNhZmM3MDhlNTJmZDZhYzZiOTg4MzhkYzhlM2FiNTEifQ==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E40D7982557F4DFEB73980FEE2F84E81_13</vt:lpwstr>
  </property>
</Properties>
</file>