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ind w:left="0" w:firstLine="709"/>
        <w:jc w:val="center"/>
        <w:rPr>
          <w:rFonts w:ascii="Liberation Serif" w:hAnsi="Liberation Serif"/>
          <w:b/>
          <w:b/>
          <w:color w:val="000000"/>
          <w:sz w:val="26"/>
          <w:szCs w:val="26"/>
        </w:rPr>
      </w:pPr>
      <w:r>
        <w:rPr>
          <w:rFonts w:ascii="Liberation Serif" w:hAnsi="Liberation Serif"/>
          <w:b/>
          <w:color w:val="000000"/>
          <w:sz w:val="26"/>
          <w:szCs w:val="26"/>
        </w:rPr>
      </w:r>
    </w:p>
    <w:p>
      <w:pPr>
        <w:pStyle w:val="ListParagraph"/>
        <w:widowControl/>
        <w:bidi w:val="0"/>
        <w:spacing w:lineRule="auto" w:line="240" w:before="0" w:after="0"/>
        <w:ind w:left="0" w:right="0" w:hanging="0"/>
        <w:contextualSpacing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/>
          <w:color w:val="000000"/>
          <w:sz w:val="26"/>
          <w:szCs w:val="26"/>
        </w:rPr>
        <w:t>ТЕХНИЧЕСКОЕ ЗАДАНИЕ</w:t>
      </w:r>
    </w:p>
    <w:p>
      <w:pPr>
        <w:pStyle w:val="ListParagraph"/>
        <w:ind w:left="0" w:firstLine="709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/>
          <w:color w:val="000000"/>
          <w:sz w:val="26"/>
          <w:szCs w:val="26"/>
        </w:rPr>
        <w:t xml:space="preserve">на оказание услуг по предварительному медицинскому осмотру при приеме на работу  </w:t>
      </w:r>
    </w:p>
    <w:p>
      <w:pPr>
        <w:pStyle w:val="ListParagraph"/>
        <w:ind w:left="0" w:firstLine="709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/>
          <w:color w:val="000000"/>
          <w:sz w:val="26"/>
          <w:szCs w:val="26"/>
        </w:rPr>
        <w:t>Требования к оказанию услуг:</w:t>
      </w:r>
    </w:p>
    <w:p>
      <w:pPr>
        <w:pStyle w:val="ListParagraph"/>
        <w:ind w:left="0"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>1.1. Проведение медицинских осмотров в соответствии с приказом  Минздрава РФ от 28.01.2021 г. № 29 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 В соответствии с пунктами приложения № 1 к данному приказу:</w:t>
      </w:r>
    </w:p>
    <w:p>
      <w:pPr>
        <w:pStyle w:val="ListParagraph"/>
        <w:ind w:left="0"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>п. 2.4.3. Возбудители инфекционных заболеваний патогенные микроорганизмы III и IV групп патогенности и возбудители паразитарных заболеваний (гельминты, членистоногие).</w:t>
      </w:r>
    </w:p>
    <w:p>
      <w:pPr>
        <w:pStyle w:val="ListParagraph"/>
        <w:ind w:left="0"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>п. 27. Работы в медицинских организациях.</w:t>
      </w:r>
    </w:p>
    <w:p>
      <w:pPr>
        <w:pStyle w:val="ListParagraph"/>
        <w:ind w:left="0"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>п. 18.1. Категории "A", "B", "BE", трактора и другие самоходные машины, мини-трактора, мотоблоки, автопогрузчики, электрокары, регулировщики и т.п., автомобили всех категорий с ручным управлением для инвалидов, мотоколяски для инвалидов</w:t>
      </w:r>
    </w:p>
    <w:p>
      <w:pPr>
        <w:pStyle w:val="ListParagraph"/>
        <w:ind w:left="0"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>п. 5.2. Напряженность трудового процесса (сенсорные нагрузки).</w:t>
      </w:r>
    </w:p>
    <w:p>
      <w:pPr>
        <w:pStyle w:val="ListParagraph"/>
        <w:ind w:left="0"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/>
          <w:color w:val="000000"/>
          <w:sz w:val="26"/>
          <w:szCs w:val="26"/>
        </w:rPr>
        <w:t>Общие требования к данным услугам:</w:t>
      </w:r>
    </w:p>
    <w:p>
      <w:pPr>
        <w:pStyle w:val="ListParagraph"/>
        <w:numPr>
          <w:ilvl w:val="1"/>
          <w:numId w:val="1"/>
        </w:numPr>
        <w:ind w:left="0"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>Требования к применяемым стандартам, СНиП и прочим правилам:</w:t>
      </w:r>
    </w:p>
    <w:p>
      <w:pPr>
        <w:pStyle w:val="ListParagraph"/>
        <w:ind w:left="0" w:firstLine="709"/>
        <w:jc w:val="both"/>
        <w:rPr/>
      </w:pPr>
      <w:r>
        <w:rPr>
          <w:rFonts w:ascii="Liberation Serif" w:hAnsi="Liberation Serif"/>
          <w:color w:val="000000"/>
          <w:sz w:val="26"/>
          <w:szCs w:val="26"/>
        </w:rPr>
        <w:t xml:space="preserve">2.1.1. Предварительный и периодический медицинские осмотры проводятся во исполнение Федерального закона от 21.11.2011 г. №323-ФЗ «Об основах охраны труда здоровья граждан в Российской Федерации», согласно приказу </w:t>
      </w:r>
      <w:hyperlink r:id="rId2">
        <w:r>
          <w:rPr>
            <w:rFonts w:ascii="Liberation Serif" w:hAnsi="Liberation Serif"/>
            <w:color w:val="000000"/>
            <w:sz w:val="26"/>
            <w:szCs w:val="26"/>
          </w:rPr>
          <w:t xml:space="preserve"> Министерства здравоохранения РФ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</w:t>
        </w:r>
      </w:hyperlink>
    </w:p>
    <w:p>
      <w:pPr>
        <w:pStyle w:val="Normal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>2.1.2. В ходе оказания услуг Исполнитель обязан обеспечить проведение следующих услуг:</w:t>
      </w:r>
    </w:p>
    <w:p>
      <w:pPr>
        <w:pStyle w:val="ListParagraph"/>
        <w:numPr>
          <w:ilvl w:val="0"/>
          <w:numId w:val="2"/>
        </w:numPr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  <w:shd w:fill="auto" w:val="clear"/>
        </w:rPr>
        <w:t xml:space="preserve">Проведение </w:t>
      </w:r>
      <w:r>
        <w:rPr>
          <w:rFonts w:ascii="Liberation Serif" w:hAnsi="Liberation Serif"/>
          <w:b/>
          <w:color w:val="000000"/>
          <w:sz w:val="26"/>
          <w:szCs w:val="26"/>
          <w:shd w:fill="auto" w:val="clear"/>
        </w:rPr>
        <w:t>предварительных</w:t>
      </w:r>
      <w:r>
        <w:rPr>
          <w:rFonts w:ascii="Liberation Serif" w:hAnsi="Liberation Serif"/>
          <w:color w:val="000000"/>
          <w:sz w:val="26"/>
          <w:szCs w:val="26"/>
          <w:shd w:fill="auto" w:val="clear"/>
        </w:rPr>
        <w:t xml:space="preserve"> медицинских осмотров ориентировочно </w:t>
      </w:r>
      <w:r>
        <w:rPr>
          <w:rFonts w:ascii="Liberation Serif" w:hAnsi="Liberation Serif"/>
          <w:b/>
          <w:color w:val="000000"/>
          <w:sz w:val="26"/>
          <w:szCs w:val="26"/>
          <w:shd w:fill="auto" w:val="clear"/>
        </w:rPr>
        <w:t>5</w:t>
      </w:r>
      <w:r>
        <w:rPr>
          <w:rFonts w:ascii="Liberation Serif" w:hAnsi="Liberation Serif"/>
          <w:color w:val="000000"/>
          <w:sz w:val="26"/>
          <w:szCs w:val="26"/>
          <w:shd w:fill="auto" w:val="clear"/>
        </w:rPr>
        <w:t xml:space="preserve">  человек ;</w:t>
      </w:r>
    </w:p>
    <w:p>
      <w:pPr>
        <w:pStyle w:val="Normal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 xml:space="preserve">2.2. Предварительный медицинский осмотр проводятся на основании направления на медицинский осмотр, выданного соискателю работы в ФКУ «ГБ МСЭ по Республике Башкортостан» </w:t>
      </w:r>
      <w:r>
        <w:rPr>
          <w:rFonts w:ascii="Liberation Serif" w:hAnsi="Liberation Serif"/>
          <w:color w:val="000000"/>
          <w:sz w:val="26"/>
          <w:szCs w:val="26"/>
          <w:shd w:fill="auto" w:val="clear"/>
        </w:rPr>
        <w:t>Минтруда России .</w:t>
      </w:r>
    </w:p>
    <w:p>
      <w:pPr>
        <w:pStyle w:val="Normal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  <w:shd w:fill="auto" w:val="clear"/>
        </w:rPr>
        <w:t>2.3. Врачебная комиссия Исполнителя на основании указанных в направлении на предварительный медицинский осмотр, вредных производственных факторов или работ определяет необходимость участия в предварительных осмотрах соответствующих врачей-специалистов, а также виды и объемы необходимых лабораторных и функциональных исследований.</w:t>
      </w:r>
    </w:p>
    <w:p>
      <w:pPr>
        <w:pStyle w:val="Normal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/>
          <w:color w:val="000000"/>
          <w:sz w:val="26"/>
          <w:szCs w:val="26"/>
        </w:rPr>
        <w:t xml:space="preserve">Место оказания услуг: </w:t>
      </w:r>
    </w:p>
    <w:p>
      <w:pPr>
        <w:pStyle w:val="ListParagraph"/>
        <w:ind w:left="0"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>г. Уфа, Республика Башкортостан. Предварительные медицинский осмотр проводится по месту нахождения Исполнителя, на территории г. Уфа. Не далее 5 км. от местоположения  ФКУ «ГБ МСЭ по Республике Башкортостан» Минтруда России расположенный по адресу г.Уфа,ул. Бульвар Ибрагимова, 61.</w:t>
      </w:r>
    </w:p>
    <w:p>
      <w:pPr>
        <w:pStyle w:val="ListParagraph"/>
        <w:ind w:left="0"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/>
          <w:color w:val="000000"/>
          <w:sz w:val="26"/>
          <w:szCs w:val="26"/>
        </w:rPr>
        <w:t xml:space="preserve">Сроки выполнения оказания услуг: </w:t>
      </w:r>
    </w:p>
    <w:p>
      <w:pPr>
        <w:pStyle w:val="ListParagraph"/>
        <w:ind w:left="709" w:hanging="0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 xml:space="preserve">С </w:t>
      </w:r>
      <w:r>
        <w:rPr>
          <w:rFonts w:ascii="Liberation Serif" w:hAnsi="Liberation Serif"/>
          <w:color w:val="000000"/>
          <w:sz w:val="26"/>
          <w:szCs w:val="26"/>
        </w:rPr>
        <w:t>момента заключения контракта</w:t>
      </w:r>
      <w:r>
        <w:rPr>
          <w:rFonts w:ascii="Liberation Serif" w:hAnsi="Liberation Serif"/>
          <w:color w:val="000000"/>
          <w:sz w:val="26"/>
          <w:szCs w:val="26"/>
        </w:rPr>
        <w:t xml:space="preserve"> по  31.12.2026г.</w:t>
      </w:r>
    </w:p>
    <w:p>
      <w:pPr>
        <w:pStyle w:val="ListParagraph"/>
        <w:ind w:left="0"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left="737" w:right="0" w:hanging="0"/>
        <w:contextualSpacing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/>
          <w:bCs/>
          <w:color w:val="000000"/>
          <w:sz w:val="26"/>
          <w:szCs w:val="26"/>
        </w:rPr>
        <w:t>5.             Требования к качеству и безопасности услуг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5.1. Исполнитель, проводящий медицинские осмотры, обязан иметь лицензию на осуществляемый им вид медицинской деятельности в соответствии с п.46 ч.1 ст.12 Федерального Закона от 04.05.2001г. №99-ФЗ «О лицензировании отдельных видов деятельности», Постановлением Правительства РФ от 16.04.2012 №291 «О лицензировании медицинской деятельности, Приказом Минздрава России от 11.03.2013 № 121н «Об утверждении Требований к организации и выполнению работ (услуг) при оказании первичной медико-санитарной, специализированной (в том числе высокотехнологичной), скорой (в том числе скорой специализированной), паллиативной медицинской помощи, оказании медицинской помощи при санаторно-курортном лечении, при проведении медицинских экспертиз, медицинских осмотров, медицинских освидетельствований и санитарно-противоэпидемических (профилактических) мероприятий в рамках оказания медицинской помощи, при трансплантации (пересадке) органов и (или) тканей, обращении донорской крови и (или) ее компонентов в медицинских целях». Возможности участника закупки в оказании лечебно-профилактической помощи и услуг с наделённым правом заниматься медицинской практикой должны соответствовать предъявляемому объёму и функциям, в соответствии с представленным перечнем услуг технического задания.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5.2. При окончании срока действия лицензии до исполнения обязательств по контракту Исполнитель в установленные законодательством Российской Федерации сроки обязан обеспечить продление действующей лицензии.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 xml:space="preserve">5.3. У участника закупки должны быть все необходимые врачи-специалисты, а так же оборудование для проведения лабораторных  и функциональных исследований (наличие одноразовых медицинских расходных материалов для сбора биологического материала), в соответствии с приказом Минздрава РФ от 28.01.2021 г. № 29 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и иными нормативными правовыми актами, нормативными документами, документами, регламентирующими оказание медицинской помощи. 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5.4. При оказании услуг по проведению медицинского осмотра работников Заказчика, Исполнитель обязуется строго руководствоваться требованиям действующего законодательства РФ, в частности, соблюдать положения согласно Приказу  Минздрава РФ от 28.01.2021 г. № 29 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и иными нормативными правовыми актами, нормативными документами, документами, регламентирующими оказание медицинской помощи, а также проводить оказание услуг в соответствии с методиками и технологиями, утвержденными медицинскими стандартами, ГОСТами, ТУ на данный вид услуг.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5.5. По окончании прохождения лицом медицинского осмотра выдается медицинское заключение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5.6. В Заключении указывается:</w:t>
      </w:r>
    </w:p>
    <w:p>
      <w:pPr>
        <w:pStyle w:val="ListParagraph"/>
        <w:numPr>
          <w:ilvl w:val="0"/>
          <w:numId w:val="3"/>
        </w:numPr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дата выдачи Заключения;</w:t>
      </w:r>
    </w:p>
    <w:p>
      <w:pPr>
        <w:pStyle w:val="ListParagraph"/>
        <w:numPr>
          <w:ilvl w:val="0"/>
          <w:numId w:val="3"/>
        </w:numPr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фамилия, имя, отчество (при наличии), дата рождения, пол лица, поступающего на работу;</w:t>
      </w:r>
    </w:p>
    <w:p>
      <w:pPr>
        <w:pStyle w:val="ListParagraph"/>
        <w:numPr>
          <w:ilvl w:val="0"/>
          <w:numId w:val="3"/>
        </w:numPr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наименование Заказчика;</w:t>
      </w:r>
    </w:p>
    <w:p>
      <w:pPr>
        <w:pStyle w:val="ListParagraph"/>
        <w:numPr>
          <w:ilvl w:val="0"/>
          <w:numId w:val="3"/>
        </w:numPr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наименование структурного подразделения работодателя (при наличии), должности (профессии) или вида работы;</w:t>
      </w:r>
    </w:p>
    <w:p>
      <w:pPr>
        <w:pStyle w:val="ListParagraph"/>
        <w:numPr>
          <w:ilvl w:val="0"/>
          <w:numId w:val="3"/>
        </w:numPr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наименование вредного производственного фактора(-ов) и (или) вида работы;</w:t>
      </w:r>
    </w:p>
    <w:p>
      <w:pPr>
        <w:pStyle w:val="ListParagraph"/>
        <w:numPr>
          <w:ilvl w:val="0"/>
          <w:numId w:val="3"/>
        </w:numPr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противопоказания), медицинские противопоказания к работе не выявлены, указать группу здоровья работника.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 w:val="false"/>
          <w:bCs w:val="false"/>
          <w:color w:val="000000"/>
          <w:sz w:val="26"/>
          <w:szCs w:val="26"/>
        </w:rPr>
        <w:t>5.7. Заключение подписывается председателем врачебной комиссии с указанием фамилии и инициалов и заверяется печатью медицинской организации, проводившей предварительный осмотр.</w:t>
      </w:r>
    </w:p>
    <w:p>
      <w:pPr>
        <w:pStyle w:val="Normal"/>
        <w:jc w:val="both"/>
        <w:rPr>
          <w:rFonts w:ascii="Liberation Serif" w:hAnsi="Liberation Serif" w:cs="Times New Roman"/>
          <w:color w:val="000000"/>
          <w:sz w:val="26"/>
          <w:szCs w:val="26"/>
        </w:rPr>
      </w:pPr>
      <w:r>
        <w:rPr>
          <w:rFonts w:cs="Times New Roman" w:ascii="Liberation Serif" w:hAnsi="Liberation Serif"/>
          <w:color w:val="000000"/>
          <w:sz w:val="26"/>
          <w:szCs w:val="26"/>
        </w:rPr>
      </w:r>
    </w:p>
    <w:p>
      <w:pPr>
        <w:pStyle w:val="Normal"/>
        <w:jc w:val="both"/>
        <w:rPr>
          <w:rFonts w:ascii="Liberation Serif" w:hAnsi="Liberation Serif" w:cs="Times New Roman"/>
          <w:color w:val="000000"/>
          <w:sz w:val="26"/>
          <w:szCs w:val="26"/>
        </w:rPr>
      </w:pPr>
      <w:r>
        <w:rPr>
          <w:rFonts w:cs="Times New Roman" w:ascii="Liberation Serif" w:hAnsi="Liberation Serif"/>
          <w:color w:val="000000"/>
          <w:sz w:val="26"/>
          <w:szCs w:val="26"/>
        </w:rPr>
      </w:r>
    </w:p>
    <w:p>
      <w:pPr>
        <w:pStyle w:val="Normal"/>
        <w:jc w:val="both"/>
        <w:rPr>
          <w:rFonts w:ascii="Liberation Serif" w:hAnsi="Liberation Serif" w:cs="Times New Roman"/>
          <w:color w:val="000000"/>
          <w:sz w:val="26"/>
          <w:szCs w:val="26"/>
        </w:rPr>
      </w:pPr>
      <w:r>
        <w:rPr>
          <w:rFonts w:cs="Times New Roman" w:ascii="Liberation Serif" w:hAnsi="Liberation Serif"/>
          <w:color w:val="000000"/>
          <w:sz w:val="26"/>
          <w:szCs w:val="26"/>
        </w:rPr>
      </w:r>
    </w:p>
    <w:p>
      <w:pPr>
        <w:pStyle w:val="Normal"/>
        <w:jc w:val="both"/>
        <w:rPr>
          <w:rFonts w:ascii="Liberation Serif" w:hAnsi="Liberation Serif" w:cs="Times New Roman"/>
          <w:color w:val="000000"/>
          <w:sz w:val="26"/>
          <w:szCs w:val="26"/>
        </w:rPr>
      </w:pPr>
      <w:r>
        <w:rPr>
          <w:rFonts w:cs="Times New Roman" w:ascii="Liberation Serif" w:hAnsi="Liberation Serif"/>
          <w:color w:val="000000"/>
          <w:sz w:val="26"/>
          <w:szCs w:val="26"/>
        </w:rPr>
      </w:r>
    </w:p>
    <w:p>
      <w:pPr>
        <w:pStyle w:val="Normal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cs="Times New Roman" w:ascii="Liberation Serif" w:hAnsi="Liberation Serif"/>
          <w:color w:val="000000"/>
          <w:sz w:val="26"/>
          <w:szCs w:val="26"/>
        </w:rPr>
        <w:t>Специалист по ОТ  Фаризов И.Ф.</w:t>
      </w:r>
    </w:p>
    <w:sectPr>
      <w:type w:val="nextPage"/>
      <w:pgSz w:w="11906" w:h="16838"/>
      <w:pgMar w:left="1110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" w:asciiTheme="minorHAnsi" w:cstheme="minorBid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727d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FF0000"/>
      <w:spacing w:val="-14"/>
      <w:kern w:val="0"/>
      <w:sz w:val="28"/>
      <w:szCs w:val="28"/>
      <w:lang w:val="ru-RU" w:eastAsia="ru-RU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Hyperlink"/>
    <w:rPr>
      <w:color w:val="000080"/>
      <w:u w:val="single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3727da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internet.garant.ru/document/redirect/400258713/0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7E74B-FD41-45B9-88FB-745C8C29B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LibreOffice/7.4.7.2$Linux_X86_64 LibreOffice_project/40$Build-2</Application>
  <AppVersion>15.0000</AppVersion>
  <Pages>3</Pages>
  <Words>869</Words>
  <Characters>6512</Characters>
  <CharactersWithSpaces>7361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2024-07-18T06:19:00Z</dcterms:created>
  <dc:creator>Пользователь</dc:creator>
  <dc:description/>
  <dc:language>ru-RU</dc:language>
  <cp:lastModifiedBy/>
  <cp:lastPrinted>2025-12-18T10:10:45Z</cp:lastPrinted>
  <dcterms:modified xsi:type="dcterms:W3CDTF">2026-08-26T09:47:45Z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