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на оказание услуг по мытью окон здания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ФГБУ санаторий «Лесное» Минздрава России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1.Объект закупки: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оказание услуг по мытью окон </w:t>
      </w:r>
      <w:r>
        <w:rPr>
          <w:rFonts w:eastAsia="Times New Roman" w:ascii="Times New Roman" w:hAnsi="Times New Roman"/>
          <w:bCs/>
          <w:sz w:val="24"/>
          <w:szCs w:val="24"/>
          <w:lang w:eastAsia="zh-CN"/>
        </w:rPr>
        <w:t xml:space="preserve">главного корпуса </w:t>
      </w: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ФГБУ санаторий «Лесное» Минздрава России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bCs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2. Краткие характеристики оказываемых услуг: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оказание услуг </w:t>
      </w:r>
      <w:r>
        <w:rPr>
          <w:rFonts w:eastAsia="Times New Roman" w:ascii="Times New Roman" w:hAnsi="Times New Roman"/>
          <w:bCs/>
          <w:sz w:val="24"/>
          <w:szCs w:val="24"/>
          <w:lang w:eastAsia="zh-CN"/>
        </w:rPr>
        <w:t xml:space="preserve">по мытью наружной части окон главного корпуса </w:t>
      </w: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ФГБУ санаторий «Лесное» Минздрава России</w:t>
      </w:r>
      <w:r>
        <w:rPr>
          <w:rFonts w:eastAsia="Times New Roman" w:ascii="Times New Roman" w:hAnsi="Times New Roman"/>
          <w:bCs/>
          <w:sz w:val="24"/>
          <w:szCs w:val="24"/>
          <w:lang w:eastAsia="zh-CN"/>
        </w:rPr>
        <w:t>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Код ОКПД 2 81.22.11.000 Услуги по мытью окон.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themeColor="background1" w:val="FFFFFF"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3. Объем оказываемых услуг: 75 окон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 xml:space="preserve">4. Общие </w:t>
      </w: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>характеристики оказываемых услуг</w:t>
      </w: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: Мойка окон с внешней (наружной)  стороны. Удаление пятен и загрязнений, протирка металлических и пластиковых поверхностей, мойка элементов остеклений и откосов, удаление паутины.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5.Требования к качественным характеристикам услуг, требования к функциональным характеристикам услуг, безопасности: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 Исполнитель обязан оказывать услуги в порядке и на условиях, предусмотренных Контрактом и настоящим Техническим заданием, а также в соответствии с требованиями действующих актов, указанных в разделе 7 настоящего Технического задания.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Персонал Исполнителя обязан соблюдать конфиденциальность в отношении сведений о работе Заказчика, если эти сведения получены работниками Исполнителя во время их нахождения на территории или в помещениях Заказчика.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Персонал, оказывающий услуги, должен иметь средства индивидуальной защиты.</w:t>
      </w:r>
      <w:r>
        <w:rPr>
          <w:rFonts w:eastAsia="SimSun" w:ascii="Times New Roman" w:hAnsi="Times New Roman"/>
          <w:sz w:val="24"/>
          <w:szCs w:val="24"/>
        </w:rPr>
        <w:t xml:space="preserve"> Обеспечение работников специальной одеждой, инвентарем, моющими и дезинфицирующими средствами, оборудованием и материалами для оказания необходимого объема услуг возлагается на Исполнителя и входит в стоимость услуг.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Исполнитель оказывает услуги с применением собственного профессионального уборочного оборудования, инвентаря, расходных материалов. Для оказания услуг Исполнитель использует различные физические, химические и физикохимические способы (методы) удаления загрязнений, свободно лежащих на поверхности, загрязнений, сцепленных с поверхностью, загрязнений, проникших в структуру материала.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 xml:space="preserve">При оказании услуг Исполнитель обязан использовать оборудование и материалы, сертифицированные и применяющиеся на территории Российской Федерации в соответствии с требованиями законодательства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b/>
          <w:sz w:val="24"/>
          <w:szCs w:val="24"/>
        </w:rPr>
      </w:pPr>
      <w:r>
        <w:rPr>
          <w:rFonts w:eastAsia="SimSun" w:ascii="Times New Roman" w:hAnsi="Times New Roman"/>
          <w:b/>
          <w:sz w:val="24"/>
          <w:szCs w:val="24"/>
        </w:rPr>
        <w:t>Перечень оказываемых услуг: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Мытьё окон и протирка насухо (стекол, оконных рам, включая перемычки, торцевые поверхности, уплотнительные резинки рам, откосы, в том числе в труднодоступных местах).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SimSun" w:ascii="Times New Roman" w:hAnsi="Times New Roman"/>
          <w:sz w:val="24"/>
          <w:szCs w:val="24"/>
        </w:rPr>
        <w:t xml:space="preserve">Оказание услуг должно осуществляться без повреждений конструкций и наружной отделки зданий, инженерных коммуникаций, ограждающих конструкций, зеленых насаждений и прочего имущества Заказчика. 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Исполнитель несет материальную ответственность за ущерб, причиненный Заказчику, его сотрудникам, физическим лицам, движимому и недвижимому имуществу, а также окружающей среде, при условии доказанности вины Исполнителя.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Исполнитель гарантирует оказание услуг с соблюдением следующих условий: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SimSun" w:ascii="Times New Roman" w:hAnsi="Times New Roman"/>
          <w:sz w:val="24"/>
          <w:szCs w:val="24"/>
        </w:rPr>
        <w:t xml:space="preserve">- </w:t>
      </w:r>
      <w:r>
        <w:rPr>
          <w:rFonts w:eastAsia="Times New Roman" w:ascii="Times New Roman" w:hAnsi="Times New Roman"/>
          <w:sz w:val="24"/>
          <w:szCs w:val="24"/>
          <w:lang w:eastAsia="zh-CN"/>
        </w:rPr>
        <w:t>Исполнитель обязан обеспечить безопасные условия работы;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по окончании оказания услуг все места оказания услуг Исполнитель очищает от образовавшегося мусора, мыльной пены;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предоставляемые услуги по мытью окон выполняются своевременно, в полном объеме;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2"/>
        </w:rPr>
        <w:t xml:space="preserve">- услуги оказываются без прерывания рабочего процесса сотрудников в условиях функционирующего учреждения </w:t>
      </w:r>
      <w:r>
        <w:rPr>
          <w:rFonts w:eastAsia="SimSun" w:ascii="Times New Roman" w:hAnsi="Times New Roman"/>
          <w:sz w:val="24"/>
          <w:szCs w:val="24"/>
        </w:rPr>
        <w:t xml:space="preserve">(Пн-Пт: 08:00-14:00) </w:t>
      </w:r>
      <w:r>
        <w:rPr>
          <w:rFonts w:eastAsia="SimSun" w:ascii="Times New Roman" w:hAnsi="Times New Roman"/>
          <w:sz w:val="24"/>
          <w:szCs w:val="22"/>
        </w:rPr>
        <w:t>по рабочим дням;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услуги оказываются профессионально, с соблюдением технологии мытья, и последовательности осуществления требуемых технологических операций;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после мойки стекла должны быть чистыми, без разводов и пятен без атмосферных, биологических и иных технических загрязнений (пятен, высолов и т.п.);</w:t>
      </w:r>
    </w:p>
    <w:p>
      <w:pPr>
        <w:pStyle w:val="Normal"/>
        <w:spacing w:lineRule="auto" w:line="240" w:before="0" w:after="0"/>
        <w:ind w:firstLine="567"/>
        <w:jc w:val="both"/>
        <w:textAlignment w:val="baseline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Услуги по мытью окон должны оказываться Исполнителем с соблюдением действующих правил охраны труда и техники безопасности, пожарной безопасности, санитарно-гигиенических норм и производственных инструкций для персонала.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b/>
          <w:i/>
          <w:i/>
          <w:sz w:val="24"/>
          <w:szCs w:val="24"/>
        </w:rPr>
      </w:pPr>
      <w:r>
        <w:rPr>
          <w:rFonts w:eastAsia="SimSun" w:ascii="Times New Roman" w:hAnsi="Times New Roman"/>
          <w:b/>
          <w:i/>
          <w:sz w:val="24"/>
          <w:szCs w:val="24"/>
        </w:rPr>
        <w:t>Во время нахождения на территории Заказчика представителей Исполнителя, Исполнитель обязан обеспечить соблюдение своими сотрудниками установленных у Заказчика правил пропускного и охранного режима, противопожарного режима, правил охраны труда и техники безопасности, в том числе провести необходимый инструктаж указанных лиц.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 xml:space="preserve">Исполнитель оказывает услуги надлежащего качества </w:t>
      </w:r>
      <w:r>
        <w:rPr>
          <w:rFonts w:eastAsia="SimSun" w:ascii="Times New Roman" w:hAnsi="Times New Roman"/>
          <w:color w:val="000000"/>
          <w:sz w:val="24"/>
          <w:szCs w:val="16"/>
        </w:rPr>
        <w:t xml:space="preserve">в соответствии с требованиями, установленными Контрактом, законодательством РФ, государственными стандартами, иными нормами и правилами и обеспечивает </w:t>
      </w:r>
      <w:r>
        <w:rPr>
          <w:rFonts w:eastAsia="SimSun" w:ascii="Times New Roman" w:hAnsi="Times New Roman"/>
          <w:sz w:val="24"/>
          <w:szCs w:val="16"/>
        </w:rPr>
        <w:t>постоянный контроль качества оказываемых услуг.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b/>
          <w:sz w:val="24"/>
          <w:szCs w:val="16"/>
        </w:rPr>
      </w:pPr>
      <w:r>
        <w:rPr>
          <w:rFonts w:eastAsia="SimSun" w:ascii="Times New Roman" w:hAnsi="Times New Roman"/>
          <w:b/>
          <w:sz w:val="24"/>
          <w:szCs w:val="16"/>
        </w:rPr>
        <w:t>6. Требования к безопасности оказания услуг: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SimSun" w:cs="Arial"/>
          <w:sz w:val="24"/>
          <w:szCs w:val="24"/>
        </w:rPr>
      </w:pPr>
      <w:r>
        <w:rPr>
          <w:rFonts w:eastAsia="SimSun" w:cs="Arial" w:ascii="Times New Roman" w:hAnsi="Times New Roman"/>
          <w:sz w:val="24"/>
          <w:szCs w:val="24"/>
        </w:rPr>
        <w:t xml:space="preserve">Ответственность за нарушение требований техники безопасности при оказании услуг и компенсация ущерба пострадавшим, </w:t>
      </w:r>
      <w:r>
        <w:rPr>
          <w:rFonts w:eastAsia="SimSun" w:ascii="Times New Roman" w:hAnsi="Times New Roman"/>
          <w:sz w:val="24"/>
          <w:szCs w:val="16"/>
        </w:rPr>
        <w:t>в течение всего срока действия Контракта</w:t>
      </w:r>
      <w:r>
        <w:rPr>
          <w:rFonts w:eastAsia="SimSun" w:cs="Arial" w:ascii="Times New Roman" w:hAnsi="Times New Roman"/>
          <w:sz w:val="24"/>
          <w:szCs w:val="24"/>
        </w:rPr>
        <w:t xml:space="preserve"> лежит на Исполнителе. Исполнитель обязуется самостоятельно выплачивать страховые взносы по страховке на случай возможного получения трудового увечья при оказании услуг.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При оказании услуг Исполнитель обязан соблюдать требования пожарной безопасности в соответствии с требованиями актов, указанных в пункте настоящего Технического задания.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Исполнитель гарантирует, что применяемое оборудование и материалы соответствуют следующим требованиям: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используемое при оказании услуг оборудование и химические средства отвечают требованиям безопасности, разрешены к применению на территории Российской Федерации и Исполнитель гарантирует обеспечение их надлежащего хранения и применения;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постоянно обеспечивается наличие оборудования и химических средств, необходимых для обеспечения качественного оказания услуг на объекте Заказчика;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- утилизация отработанных материалов и химических средств, используемых при оказании услуг, а также бытовых отходов обслуживаемого объекта производится Исполнителем самостоятельно на основании действующих нормативных актов.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Персоналу Исполнителя запрещается: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употребление спиртных напитков, наркотических средств и психотропных веществ на территории Заказчика;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 xml:space="preserve">курение производится в специально отведенных местах на территории Заказчика;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появление в состоянии алкогольного и наркотического опьянения на территории Заказчика.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При эксплуатации электрооборудования должны быть соблюдены требования электробезопасности в соответствии с требованиями нормативами, установленными правовыми актами Российской Федерации.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SimSun"/>
          <w:sz w:val="24"/>
          <w:szCs w:val="16"/>
        </w:rPr>
      </w:pPr>
      <w:r>
        <w:rPr>
          <w:rFonts w:eastAsia="SimSun" w:ascii="Times New Roman" w:hAnsi="Times New Roman"/>
          <w:sz w:val="24"/>
          <w:szCs w:val="16"/>
        </w:rPr>
        <w:t>При оказании услуг на высоте необходимо руководствоваться требованиям безопасности в соответствии с актами, указанными в пункте 7 настоящего Технического задания.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SimSun" w:ascii="Times New Roman" w:hAnsi="Times New Roman"/>
          <w:b/>
          <w:sz w:val="24"/>
          <w:szCs w:val="16"/>
        </w:rPr>
        <w:t>7</w:t>
      </w: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. Требования соответствия нормативным документам (лицензии, допуски, разрешения, согласования):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7.1. Федеральный закон от 21.12.1994 № 69-ФЗ «О пожарной безопасности».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7.2. Федеральный закон от 24.06.1998 № 89-ФЗ «Об отходах производства и потребления».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7.3. Федеральный закон от 30.03.1999 № 52-ФЗ «О санитарно-эпидемиологическом благополучии населения».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7.4. Федеральный закон от 10.01.2002 № 7-ФЗ «Об охране окружающей среды».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7.5. Федеральный закон от 25.07.2002 № 115-ФЗ «О правовом положении иностранных граждан в Российской Федерации».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7.6. Постановление Правительства Российской Федерации от 25.04.2012 № 390 «О противопожарном режиме».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7.7. Постановление Госстандарта СССР от 14.06.1991 № 875 «ГОСТ 12.1.004-91. Межгосударственный стандарт. Система стандартов безопасности труда. Пожарная безопасность. Общие требования».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7.8. Постановление Госкомсанэпиднадзора Российской Федерации от 04.07.1996 № 12 «СанПиН 2.2.2.540-96. 2.2.2. Технологические процессы, сырье, материалы и оборудование, рабочий инструмент. Гигиенические требования к ручным инструментам и организации работ. Санитарные правила и нормы».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7.9. Приказ Минтруда России от 28.03.2014 № 155н «Об утверждении Правил по охране труда при работе на высоте».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7.10. Приказ Росстандарта от 11.11.2014 № 1554-ст «ГОСТ Р 51870-2014. Национальный стандарт Российской Федерации. Услуги профессиональной уборки – клининговые услуги. Общие технические условия».</w:t>
      </w:r>
    </w:p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8. Срок оказания услуг</w:t>
      </w: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: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Услуги должны быть оказаны не позднее 30 (тридцати) календарных дней с даты заключения Контракта. </w:t>
      </w:r>
    </w:p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 xml:space="preserve">9. </w:t>
      </w:r>
      <w:r>
        <w:rPr>
          <w:rFonts w:eastAsia="Times New Roman" w:ascii="Times New Roman" w:hAnsi="Times New Roman"/>
          <w:b/>
          <w:color w:val="000000"/>
          <w:sz w:val="24"/>
          <w:szCs w:val="24"/>
          <w:lang w:eastAsia="ru-RU"/>
        </w:rPr>
        <w:t>Требования к результатам услуг и иные показатели, связанные с определением соответствия оказанных услуг потребностям Заказчика (приемка услуг)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После мытья пыль и грязь со стекол и рам должны быть смыты, поверхность после мойки должна быть чистая без разводов и грязи. Моющие средства должны быть полностью смыты, удалены все сопутствующие мытью окон элементы (ветошь и проч.). Стеклянные поверхности, рамы, откосы и отливы должны быть вытерты насухо.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Не позднее 3 (трех) рабочих дней после завершения оказания услуг в сроки, не превышающие сроков, указанных в п. 8. Настоящего Технического задания, Исполнитель письменно уведомляет Заказчика о факте завершения оказания услуг и представляет Заказчику комплект отчетной документации, предусмотренной Техническим заданием, и Акт оказанных услуг, подписанный Исполнителем, в 2 (двух) экземплярах. К Акту оказанных услуг должны быть приложены следующие отчетные документы: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счет-фактура (при необходимости) в одном экземпляре;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счет на оплату оказанных услуг.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В случае если законодательством Российской Федерации при оказании подобного рода услуг предусмотрено получение и предоставление иных документов, не перечисленных в настоящем пункте, Исполнитель обязан передать Заказчику копии указанных документов, заверенные надлежащим образом.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Приемка результатов оказанных услуг происходит путем подписания Акта оказанных услуг по факту оказания услуг.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Оплата производится Заказчиком по факту оказания услуг в соответствии с условиями Контракта, после подписания Сторонами Акта оказанных услуг и предоставления Исполнителем отчетных документов.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b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10. Качественные и количественные характеристики поставляемых товаров, выполняемых работ, оказываемых услуг: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Гарантия качества услуг предоставляется Исполнителем в течение срока оказания услуг в полном объеме в соответствии с требованиями Контракта и настоящего Технического задания: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>объем оказываемых услуг должен соответствовать требованиям, установленным в Приложении № 1 «Перечень объектов закупки» к настоящему Техническому заданию;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  <w:t xml:space="preserve">качество используемого Исполнителем оборудования, инвентаря, расходных материалов и моющих (химических) средств должно соответствовать требованиям правовых актов Российской Федерации. </w:t>
      </w:r>
    </w:p>
    <w:p>
      <w:pPr>
        <w:pStyle w:val="Normal"/>
        <w:spacing w:lineRule="auto" w:line="259" w:before="0" w:after="160"/>
        <w:rPr>
          <w:rFonts w:ascii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  <w:lang w:eastAsia="ru-RU" w:bidi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к Техническому заданию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zh-CN"/>
        </w:rPr>
        <w:t xml:space="preserve">Описание объекта закупки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eastAsia="Times New Roman" w:ascii="Times New Roman" w:hAnsi="Times New Roman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zh-CN"/>
        </w:rPr>
        <w:t>Перечень объектов закупки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tbl>
      <w:tblPr>
        <w:tblW w:w="9915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34"/>
        <w:gridCol w:w="2231"/>
        <w:gridCol w:w="6650"/>
      </w:tblGrid>
      <w:tr>
        <w:trPr>
          <w:trHeight w:val="610" w:hRule="atLeast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zh-CN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zh-CN"/>
              </w:rPr>
              <w:t>Адрес объекта оказания услуг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zh-CN"/>
              </w:rPr>
              <w:t>Количество, месторасположениеи характеристики окон</w:t>
            </w:r>
          </w:p>
        </w:tc>
      </w:tr>
      <w:tr>
        <w:trPr>
          <w:trHeight w:val="610" w:hRule="atLeast"/>
        </w:trPr>
        <w:tc>
          <w:tcPr>
            <w:tcW w:w="10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zh-CN"/>
              </w:rPr>
              <w:t>Здание по адресу: 445003, РФ, Самарская обл., г.Тольятти, Лесопарковое шоссе, д. 2, главный корпус</w:t>
            </w:r>
          </w:p>
        </w:tc>
        <w:tc>
          <w:tcPr>
            <w:tcW w:w="6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40" w:after="0"/>
              <w:contextualSpacing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 этаж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Галерея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длина 1 пролета – 5.85; высота – 2,38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длина 2 пролета – 5,65; высота – 2.38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длина 3 пролета – 5,79; высота – 2,38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Холл перед лестницей в столовую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длина – 5,54; высота – 2.28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Цоколь перед теннисной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длина – 5,59; высота – 2,43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Теннисная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длина 1 пролета – 5.43; высота – 2,69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sz w:val="22"/>
                <w:szCs w:val="22"/>
              </w:rPr>
              <w:t>длина 2 пролета – 5,67; высота – 2.69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sz w:val="22"/>
                <w:szCs w:val="22"/>
              </w:rPr>
              <w:t>длина 3 пролета – 5,85; высота – 2,69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 этаж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ФО – 1 каб.249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1,71; длина – 1,70 ( 2 окна)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248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1,74; длина – 1,74 (1 окно)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1,73; длина – 1,72 (2 окно)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250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 высота – 1,97; длина – 5,79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холл </w:t>
            </w:r>
            <w:r>
              <w:rPr>
                <w:rFonts w:ascii="Times New Roman" w:hAnsi="Times New Roman"/>
                <w:sz w:val="22"/>
                <w:szCs w:val="22"/>
              </w:rPr>
              <w:t>-     высота – 2,04; длина – 5,74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251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2,12; длина – 5,86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252 каб.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грязное белье)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 высота – 1,75; длина – 1,75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каб.(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инвентарная)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1,75; длина – 1,76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254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туалет для пац)</w:t>
            </w:r>
            <w:r>
              <w:rPr>
                <w:rFonts w:ascii="Times New Roman" w:hAnsi="Times New Roman"/>
                <w:sz w:val="22"/>
                <w:szCs w:val="22"/>
              </w:rPr>
              <w:t>. – высота – 1,75; длина – 1,75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255 каб.(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душ)</w:t>
            </w:r>
            <w:r>
              <w:rPr>
                <w:rFonts w:ascii="Times New Roman" w:hAnsi="Times New Roman"/>
                <w:sz w:val="22"/>
                <w:szCs w:val="22"/>
              </w:rPr>
              <w:t>-  высота – 1,76; длина – 1,73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246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1,78; длина – 1,75 (3 окна)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245 каб.</w:t>
            </w:r>
            <w:r>
              <w:rPr>
                <w:rFonts w:ascii="Times New Roman" w:hAnsi="Times New Roman"/>
                <w:sz w:val="22"/>
                <w:szCs w:val="22"/>
              </w:rPr>
              <w:t>- высота – 2,09; длина – 5,86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холл 2 этажа администрация</w:t>
            </w:r>
            <w:r>
              <w:rPr>
                <w:rFonts w:ascii="Times New Roman" w:hAnsi="Times New Roman"/>
                <w:sz w:val="22"/>
                <w:szCs w:val="22"/>
              </w:rPr>
              <w:t>- высота – 2,02; длина – 5,93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 этаж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ФО-3 (правое крыло)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350 каб.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1,86; длина – 2,85 (1 окно)                                                    высота – 1,86; длина – 5,84 (2окно)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Холл левое крыло</w:t>
            </w:r>
            <w:r>
              <w:rPr>
                <w:rFonts w:ascii="Times New Roman" w:hAnsi="Times New Roman"/>
                <w:sz w:val="22"/>
                <w:szCs w:val="22"/>
              </w:rPr>
              <w:t>- высота – 1,85; длина – 5,88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340 каб</w:t>
            </w:r>
            <w:r>
              <w:rPr>
                <w:rFonts w:ascii="Times New Roman" w:hAnsi="Times New Roman"/>
                <w:sz w:val="22"/>
                <w:szCs w:val="22"/>
              </w:rPr>
              <w:t>.(туалет) – высота – 1,71; длина – 1,71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341 каб.(душ</w:t>
            </w:r>
            <w:r>
              <w:rPr>
                <w:rFonts w:ascii="Times New Roman" w:hAnsi="Times New Roman"/>
                <w:sz w:val="22"/>
                <w:szCs w:val="22"/>
              </w:rPr>
              <w:t>) – высота – 1,71; длина – 1,71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 лев крыла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1,70; длина – 1,75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4 этаж правое крыло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холл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1,97; длина – 5,84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452 каб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Туалет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1,75; длина – 1.75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455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каб.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Душ </w:t>
            </w:r>
            <w:r>
              <w:rPr>
                <w:rFonts w:ascii="Times New Roman" w:hAnsi="Times New Roman"/>
                <w:sz w:val="22"/>
                <w:szCs w:val="22"/>
              </w:rPr>
              <w:t>– высота – 1,70; длина – 1,70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1,75; длина – 1,75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4 этаж левое крыло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холл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1,94; длина – 5,81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440 каб. Туалет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1,75; длина – 1.75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441а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грязное белье)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1,79; длина – 1.82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441 (душ) </w:t>
            </w:r>
            <w:r>
              <w:rPr>
                <w:rFonts w:ascii="Times New Roman" w:hAnsi="Times New Roman"/>
                <w:sz w:val="22"/>
                <w:szCs w:val="22"/>
              </w:rPr>
              <w:t>– высота – 1,73; длина – 1,67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442 (туалет)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1,72; длина – 1.70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1,76; длина – 1,70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5 этаж правое крыло окно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около поста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1,67; длина – 2,61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548 каб.Грязное белье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1,70; длина – 1.70 (1окно)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1,72; длина – 1.7 (2 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холл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1,76; длина – 5,87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553каб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.(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инвентарная)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1,76; длина – 1,70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554 каб.  (туалет)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1,68; длина – 1.76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555 каб. (душ) </w:t>
            </w:r>
            <w:r>
              <w:rPr>
                <w:rFonts w:ascii="Times New Roman" w:hAnsi="Times New Roman"/>
                <w:sz w:val="22"/>
                <w:szCs w:val="22"/>
              </w:rPr>
              <w:t>– высота – 1,65; длина – 1,75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1,73; длина – 1,76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Тренажерный зал ааб.550 -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1,95; длина – 5,76 (1окно)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высота – 2,01; длина – 5,82(2ок.)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5 этаж левое крыло сестринская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1,75; длина – 1,70 ( 1 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1,75; длина – 1.70 (2оно.)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544а каб. (чистое белье)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 высота – 2,08; длина – 5,76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холл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2; длина – 5,84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544 каб.(туалет)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1,75; длина – 1.75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543 каб.( инвентарная)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1,84; длина – 1,80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540 каб. (туалет муж.)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1,72; длина – 1.78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541 каб.(душ)  </w:t>
            </w:r>
            <w:r>
              <w:rPr>
                <w:rFonts w:ascii="Times New Roman" w:hAnsi="Times New Roman"/>
                <w:sz w:val="22"/>
                <w:szCs w:val="22"/>
              </w:rPr>
              <w:t>–  высота – 1,65; длина – 1,75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1,72; длина – 1,76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6 этаж правое крыло 650 каб. Проц</w:t>
            </w:r>
            <w:r>
              <w:rPr>
                <w:rFonts w:ascii="Times New Roman" w:hAnsi="Times New Roman"/>
                <w:sz w:val="22"/>
                <w:szCs w:val="22"/>
              </w:rPr>
              <w:t>. – высота – 1,76; длина – 5.74 (1окно)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–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1,79; длина – 5.80 (2окно)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Холл правое крыло</w:t>
            </w:r>
            <w:r>
              <w:rPr>
                <w:rFonts w:ascii="Times New Roman" w:hAnsi="Times New Roman"/>
                <w:sz w:val="22"/>
                <w:szCs w:val="22"/>
              </w:rPr>
              <w:t>- высота – 1,87; длина – 5,82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654 каб.(туалет)</w:t>
            </w:r>
            <w:r>
              <w:rPr>
                <w:rFonts w:ascii="Times New Roman" w:hAnsi="Times New Roman"/>
                <w:sz w:val="22"/>
                <w:szCs w:val="22"/>
              </w:rPr>
              <w:t>– высота – 1,76; длина – 1.76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655 каб.(душ)  </w:t>
            </w:r>
            <w:r>
              <w:rPr>
                <w:rFonts w:ascii="Times New Roman" w:hAnsi="Times New Roman"/>
                <w:sz w:val="22"/>
                <w:szCs w:val="22"/>
              </w:rPr>
              <w:t>–  высота – 1,71; длина – 1,75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1,72; длина – 1,72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6 этаж левое крыло 645 каб. Галокам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1,73; длина – 1,60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644б 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ингаляторий)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 высота – 1,91; длина – 5,84 (1 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1,91; длина – 5,77 (2 окно)</w:t>
            </w:r>
          </w:p>
          <w:p>
            <w:pPr>
              <w:pStyle w:val="Normal"/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Холл 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высота – 1,92; длина – 5,81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644 каб (туалет)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1,74; длина – 1.78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640 каб .(душ ) </w:t>
            </w:r>
            <w:r>
              <w:rPr>
                <w:rFonts w:ascii="Times New Roman" w:hAnsi="Times New Roman"/>
                <w:sz w:val="22"/>
                <w:szCs w:val="22"/>
              </w:rPr>
              <w:t>–  высота – 1,73; длина – 1,77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641 каб. (туалет жен.)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высота – 1,74; длина – 1.80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Торец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 высота – 1,74; длина – 1,70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648 каб</w:t>
            </w:r>
            <w:r>
              <w:rPr>
                <w:rFonts w:ascii="Times New Roman" w:hAnsi="Times New Roman"/>
                <w:sz w:val="22"/>
                <w:szCs w:val="22"/>
              </w:rPr>
              <w:t>. (каб.массаж) – высота – 1,80; длина – 1,70 (1 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– </w:t>
            </w:r>
            <w:r>
              <w:rPr>
                <w:rFonts w:ascii="Times New Roman" w:hAnsi="Times New Roman"/>
                <w:sz w:val="22"/>
                <w:szCs w:val="22"/>
              </w:rPr>
              <w:t>высота – 1,80; длина – 1,80 (2ое окно)</w:t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7200" w:leader="none"/>
              </w:tabs>
              <w:spacing w:lineRule="auto" w:line="240" w:before="240"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40" w:before="24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widowControl w:val="false"/>
        <w:shd w:val="clear" w:color="auto" w:fill="FFFFFF"/>
        <w:tabs>
          <w:tab w:val="clear" w:pos="708"/>
          <w:tab w:val="left" w:pos="2520" w:leader="none"/>
        </w:tabs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  <w:lang w:eastAsia="ru-RU" w:bidi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  <w:t>Главная медицинская сестра:                                                        Е.В. Устинова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/>
          <w:b/>
          <w:sz w:val="24"/>
          <w:szCs w:val="24"/>
        </w:rPr>
      </w:pPr>
      <w:r>
        <w:rPr>
          <w:rFonts w:eastAsia="SimSu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/>
          <w:sz w:val="24"/>
          <w:szCs w:val="24"/>
        </w:rPr>
      </w:pPr>
      <w:r>
        <w:rPr>
          <w:rFonts w:eastAsia="SimSun" w:ascii="Times New Roman" w:hAnsi="Times New Roman"/>
          <w:sz w:val="24"/>
          <w:szCs w:val="24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520" w:leader="none"/>
        </w:tabs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  <w:lang w:eastAsia="ru-RU" w:bidi="ru-RU"/>
        </w:rPr>
      </w:r>
    </w:p>
    <w:sectPr>
      <w:type w:val="nextPage"/>
      <w:pgSz w:w="11906" w:h="16838"/>
      <w:pgMar w:left="1418" w:right="851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Proxima Nova ExCn Rg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3873"/>
    <w:pPr>
      <w:widowControl/>
      <w:suppressAutoHyphens w:val="true"/>
      <w:bidi w:val="0"/>
      <w:spacing w:lineRule="auto" w:line="276" w:before="0" w:after="200"/>
      <w:jc w:val="left"/>
    </w:pPr>
    <w:rPr>
      <w:rFonts w:ascii="Proxima Nova ExCn Rg" w:hAnsi="Proxima Nova ExCn Rg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12bf0"/>
    <w:rPr>
      <w:rFonts w:ascii="Segoe UI" w:hAnsi="Segoe UI" w:eastAsia="Calibri" w:cs="Segoe UI"/>
      <w:sz w:val="18"/>
      <w:szCs w:val="18"/>
    </w:rPr>
  </w:style>
  <w:style w:type="paragraph" w:styleId="Style15" w:customStyle="1">
    <w:name w:val="Заголовок"/>
    <w:basedOn w:val="Normal"/>
    <w:next w:val="BodyText"/>
    <w:qFormat/>
    <w:rsid w:val="008d7d2f"/>
    <w:pPr>
      <w:keepNext w:val="true"/>
      <w:spacing w:before="240" w:after="120"/>
    </w:pPr>
    <w:rPr>
      <w:rFonts w:ascii="Liberation Sans" w:hAnsi="Liberation Sans" w:eastAsia="Tahoma" w:cs="Noto Sans"/>
    </w:rPr>
  </w:style>
  <w:style w:type="paragraph" w:styleId="BodyText">
    <w:name w:val="Body Text"/>
    <w:basedOn w:val="Normal"/>
    <w:rsid w:val="008d7d2f"/>
    <w:pPr>
      <w:spacing w:before="0" w:after="140"/>
    </w:pPr>
    <w:rPr/>
  </w:style>
  <w:style w:type="paragraph" w:styleId="List">
    <w:name w:val="List"/>
    <w:basedOn w:val="BodyText"/>
    <w:rsid w:val="008d7d2f"/>
    <w:pPr/>
    <w:rPr>
      <w:rFonts w:cs="Noto Sans"/>
    </w:rPr>
  </w:style>
  <w:style w:type="paragraph" w:styleId="Caption">
    <w:name w:val="caption"/>
    <w:basedOn w:val="Normal"/>
    <w:qFormat/>
    <w:rsid w:val="008d7d2f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IndexHeading">
    <w:name w:val="index heading"/>
    <w:basedOn w:val="Normal"/>
    <w:qFormat/>
    <w:rsid w:val="008d7d2f"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cd2e37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12b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 w:customStyle="1">
    <w:name w:val="Содержимое таблицы"/>
    <w:basedOn w:val="Normal"/>
    <w:qFormat/>
    <w:rsid w:val="008d7d2f"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rsid w:val="008d7d2f"/>
    <w:pPr>
      <w:jc w:val="center"/>
    </w:pPr>
    <w:rPr>
      <w:b/>
      <w:bCs/>
    </w:rPr>
  </w:style>
  <w:style w:type="numbering" w:styleId="Style19" w:customStyle="1">
    <w:name w:val="Без списка"/>
    <w:uiPriority w:val="99"/>
    <w:semiHidden/>
    <w:unhideWhenUsed/>
    <w:qFormat/>
    <w:rsid w:val="008d7d2f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ff519c"/>
    <w:rPr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6260F-B47D-4795-85E1-401E0E76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LibreOffice/24.8.7.2$Linux_X86_64 LibreOffice_project/480$Build-2</Application>
  <AppVersion>15.0000</AppVersion>
  <Pages>5</Pages>
  <Words>1742</Words>
  <Characters>11708</Characters>
  <CharactersWithSpaces>14842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2022-06-16T07:25:00Z</dcterms:created>
  <dc:creator>User</dc:creator>
  <dc:description/>
  <dc:language>ru-RU</dc:language>
  <cp:lastModifiedBy/>
  <cp:lastPrinted>2019-04-15T08:16:00Z</cp:lastPrinted>
  <dcterms:modified xsi:type="dcterms:W3CDTF">2026-08-05T11:06:30Z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