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ignature"/>
        <w:widowControl w:val="false"/>
        <w:ind w:left="10490"/>
        <w:rPr>
          <w:b/>
          <w:i/>
          <w:i/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Приложение 1</w:t>
      </w:r>
    </w:p>
    <w:p>
      <w:pPr>
        <w:pStyle w:val="Normal"/>
        <w:ind w:left="10490"/>
        <w:rPr>
          <w:b/>
          <w:i/>
          <w:i/>
        </w:rPr>
      </w:pPr>
      <w:r>
        <w:rPr>
          <w:b/>
          <w:i/>
          <w:color w:val="000000"/>
        </w:rPr>
        <w:t xml:space="preserve">к </w:t>
      </w:r>
      <w:r>
        <w:rPr>
          <w:b/>
          <w:i/>
        </w:rPr>
        <w:t>заявке на осуществление закупки</w:t>
      </w:r>
    </w:p>
    <w:p>
      <w:pPr>
        <w:pStyle w:val="Normal"/>
        <w:ind w:left="1049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widowControl w:val="false"/>
        <w:spacing w:lineRule="exact" w:line="254"/>
        <w:jc w:val="center"/>
        <w:rPr>
          <w:bCs/>
        </w:rPr>
      </w:pPr>
      <w:r>
        <w:rPr>
          <w:bCs/>
        </w:rPr>
        <w:t>Описание объекта закупки</w:t>
      </w:r>
    </w:p>
    <w:p>
      <w:pPr>
        <w:pStyle w:val="Normal"/>
        <w:jc w:val="center"/>
        <w:rPr/>
      </w:pPr>
      <w:bookmarkStart w:id="0" w:name="_Toc508723811"/>
      <w:bookmarkStart w:id="1" w:name="_Toc482275893"/>
      <w:bookmarkEnd w:id="0"/>
      <w:bookmarkEnd w:id="1"/>
      <w:r>
        <w:rPr/>
        <w:t xml:space="preserve">на поставку комплектующих для ПЭВМ </w:t>
      </w:r>
      <w:r>
        <w:rPr>
          <w:bCs/>
        </w:rPr>
        <w:t>(взамен вышедших из строя)</w:t>
      </w:r>
    </w:p>
    <w:p>
      <w:pPr>
        <w:pStyle w:val="Normal"/>
        <w:widowControl w:val="false"/>
        <w:spacing w:lineRule="exact" w:line="254"/>
        <w:ind w:right="14"/>
        <w:jc w:val="center"/>
        <w:rPr>
          <w:bCs/>
        </w:rPr>
      </w:pPr>
      <w:r>
        <w:rPr>
          <w:bCs/>
        </w:rPr>
      </w:r>
    </w:p>
    <w:p>
      <w:pPr>
        <w:pStyle w:val="Normal"/>
        <w:widowControl w:val="false"/>
        <w:spacing w:lineRule="exact" w:line="254"/>
        <w:ind w:right="14"/>
        <w:jc w:val="center"/>
        <w:rPr>
          <w:b/>
          <w:bCs/>
        </w:rPr>
      </w:pPr>
      <w:r>
        <w:rPr>
          <w:b/>
          <w:bCs/>
        </w:rPr>
        <w:t>1. НАЗНАЧЕНИЕ И ЦЕЛИ</w:t>
      </w:r>
    </w:p>
    <w:p>
      <w:pPr>
        <w:pStyle w:val="Normal"/>
        <w:widowControl w:val="false"/>
        <w:spacing w:lineRule="exact" w:line="254"/>
        <w:ind w:firstLine="567" w:right="14"/>
        <w:jc w:val="both"/>
        <w:rPr>
          <w:b/>
          <w:bCs/>
          <w:sz w:val="10"/>
          <w:szCs w:val="10"/>
          <w:vertAlign w:val="superscript"/>
        </w:rPr>
      </w:pPr>
      <w:r>
        <w:rPr>
          <w:b/>
          <w:bCs/>
          <w:sz w:val="10"/>
          <w:szCs w:val="10"/>
          <w:vertAlign w:val="superscript"/>
        </w:rPr>
      </w:r>
    </w:p>
    <w:p>
      <w:pPr>
        <w:pStyle w:val="Normal"/>
        <w:widowControl w:val="false"/>
        <w:spacing w:lineRule="exact" w:line="254"/>
        <w:ind w:firstLine="708" w:right="14"/>
        <w:jc w:val="both"/>
        <w:rPr>
          <w:bCs/>
        </w:rPr>
      </w:pPr>
      <w:r>
        <w:rPr>
          <w:bCs/>
        </w:rPr>
        <w:t>Товар приобретается в целях восстановления работоспособности автоматизированных рабочих мест Главного управления МЧС России по Красноярскому краю (взамен вышедших из строя). ОКПД2 26.20.21.110 КТРУ 26.20.21.110-00000002 (Накопитель данных внутренний), ОКПД2 26.20.22.160 (энергозависимые части системы компьютерной (оперативная память)), ОКПД2 26.20.40.190 (комплектующие и запасные части для вычислительных машин, принтеров и многофункциональных печатающих устройств прочие, не включенные в другие группировки).</w:t>
      </w:r>
    </w:p>
    <w:p>
      <w:pPr>
        <w:pStyle w:val="Normal"/>
        <w:widowControl w:val="false"/>
        <w:spacing w:lineRule="exact" w:line="254"/>
        <w:ind w:right="14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</w:t>
      </w:r>
    </w:p>
    <w:p>
      <w:pPr>
        <w:pStyle w:val="Normal"/>
        <w:jc w:val="center"/>
        <w:rPr/>
      </w:pPr>
      <w:r>
        <w:rPr>
          <w:b/>
          <w:bCs/>
        </w:rPr>
        <w:t xml:space="preserve">2. </w:t>
      </w:r>
      <w:r>
        <w:rPr>
          <w:rFonts w:eastAsia="Calibri"/>
          <w:b/>
        </w:rPr>
        <w:t>СОСТАВ ТОВАРА И ТЕХНИЧЕСКИЕ ТРЕБОВАНИЯ</w:t>
      </w:r>
    </w:p>
    <w:tbl>
      <w:tblPr>
        <w:tblW w:w="4950" w:type="pct"/>
        <w:jc w:val="left"/>
        <w:tblInd w:w="11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11"/>
        <w:gridCol w:w="2098"/>
        <w:gridCol w:w="1323"/>
        <w:gridCol w:w="2091"/>
        <w:gridCol w:w="4"/>
        <w:gridCol w:w="2086"/>
        <w:gridCol w:w="2089"/>
        <w:gridCol w:w="1945"/>
        <w:gridCol w:w="2009"/>
        <w:gridCol w:w="1416"/>
      </w:tblGrid>
      <w:tr>
        <w:trPr>
          <w:trHeight w:val="20" w:hRule="atLeast"/>
        </w:trPr>
        <w:tc>
          <w:tcPr>
            <w:tcW w:w="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</w:t>
            </w:r>
          </w:p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shd w:fill="FFFFFF" w:val="clear"/>
              </w:rPr>
              <w:t>Наименование товара, работы, услуги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shd w:fill="FFFFFF" w:val="clear"/>
              </w:rPr>
              <w:t>Код позиции</w:t>
            </w:r>
          </w:p>
        </w:tc>
        <w:tc>
          <w:tcPr>
            <w:tcW w:w="8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shd w:fill="FFFFFF" w:val="clear"/>
              </w:rPr>
              <w:t>Характеристики товара, работы, услуги</w:t>
            </w:r>
          </w:p>
        </w:tc>
        <w:tc>
          <w:tcPr>
            <w:tcW w:w="2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shd w:fill="FFFFFF" w:val="clear"/>
              </w:rPr>
              <w:t>Количество (объем работы, услуги)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color w:val="000000"/>
                <w:sz w:val="20"/>
                <w:szCs w:val="20"/>
                <w:shd w:fill="FFFFFF" w:val="clear"/>
              </w:rPr>
            </w:pPr>
            <w:r>
              <w:rPr>
                <w:b/>
                <w:bCs/>
                <w:color w:val="000000"/>
                <w:sz w:val="20"/>
                <w:szCs w:val="20"/>
                <w:shd w:fill="FFFFFF" w:val="clear"/>
              </w:rPr>
              <w:t>Единица измерения</w:t>
            </w:r>
          </w:p>
        </w:tc>
      </w:tr>
      <w:tr>
        <w:trPr>
          <w:trHeight w:val="20" w:hRule="atLeast"/>
        </w:trPr>
        <w:tc>
          <w:tcPr>
            <w:tcW w:w="4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9" w:right="-48"/>
              <w:jc w:val="center"/>
              <w:rPr>
                <w:b/>
                <w:bCs/>
                <w:color w:val="000000"/>
                <w:sz w:val="20"/>
                <w:szCs w:val="20"/>
                <w:shd w:fill="FFFFFF" w:val="clear"/>
              </w:rPr>
            </w:pPr>
            <w:r>
              <w:rPr>
                <w:b/>
                <w:bCs/>
                <w:color w:val="000000"/>
                <w:sz w:val="20"/>
                <w:szCs w:val="20"/>
                <w:shd w:fill="FFFFFF" w:val="clear"/>
              </w:rPr>
              <w:t>Наименование характеристики</w:t>
            </w:r>
          </w:p>
          <w:p>
            <w:pPr>
              <w:pStyle w:val="Normal"/>
              <w:widowControl w:val="false"/>
              <w:ind w:left="-109" w:right="-48"/>
              <w:jc w:val="center"/>
              <w:rPr>
                <w:b/>
                <w:bCs/>
                <w:color w:val="000000"/>
                <w:sz w:val="20"/>
                <w:szCs w:val="20"/>
                <w:shd w:fill="FFFFFF" w:val="clear"/>
              </w:rPr>
            </w:pPr>
            <w:r>
              <w:rPr>
                <w:b/>
                <w:bCs/>
                <w:color w:val="000000"/>
                <w:sz w:val="20"/>
                <w:szCs w:val="20"/>
                <w:shd w:fill="FFFFFF" w:val="clear"/>
              </w:rPr>
              <w:t>(показателя товара)</w:t>
            </w:r>
          </w:p>
        </w:tc>
        <w:tc>
          <w:tcPr>
            <w:tcW w:w="2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ind w:left="-109" w:right="-48"/>
              <w:jc w:val="center"/>
              <w:rPr>
                <w:b/>
                <w:bCs/>
                <w:color w:val="000000"/>
                <w:sz w:val="20"/>
                <w:szCs w:val="20"/>
                <w:shd w:fill="FFFFFF" w:val="clear"/>
              </w:rPr>
            </w:pPr>
            <w:r>
              <w:rPr>
                <w:b/>
                <w:bCs/>
                <w:color w:val="000000"/>
                <w:sz w:val="20"/>
                <w:szCs w:val="20"/>
                <w:shd w:fill="FFFFFF" w:val="clear"/>
              </w:rPr>
              <w:t>Значение характеристики</w:t>
            </w:r>
          </w:p>
          <w:p>
            <w:pPr>
              <w:pStyle w:val="Normal"/>
              <w:widowControl w:val="false"/>
              <w:ind w:left="-109" w:right="-48"/>
              <w:jc w:val="center"/>
              <w:rPr>
                <w:b/>
                <w:bCs/>
                <w:color w:val="000000"/>
                <w:sz w:val="20"/>
                <w:szCs w:val="20"/>
                <w:shd w:fill="FFFFFF" w:val="clear"/>
              </w:rPr>
            </w:pPr>
            <w:r>
              <w:rPr>
                <w:b/>
                <w:bCs/>
                <w:color w:val="000000"/>
                <w:sz w:val="20"/>
                <w:szCs w:val="20"/>
                <w:shd w:fill="FFFFFF" w:val="clear"/>
              </w:rPr>
              <w:t>(показателя товара)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shd w:fill="FFFFFF" w:val="clear"/>
              </w:rPr>
              <w:t>Единица измерения характеристики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  <w:shd w:fill="FFFFFF" w:val="clear"/>
              </w:rPr>
              <w:t>Инструкция по заполнению характеристик в заявке</w:t>
            </w:r>
          </w:p>
        </w:tc>
        <w:tc>
          <w:tcPr>
            <w:tcW w:w="20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Накопитель данных внутренний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ОКПД2 26.20.21.110 КТРУ 26.20.21.110-00000002</w:t>
            </w:r>
          </w:p>
        </w:tc>
        <w:tc>
          <w:tcPr>
            <w:tcW w:w="8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lang w:val="en-US"/>
              </w:rPr>
            </w:pPr>
            <w:r>
              <w:rPr>
                <w:sz w:val="20"/>
                <w:szCs w:val="20"/>
              </w:rPr>
              <w:t>Накопитель</w:t>
            </w:r>
            <w:r>
              <w:rPr>
                <w:sz w:val="20"/>
                <w:szCs w:val="20"/>
                <w:lang w:val="en-US"/>
              </w:rPr>
              <w:t xml:space="preserve"> Exegate Next A400TS240</w:t>
            </w:r>
          </w:p>
        </w:tc>
        <w:tc>
          <w:tcPr>
            <w:tcW w:w="2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Штука</w:t>
            </w:r>
          </w:p>
        </w:tc>
      </w:tr>
      <w:tr>
        <w:trPr>
          <w:trHeight w:val="20" w:hRule="atLeast"/>
        </w:trPr>
        <w:tc>
          <w:tcPr>
            <w:tcW w:w="41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3"/>
              <w:spacing w:before="0" w:after="0"/>
              <w:ind w:hang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Объем накопителя</w:t>
            </w:r>
          </w:p>
        </w:tc>
        <w:tc>
          <w:tcPr>
            <w:tcW w:w="2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3"/>
              <w:spacing w:before="0" w:after="0"/>
              <w:ind w:hang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≥ </w:t>
            </w:r>
            <w:r>
              <w:rPr>
                <w:bCs/>
                <w:sz w:val="20"/>
                <w:szCs w:val="20"/>
              </w:rPr>
              <w:t>240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3"/>
              <w:spacing w:before="0" w:after="0"/>
              <w:ind w:hang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Гигабайт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Указать конкретное значение</w:t>
            </w:r>
          </w:p>
        </w:tc>
        <w:tc>
          <w:tcPr>
            <w:tcW w:w="20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20" w:hRule="atLeast"/>
        </w:trPr>
        <w:tc>
          <w:tcPr>
            <w:tcW w:w="41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3"/>
              <w:spacing w:before="0" w:after="0"/>
              <w:ind w:hang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Тип устройства</w:t>
            </w:r>
          </w:p>
        </w:tc>
        <w:tc>
          <w:tcPr>
            <w:tcW w:w="2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3"/>
              <w:spacing w:before="0" w:after="0"/>
              <w:ind w:hang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SSD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Характеристика не меняется</w:t>
            </w:r>
          </w:p>
        </w:tc>
        <w:tc>
          <w:tcPr>
            <w:tcW w:w="20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78" w:hRule="atLeast"/>
        </w:trPr>
        <w:tc>
          <w:tcPr>
            <w:tcW w:w="41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3"/>
              <w:spacing w:before="0" w:after="0"/>
              <w:ind w:hang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Тип памяти</w:t>
            </w:r>
          </w:p>
        </w:tc>
        <w:tc>
          <w:tcPr>
            <w:tcW w:w="2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3"/>
              <w:spacing w:before="0" w:after="0"/>
              <w:ind w:hang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TLC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Характеристика не меняется</w:t>
            </w:r>
          </w:p>
        </w:tc>
        <w:tc>
          <w:tcPr>
            <w:tcW w:w="20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41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3"/>
              <w:spacing w:before="0" w:after="0"/>
              <w:ind w:hang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Форм фактор</w:t>
            </w:r>
          </w:p>
        </w:tc>
        <w:tc>
          <w:tcPr>
            <w:tcW w:w="2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3"/>
              <w:spacing w:before="0" w:after="0"/>
              <w:ind w:hang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2,5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r>
              <w:rPr>
                <w:rFonts w:eastAsia="Calibri"/>
                <w:bCs/>
                <w:sz w:val="20"/>
                <w:szCs w:val="20"/>
                <w:lang w:eastAsia="en-US"/>
              </w:rPr>
              <w:t>Дюйм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Характеристика не меняется</w:t>
            </w:r>
          </w:p>
        </w:tc>
        <w:tc>
          <w:tcPr>
            <w:tcW w:w="200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64" w:hRule="atLeast"/>
        </w:trPr>
        <w:tc>
          <w:tcPr>
            <w:tcW w:w="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Модуль памяти </w:t>
            </w:r>
            <w:r>
              <w:rPr>
                <w:sz w:val="20"/>
                <w:szCs w:val="20"/>
                <w:lang w:val="en-US"/>
              </w:rPr>
              <w:t>DDR-III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ОКПД2 26.20.22.160</w:t>
            </w:r>
          </w:p>
        </w:tc>
        <w:tc>
          <w:tcPr>
            <w:tcW w:w="8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0"/>
                <w:szCs w:val="20"/>
              </w:rPr>
              <w:t>Модуль памяти Hynix</w:t>
            </w:r>
          </w:p>
        </w:tc>
        <w:tc>
          <w:tcPr>
            <w:tcW w:w="2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Штука</w:t>
            </w:r>
          </w:p>
        </w:tc>
      </w:tr>
      <w:tr>
        <w:trPr>
          <w:trHeight w:val="479" w:hRule="atLeast"/>
        </w:trPr>
        <w:tc>
          <w:tcPr>
            <w:tcW w:w="4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3"/>
              <w:spacing w:before="0" w:after="0"/>
              <w:ind w:hang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Тактовая частота</w:t>
            </w:r>
          </w:p>
        </w:tc>
        <w:tc>
          <w:tcPr>
            <w:tcW w:w="2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1600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Мегагерц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Характеристика не меняется</w:t>
            </w:r>
          </w:p>
        </w:tc>
        <w:tc>
          <w:tcPr>
            <w:tcW w:w="200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382" w:hRule="atLeast"/>
        </w:trPr>
        <w:tc>
          <w:tcPr>
            <w:tcW w:w="4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3"/>
              <w:spacing w:before="0" w:after="0"/>
              <w:ind w:hang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Суммарный объем памяти</w:t>
            </w:r>
          </w:p>
        </w:tc>
        <w:tc>
          <w:tcPr>
            <w:tcW w:w="2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Cs/>
                <w:sz w:val="20"/>
                <w:szCs w:val="20"/>
                <w:lang w:val="en-US"/>
              </w:rPr>
            </w:pPr>
            <w:r>
              <w:rPr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Гигабайт</w:t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Характеристика не меняется</w:t>
            </w:r>
          </w:p>
        </w:tc>
        <w:tc>
          <w:tcPr>
            <w:tcW w:w="200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477" w:hRule="atLeast"/>
        </w:trPr>
        <w:tc>
          <w:tcPr>
            <w:tcW w:w="4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3"/>
              <w:spacing w:before="0" w:after="0"/>
              <w:ind w:hang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Тип памяти</w:t>
            </w:r>
          </w:p>
        </w:tc>
        <w:tc>
          <w:tcPr>
            <w:tcW w:w="2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DDR III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Характеристика не меняется</w:t>
            </w:r>
          </w:p>
        </w:tc>
        <w:tc>
          <w:tcPr>
            <w:tcW w:w="200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502" w:hRule="atLeast"/>
        </w:trPr>
        <w:tc>
          <w:tcPr>
            <w:tcW w:w="41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</w:r>
          </w:p>
        </w:tc>
        <w:tc>
          <w:tcPr>
            <w:tcW w:w="20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Style23"/>
              <w:spacing w:before="0" w:after="0"/>
              <w:ind w:hanging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Форм фактор</w:t>
            </w:r>
          </w:p>
        </w:tc>
        <w:tc>
          <w:tcPr>
            <w:tcW w:w="2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en-US"/>
              </w:rPr>
              <w:t>DIMM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Характеристика не меняется</w:t>
            </w:r>
          </w:p>
        </w:tc>
        <w:tc>
          <w:tcPr>
            <w:tcW w:w="20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4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Набор клавиатура+мышь компьютерная</w:t>
            </w:r>
          </w:p>
        </w:tc>
        <w:tc>
          <w:tcPr>
            <w:tcW w:w="13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ОКПД2 26.20.40.190</w:t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8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Набор Logitech Wireless Combo MK220</w:t>
            </w:r>
          </w:p>
        </w:tc>
        <w:tc>
          <w:tcPr>
            <w:tcW w:w="2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Штука</w:t>
            </w:r>
          </w:p>
        </w:tc>
      </w:tr>
      <w:tr>
        <w:trPr>
          <w:trHeight w:val="20" w:hRule="atLeast"/>
        </w:trPr>
        <w:tc>
          <w:tcPr>
            <w:tcW w:w="41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 соединения клавиатуры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Беспроводной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Характеристика не меняется</w:t>
            </w:r>
          </w:p>
        </w:tc>
        <w:tc>
          <w:tcPr>
            <w:tcW w:w="200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41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Раскладка клавиатуры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QWERTY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Характеристика не меняется</w:t>
            </w:r>
          </w:p>
        </w:tc>
        <w:tc>
          <w:tcPr>
            <w:tcW w:w="200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41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Цвет русских букв клавиатуры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Белый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Характеристика не меняется</w:t>
            </w:r>
          </w:p>
        </w:tc>
        <w:tc>
          <w:tcPr>
            <w:tcW w:w="200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41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Цвет английских букв клавиатуры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Белый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Характеристика не меняется</w:t>
            </w:r>
          </w:p>
        </w:tc>
        <w:tc>
          <w:tcPr>
            <w:tcW w:w="200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41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Питание клавиатуры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2хААА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Характеристика не меняется</w:t>
            </w:r>
          </w:p>
        </w:tc>
        <w:tc>
          <w:tcPr>
            <w:tcW w:w="200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41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Цвет корпуса клавиатуры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Черный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Характеристика не меняется</w:t>
            </w:r>
          </w:p>
        </w:tc>
        <w:tc>
          <w:tcPr>
            <w:tcW w:w="200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41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 соединения мыши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Беспроводной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Характеристика не меняется</w:t>
            </w:r>
          </w:p>
        </w:tc>
        <w:tc>
          <w:tcPr>
            <w:tcW w:w="200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41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Тип мыши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Оптическая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Характеристика не меняется</w:t>
            </w:r>
          </w:p>
        </w:tc>
        <w:tc>
          <w:tcPr>
            <w:tcW w:w="200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41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Питание мыши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2хАА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Характеристика не меняется</w:t>
            </w:r>
          </w:p>
        </w:tc>
        <w:tc>
          <w:tcPr>
            <w:tcW w:w="200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41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Цвет мыши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Черный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Характеристика не меняется</w:t>
            </w:r>
          </w:p>
        </w:tc>
        <w:tc>
          <w:tcPr>
            <w:tcW w:w="200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411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8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3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Наличие радиоприемника к комплекте поставки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Характеристика не меняется</w:t>
            </w:r>
          </w:p>
        </w:tc>
        <w:tc>
          <w:tcPr>
            <w:tcW w:w="200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6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20" w:hRule="atLeast"/>
        </w:trPr>
        <w:tc>
          <w:tcPr>
            <w:tcW w:w="411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8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323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Наличие батарей для клавиатуры и мыши в комплекте поставки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Да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</w:r>
          </w:p>
        </w:tc>
        <w:tc>
          <w:tcPr>
            <w:tcW w:w="1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Характеристика не меняется</w:t>
            </w:r>
          </w:p>
        </w:tc>
        <w:tc>
          <w:tcPr>
            <w:tcW w:w="2009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1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Style23"/>
        <w:spacing w:before="0" w:after="0"/>
        <w:ind w:hanging="0"/>
        <w:contextualSpacing/>
        <w:jc w:val="center"/>
        <w:rPr>
          <w:b/>
          <w:szCs w:val="24"/>
        </w:rPr>
      </w:pPr>
      <w:r>
        <w:rPr>
          <w:b/>
          <w:szCs w:val="24"/>
        </w:rPr>
      </w:r>
    </w:p>
    <w:p>
      <w:pPr>
        <w:pStyle w:val="Style23"/>
        <w:spacing w:before="0" w:after="0"/>
        <w:ind w:hanging="0"/>
        <w:contextualSpacing/>
        <w:jc w:val="center"/>
        <w:rPr>
          <w:szCs w:val="24"/>
        </w:rPr>
      </w:pPr>
      <w:r>
        <w:rPr>
          <w:b/>
          <w:szCs w:val="24"/>
        </w:rPr>
        <w:t>3. ОБЩИЕ ТРЕБОВАНИЯ</w:t>
      </w:r>
    </w:p>
    <w:p>
      <w:pPr>
        <w:pStyle w:val="Style23"/>
        <w:tabs>
          <w:tab w:val="clear" w:pos="708"/>
          <w:tab w:val="left" w:pos="1134" w:leader="none"/>
        </w:tabs>
        <w:spacing w:before="0" w:after="0"/>
        <w:contextualSpacing/>
        <w:rPr>
          <w:szCs w:val="24"/>
        </w:rPr>
      </w:pPr>
      <w:r>
        <w:rPr>
          <w:szCs w:val="24"/>
        </w:rPr>
        <w:t>3.1.</w:t>
        <w:tab/>
        <w:t>Весь поставляемый Товар должен быть новым (не быть ранее в использовании, не проходить ремонт, в том числе восстановление, замену составных частей, восстановление потребительских свойств), свободным от прав на него третьих лиц и других обременений, не должен быть предметом спора или залога.</w:t>
      </w:r>
    </w:p>
    <w:p>
      <w:pPr>
        <w:pStyle w:val="Style23"/>
        <w:tabs>
          <w:tab w:val="clear" w:pos="708"/>
          <w:tab w:val="left" w:pos="1134" w:leader="none"/>
        </w:tabs>
        <w:spacing w:before="0" w:after="0"/>
        <w:contextualSpacing/>
        <w:rPr>
          <w:szCs w:val="24"/>
        </w:rPr>
      </w:pPr>
      <w:r>
        <w:rPr>
          <w:szCs w:val="24"/>
        </w:rPr>
        <w:t>3.2.</w:t>
        <w:tab/>
        <w:t>Весь поставляемый Товар должен быть серийным. В случае поставки импортного Товара, оно должно быть официально предназначено для поставки в Российскую Федерацию, обладать возможностью технической поддержки в авторизованных производителем сервисных центрах.</w:t>
      </w:r>
    </w:p>
    <w:p>
      <w:pPr>
        <w:pStyle w:val="Style23"/>
        <w:tabs>
          <w:tab w:val="clear" w:pos="708"/>
          <w:tab w:val="left" w:pos="1134" w:leader="none"/>
        </w:tabs>
        <w:spacing w:before="0" w:after="0"/>
        <w:contextualSpacing/>
        <w:rPr>
          <w:szCs w:val="24"/>
        </w:rPr>
      </w:pPr>
      <w:r>
        <w:rPr>
          <w:szCs w:val="24"/>
        </w:rPr>
        <w:t>3.3.</w:t>
        <w:tab/>
        <w:t>Товар должен соответствовать требованиям, установленным настоящим техническим заданием к качеству, количественным и техническим характеристикам, а также должен соответствовать требованиям к безопасности, функциональным характеристикам (потребительским свойствам), требованиям к размерам, упаковке, срокам поставки и иным показателям, связанным с определением соответствия поставляемого Товара потребностям Заказчика, предусмотренным настоящими техническим заданием, к сроку и объему предоставления гарантийных обязательств.</w:t>
      </w:r>
    </w:p>
    <w:p>
      <w:pPr>
        <w:pStyle w:val="Style23"/>
        <w:tabs>
          <w:tab w:val="clear" w:pos="708"/>
          <w:tab w:val="left" w:pos="1134" w:leader="none"/>
        </w:tabs>
        <w:spacing w:before="0" w:after="0"/>
        <w:contextualSpacing/>
        <w:rPr>
          <w:szCs w:val="24"/>
        </w:rPr>
      </w:pPr>
      <w:r>
        <w:rPr>
          <w:szCs w:val="24"/>
        </w:rPr>
        <w:t>3.4.</w:t>
        <w:tab/>
        <w:t>Каждая единица Товара должна поставляться с комплектом эксплуатационной документации на русском языке. Состав и содержание эксплуатационной документации должны быть достаточны для установки и обслуживания Товара квалифицированными специалистами Заказчика.</w:t>
      </w:r>
    </w:p>
    <w:p>
      <w:pPr>
        <w:pStyle w:val="Style23"/>
        <w:spacing w:before="0" w:after="0"/>
        <w:contextualSpacing/>
        <w:rPr>
          <w:szCs w:val="24"/>
        </w:rPr>
      </w:pPr>
      <w:r>
        <w:rPr>
          <w:szCs w:val="24"/>
        </w:rPr>
        <w:t xml:space="preserve">3.5. Гарантийный срок на поставляемый Товар должен составлять не менее 12 (двенадцати) месяцев с даты подписания акта приемки. В случае если гарантийным обязательством (сертификатом) на конкретный товар изготовителем установлен больший гарантийный срок, то гарантийный ремонт в пределах срока, установленного изготовителем такого Товара, осуществляется в порядке, предусмотренном гражданским законодательством. </w:t>
      </w:r>
    </w:p>
    <w:p>
      <w:pPr>
        <w:pStyle w:val="Normal"/>
        <w:spacing w:before="0" w:after="0"/>
        <w:ind w:firstLine="709"/>
        <w:contextualSpacing/>
        <w:jc w:val="both"/>
        <w:rPr/>
      </w:pPr>
      <w:r>
        <w:rPr/>
        <w:t>3.6. Доставка поставляемого Товара осуществляется Поставщиком по адресу:</w:t>
      </w:r>
    </w:p>
    <w:p>
      <w:pPr>
        <w:pStyle w:val="Normal"/>
        <w:spacing w:before="0" w:after="0"/>
        <w:ind w:firstLine="709"/>
        <w:contextualSpacing/>
        <w:jc w:val="both"/>
        <w:rPr/>
      </w:pPr>
      <w:r>
        <w:rPr/>
        <w:t xml:space="preserve">Красноярский край, г. Красноярск, ул. Ленинградская, 42. </w:t>
      </w:r>
    </w:p>
    <w:p>
      <w:pPr>
        <w:pStyle w:val="Style23"/>
        <w:spacing w:before="0" w:after="0"/>
        <w:ind w:firstLine="709"/>
        <w:contextualSpacing/>
        <w:rPr>
          <w:szCs w:val="24"/>
        </w:rPr>
      </w:pPr>
      <w:r>
        <w:rPr>
          <w:szCs w:val="24"/>
        </w:rPr>
        <w:t>Погрузочно-разгрузочные работы осуществляются силами и за счет Поставщика.</w:t>
      </w:r>
    </w:p>
    <w:p>
      <w:pPr>
        <w:pStyle w:val="Style23"/>
        <w:spacing w:before="0" w:after="0"/>
        <w:contextualSpacing/>
        <w:rPr>
          <w:szCs w:val="24"/>
        </w:rPr>
      </w:pPr>
      <w:r>
        <w:rPr>
          <w:szCs w:val="24"/>
        </w:rPr>
        <w:t>3.7. Характеристики всего Товара должны соответствовать значениям, установленным настоящим техническим заданием.</w:t>
      </w:r>
    </w:p>
    <w:p>
      <w:pPr>
        <w:pStyle w:val="Style23"/>
        <w:spacing w:before="0" w:after="0"/>
        <w:contextualSpacing/>
        <w:rPr>
          <w:szCs w:val="24"/>
        </w:rPr>
      </w:pPr>
      <w:r>
        <w:rPr>
          <w:szCs w:val="24"/>
        </w:rPr>
        <w:t>3.8. Приемка оборудования осуществляется комиссией в составе уполномоченных представителей Заказчика.</w:t>
      </w:r>
    </w:p>
    <w:p>
      <w:pPr>
        <w:pStyle w:val="Style23"/>
        <w:spacing w:before="0" w:after="0"/>
        <w:contextualSpacing/>
        <w:rPr>
          <w:szCs w:val="24"/>
        </w:rPr>
      </w:pPr>
      <w:r>
        <w:rPr>
          <w:szCs w:val="24"/>
        </w:rPr>
        <w:t>3.9. Качество товара должно подтверждаться сертификатами соответствия либо иными документами в соответствии с действующим законодательством. Поставляемый товар должен соответствовать стандартам и требованиям, предъявляемым к товару такого рода.</w:t>
      </w:r>
    </w:p>
    <w:p>
      <w:pPr>
        <w:pStyle w:val="Style23"/>
        <w:spacing w:before="0" w:after="0"/>
        <w:contextualSpacing/>
        <w:rPr>
          <w:szCs w:val="24"/>
        </w:rPr>
      </w:pPr>
      <w:r>
        <w:rPr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mc:AlternateContent>
          <mc:Choice Requires="wps">
            <w:drawing>
              <wp:anchor behindDoc="0" distT="0" distB="0" distL="0" distR="0" simplePos="0" locked="0" layoutInCell="1" allowOverlap="1" relativeHeight="9" wp14:anchorId="6DC01625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14605" cy="173990"/>
                <wp:effectExtent l="0" t="0" r="0" b="0"/>
                <wp:wrapNone/>
                <wp:docPr id="1" name="Врезка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0" cy="173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user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1" path="m0,0l-2147483645,0l-2147483645,-2147483646l0,-2147483646xe" stroked="f" o:allowincell="f" style="position:absolute;margin-left:0pt;margin-top:0.05pt;width:1.1pt;height:13.65pt;mso-wrap-style:none;v-text-anchor:middle" wp14:anchorId="6DC01625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user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1" allowOverlap="1" relativeHeight="11" wp14:anchorId="1520ACE2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14605" cy="173990"/>
                <wp:effectExtent l="0" t="0" r="0" b="0"/>
                <wp:wrapNone/>
                <wp:docPr id="2" name="Врезка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0" cy="17388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user5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Врезка2" path="m0,0l-2147483645,0l-2147483645,-2147483646l0,-2147483646xe" stroked="f" o:allowincell="f" style="position:absolute;margin-left:0pt;margin-top:0.05pt;width:1.1pt;height:13.65pt;mso-wrap-style:none;v-text-anchor:middle" wp14:anchorId="1520ACE2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user5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bookmarkStart w:id="2" w:name="_GoBack_Копия_1"/>
      <w:bookmarkStart w:id="3" w:name="_GoBack_Копия_1"/>
      <w:bookmarkEnd w:id="3"/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orient="landscape" w:w="16838" w:h="11906"/>
      <w:pgMar w:left="640" w:right="567" w:gutter="0" w:header="709" w:top="1134" w:footer="709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swiss"/>
    <w:pitch w:val="default"/>
  </w:font>
  <w:font w:name="Times New Roman">
    <w:charset w:val="01"/>
    <w:family w:val="roman"/>
    <w:pitch w:val="default"/>
  </w:font>
  <w:font w:name="Liberation Serif">
    <w:altName w:val="Times New Roman"/>
    <w:charset w:val="01"/>
    <w:family w:val="roman"/>
    <w:pitch w:val="default"/>
  </w:font>
  <w:font w:name="Tahoma">
    <w:charset w:val="01"/>
    <w:family w:val="swiss"/>
    <w:pitch w:val="default"/>
  </w:font>
  <w:font w:name="OpenSymbol">
    <w:altName w:val="Arial Unicode MS"/>
    <w:charset w:val="01"/>
    <w:family w:val="swiss"/>
    <w:pitch w:val="default"/>
  </w:font>
  <w:font w:name="PT Astra Serif">
    <w:charset w:val="01"/>
    <w:family w:val="roman"/>
    <w:pitch w:val="default"/>
  </w:font>
  <w:font w:name="Arial">
    <w:charset w:val="01"/>
    <w:family w:val="swiss"/>
    <w:pitch w:val="default"/>
  </w:font>
  <w:font w:name="Courier New">
    <w:charset w:val="01"/>
    <w:family w:val="swiss"/>
    <w:pitch w:val="default"/>
  </w:font>
  <w:font w:name="Verdana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" cy="173990"/>
              <wp:effectExtent l="0" t="0" r="0" b="0"/>
              <wp:wrapSquare wrapText="bothSides"/>
              <wp:docPr id="3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2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780.3pt;margin-top:0.05pt;width:1.15pt;height:13.65pt;mso-wrap-style:none;v-text-anchor:middle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240" cy="173990"/>
              <wp:effectExtent l="0" t="0" r="0" b="0"/>
              <wp:wrapSquare wrapText="bothSides"/>
              <wp:docPr id="4" name="Врезка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2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3" path="m0,0l-2147483645,0l-2147483645,-2147483646l0,-2147483646xe" stroked="f" o:allowincell="f" style="position:absolute;margin-left:780.3pt;margin-top:0.05pt;width:1.15pt;height:13.65pt;mso-wrap-style:none;v-text-anchor:middle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514396920"/>
    </w:sdtPr>
    <w:sdtContent>
      <w:p>
        <w:pPr>
          <w:pStyle w:val="Header"/>
          <w:jc w:val="center"/>
          <w:rPr/>
        </w:pPr>
        <w:r>
          <w:rPr/>
        </w:r>
      </w:p>
    </w:sdtContent>
  </w:sdt>
  <w:p>
    <w:pPr>
      <w:pStyle w:val="Header"/>
      <w:jc w:val="cent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514396920"/>
    </w:sdtPr>
    <w:sdtContent>
      <w:p>
        <w:pPr>
          <w:pStyle w:val="Header"/>
          <w:jc w:val="center"/>
          <w:rPr/>
        </w:pPr>
        <w:r>
          <w:rPr/>
        </w:r>
      </w:p>
    </w:sdtContent>
  </w:sdt>
  <w:p>
    <w:pPr>
      <w:pStyle w:val="Header"/>
      <w:jc w:val="center"/>
      <w:rPr/>
    </w:pPr>
    <w:r>
      <w:rPr/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footer" w:locked="1" w:uiPriority="0" w:semiHidden="0" w:unhideWhenUsed="0"/>
    <w:lsdException w:name="caption" w:locked="1" w:uiPriority="0" w:qFormat="1"/>
    <w:lsdException w:name="footnote reference" w:uiPriority="0"/>
    <w:lsdException w:name="page number" w:locked="1" w:uiPriority="0" w:semiHidden="0" w:unhideWhenUsed="0"/>
    <w:lsdException w:name="Title" w:locked="1" w:uiPriority="0" w:semiHidden="0" w:unhideWhenUsed="0" w:qFormat="1"/>
    <w:lsdException w:name="Signature" w:locked="1" w:uiPriority="0" w:semiHidden="0" w:unhideWhenUsed="0"/>
    <w:lsdException w:name="Default Paragraph Font" w:locked="1" w:uiPriority="0" w:semiHidden="0" w:unhideWhenUsed="0"/>
    <w:lsdException w:name="Body Text" w:locked="1" w:semiHidden="0" w:unhideWhenUsed="0"/>
    <w:lsdException w:name="Subtitle" w:locked="1" w:uiPriority="0" w:semiHidden="0" w:unhideWhenUsed="0" w:qFormat="1"/>
    <w:lsdException w:name="Body Text Indent 2" w:uiPriority="0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2251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user3"/>
    <w:next w:val="BodyText"/>
    <w:link w:val="11"/>
    <w:qFormat/>
    <w:pPr>
      <w:outlineLvl w:val="0"/>
    </w:pPr>
    <w:rPr>
      <w:rFonts w:ascii="Liberation Serif" w:hAnsi="Liberation Serif" w:cs="Tahoma"/>
      <w:b/>
      <w:bCs/>
      <w:sz w:val="48"/>
      <w:szCs w:val="48"/>
    </w:rPr>
  </w:style>
  <w:style w:type="paragraph" w:styleId="Heading4">
    <w:name w:val="heading 4"/>
    <w:basedOn w:val="user3"/>
    <w:next w:val="BodyText"/>
    <w:qFormat/>
    <w:pPr>
      <w:spacing w:before="120" w:after="120"/>
      <w:outlineLvl w:val="3"/>
    </w:pPr>
    <w:rPr>
      <w:rFonts w:ascii="Liberation Serif" w:hAnsi="Liberation Serif" w:cs="Tahoma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Основной текст Знак"/>
    <w:basedOn w:val="DefaultParagraphFont"/>
    <w:uiPriority w:val="99"/>
    <w:qFormat/>
    <w:locked/>
    <w:rsid w:val="007a64e3"/>
    <w:rPr>
      <w:rFonts w:ascii="Times New Roman" w:hAnsi="Times New Roman" w:cs="Times New Roman"/>
      <w:sz w:val="24"/>
      <w:szCs w:val="24"/>
      <w:lang w:eastAsia="ru-RU"/>
    </w:rPr>
  </w:style>
  <w:style w:type="character" w:styleId="Style13" w:customStyle="1">
    <w:name w:val="Подпись Знак"/>
    <w:basedOn w:val="DefaultParagraphFont"/>
    <w:qFormat/>
    <w:locked/>
    <w:rsid w:val="007a64e3"/>
    <w:rPr>
      <w:rFonts w:ascii="Times New Roman" w:hAnsi="Times New Roman" w:cs="Times New Roman"/>
      <w:sz w:val="20"/>
      <w:szCs w:val="20"/>
      <w:lang w:eastAsia="ru-RU"/>
    </w:rPr>
  </w:style>
  <w:style w:type="character" w:styleId="Style14" w:customStyle="1">
    <w:name w:val="Верхний колонтитул Знак"/>
    <w:basedOn w:val="DefaultParagraphFont"/>
    <w:uiPriority w:val="99"/>
    <w:qFormat/>
    <w:locked/>
    <w:rsid w:val="007a64e3"/>
    <w:rPr>
      <w:rFonts w:ascii="Times New Roman" w:hAnsi="Times New Roman" w:cs="Times New Roman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uiPriority w:val="99"/>
    <w:qFormat/>
    <w:locked/>
    <w:rsid w:val="007a64e3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qFormat/>
    <w:rsid w:val="007a64e3"/>
    <w:rPr>
      <w:rFonts w:cs="Times New Roman"/>
    </w:rPr>
  </w:style>
  <w:style w:type="character" w:styleId="1" w:customStyle="1">
    <w:name w:val="Гиперссылка1"/>
    <w:basedOn w:val="DefaultParagraphFont"/>
    <w:uiPriority w:val="99"/>
    <w:semiHidden/>
    <w:qFormat/>
    <w:rsid w:val="00383278"/>
    <w:rPr>
      <w:rFonts w:cs="Times New Roman"/>
      <w:color w:val="3272C0"/>
      <w:u w:val="none"/>
      <w:effect w:val="none"/>
      <w:shd w:fill="auto" w:val="clear"/>
    </w:rPr>
  </w:style>
  <w:style w:type="character" w:styleId="Style16" w:customStyle="1">
    <w:name w:val="Текст выноски Знак"/>
    <w:basedOn w:val="DefaultParagraphFont"/>
    <w:uiPriority w:val="99"/>
    <w:semiHidden/>
    <w:qFormat/>
    <w:locked/>
    <w:rsid w:val="002f7931"/>
    <w:rPr>
      <w:rFonts w:ascii="Tahoma" w:hAnsi="Tahoma" w:cs="Tahoma"/>
      <w:sz w:val="16"/>
      <w:szCs w:val="16"/>
      <w:lang w:eastAsia="ru-RU"/>
    </w:rPr>
  </w:style>
  <w:style w:type="character" w:styleId="2" w:customStyle="1">
    <w:name w:val="Основной текст с отступом 2 Знак"/>
    <w:basedOn w:val="DefaultParagraphFont"/>
    <w:link w:val="BodyTextIndent2"/>
    <w:qFormat/>
    <w:rsid w:val="00a92811"/>
    <w:rPr>
      <w:rFonts w:ascii="Times New Roman" w:hAnsi="Times New Roman" w:eastAsia="Times New Roman"/>
      <w:lang w:val="en-US"/>
    </w:rPr>
  </w:style>
  <w:style w:type="character" w:styleId="11" w:customStyle="1">
    <w:name w:val="Заголовок 1 Знак"/>
    <w:unhideWhenUsed/>
    <w:qFormat/>
    <w:rsid w:val="00a92811"/>
    <w:rPr>
      <w:vertAlign w:val="superscript"/>
    </w:rPr>
  </w:style>
  <w:style w:type="character" w:styleId="user" w:customStyle="1">
    <w:name w:val="Символ сноски (user)"/>
    <w:qFormat/>
    <w:rPr>
      <w:vertAlign w:val="superscript"/>
    </w:rPr>
  </w:style>
  <w:style w:type="character" w:styleId="Style17" w:customStyle="1">
    <w:name w:val="Символ сноски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user1" w:customStyle="1">
    <w:name w:val="Символ концевой сноски (user)"/>
    <w:qFormat/>
    <w:rPr>
      <w:vertAlign w:val="superscript"/>
    </w:rPr>
  </w:style>
  <w:style w:type="character" w:styleId="Style18" w:customStyle="1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user2" w:customStyle="1">
    <w:name w:val="Маркеры (user)"/>
    <w:qFormat/>
    <w:rPr>
      <w:rFonts w:ascii="OpenSymbol" w:hAnsi="OpenSymbol" w:eastAsia="OpenSymbol" w:cs="OpenSymbol"/>
    </w:rPr>
  </w:style>
  <w:style w:type="paragraph" w:styleId="Style19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uiPriority w:val="99"/>
    <w:rsid w:val="007a64e3"/>
    <w:pPr>
      <w:jc w:val="both"/>
    </w:pPr>
    <w:rPr>
      <w:sz w:val="28"/>
    </w:rPr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3" w:customStyle="1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user4">
    <w:name w:val="Указатель (user)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ignature">
    <w:name w:val="Signature"/>
    <w:basedOn w:val="Normal"/>
    <w:rsid w:val="007a64e3"/>
    <w:pPr>
      <w:jc w:val="both"/>
    </w:pPr>
    <w:rPr>
      <w:sz w:val="28"/>
      <w:szCs w:val="20"/>
    </w:rPr>
  </w:style>
  <w:style w:type="paragraph" w:styleId="Style21" w:customStyle="1">
    <w:name w:val="Колонтитул"/>
    <w:basedOn w:val="Normal"/>
    <w:qFormat/>
    <w:pPr/>
    <w:rPr/>
  </w:style>
  <w:style w:type="paragraph" w:styleId="Style22" w:customStyle="1">
    <w:name w:val="Верхний и нижний колонтитулы"/>
    <w:basedOn w:val="Normal"/>
    <w:qFormat/>
    <w:pPr/>
    <w:rPr/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rsid w:val="007a64e3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Footer">
    <w:name w:val="footer"/>
    <w:basedOn w:val="Normal"/>
    <w:uiPriority w:val="99"/>
    <w:rsid w:val="007a64e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ConsPlusNormal" w:customStyle="1">
    <w:name w:val="ConsPlusNormal"/>
    <w:uiPriority w:val="99"/>
    <w:qFormat/>
    <w:rsid w:val="00bc6a37"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en-US" w:bidi="ar-SA"/>
    </w:rPr>
  </w:style>
  <w:style w:type="paragraph" w:styleId="Style41" w:customStyle="1">
    <w:name w:val="Style4"/>
    <w:basedOn w:val="Normal"/>
    <w:uiPriority w:val="99"/>
    <w:qFormat/>
    <w:rsid w:val="00bc6a37"/>
    <w:pPr>
      <w:widowControl w:val="false"/>
      <w:spacing w:lineRule="exact" w:line="403"/>
      <w:jc w:val="center"/>
    </w:pPr>
    <w:rPr/>
  </w:style>
  <w:style w:type="paragraph" w:styleId="ListParagraph">
    <w:name w:val="List Paragraph"/>
    <w:basedOn w:val="Normal"/>
    <w:uiPriority w:val="99"/>
    <w:qFormat/>
    <w:rsid w:val="00bc6a37"/>
    <w:pPr>
      <w:spacing w:lineRule="auto" w:line="276" w:before="0" w:after="200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BalloonText">
    <w:name w:val="Balloon Text"/>
    <w:basedOn w:val="Normal"/>
    <w:uiPriority w:val="99"/>
    <w:semiHidden/>
    <w:qFormat/>
    <w:rsid w:val="002f7931"/>
    <w:pPr/>
    <w:rPr>
      <w:rFonts w:ascii="Tahoma" w:hAnsi="Tahoma" w:cs="Tahoma"/>
      <w:sz w:val="16"/>
      <w:szCs w:val="16"/>
    </w:rPr>
  </w:style>
  <w:style w:type="paragraph" w:styleId="ConsPlusNonformat" w:customStyle="1">
    <w:name w:val="ConsPlusNonformat"/>
    <w:qFormat/>
    <w:rsid w:val="002b2c65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22" w:customStyle="1">
    <w:name w:val="Основной текст 22"/>
    <w:basedOn w:val="Normal"/>
    <w:uiPriority w:val="99"/>
    <w:qFormat/>
    <w:rsid w:val="00e45602"/>
    <w:pPr>
      <w:ind w:firstLine="567"/>
    </w:pPr>
    <w:rPr>
      <w:sz w:val="28"/>
      <w:szCs w:val="20"/>
    </w:rPr>
  </w:style>
  <w:style w:type="paragraph" w:styleId="NormalWeb">
    <w:name w:val="Normal (Web)"/>
    <w:basedOn w:val="Normal"/>
    <w:uiPriority w:val="99"/>
    <w:unhideWhenUsed/>
    <w:qFormat/>
    <w:rsid w:val="00807056"/>
    <w:pPr>
      <w:spacing w:beforeAutospacing="1" w:afterAutospacing="1"/>
    </w:pPr>
    <w:rPr/>
  </w:style>
  <w:style w:type="paragraph" w:styleId="BodyTextIndent2">
    <w:name w:val="Body Text Indent 2"/>
    <w:basedOn w:val="Normal"/>
    <w:link w:val="2"/>
    <w:qFormat/>
    <w:rsid w:val="00a92811"/>
    <w:pPr>
      <w:spacing w:lineRule="auto" w:line="480" w:before="0" w:after="120"/>
      <w:ind w:left="283"/>
    </w:pPr>
    <w:rPr>
      <w:sz w:val="20"/>
      <w:szCs w:val="20"/>
      <w:lang w:val="en-US"/>
    </w:rPr>
  </w:style>
  <w:style w:type="paragraph" w:styleId="12" w:customStyle="1">
    <w:name w:val="Знак Знак1 Знак Знак Знак Знак Знак Знак Знак Знак Знак Знак Знак Знак Знак Знак Знак Знак Знак Знак"/>
    <w:basedOn w:val="Normal"/>
    <w:qFormat/>
    <w:rsid w:val="00a92811"/>
    <w:pPr>
      <w:spacing w:lineRule="auto" w:line="276" w:before="0" w:after="200"/>
    </w:pPr>
    <w:rPr>
      <w:rFonts w:ascii="Calibri" w:hAnsi="Calibri" w:eastAsia="Calibri"/>
      <w:sz w:val="20"/>
      <w:szCs w:val="20"/>
      <w:vertAlign w:val="superscript"/>
    </w:rPr>
  </w:style>
  <w:style w:type="paragraph" w:styleId="21" w:customStyle="1">
    <w:name w:val="Знак2 Знак Знак"/>
    <w:basedOn w:val="Normal"/>
    <w:qFormat/>
    <w:rsid w:val="00bc5580"/>
    <w:pPr>
      <w:tabs>
        <w:tab w:val="clear" w:pos="708"/>
        <w:tab w:val="left" w:pos="720" w:leader="none"/>
      </w:tabs>
      <w:spacing w:lineRule="exact" w:line="240" w:before="0" w:after="160"/>
      <w:ind w:hanging="720" w:left="720"/>
    </w:pPr>
    <w:rPr>
      <w:rFonts w:ascii="Verdana" w:hAnsi="Verdana" w:cs="Verdana"/>
      <w:sz w:val="20"/>
      <w:szCs w:val="20"/>
      <w:lang w:val="en-US" w:eastAsia="en-US"/>
    </w:rPr>
  </w:style>
  <w:style w:type="paragraph" w:styleId="Style23" w:customStyle="1">
    <w:name w:val="_Основной текст"/>
    <w:basedOn w:val="Normal"/>
    <w:qFormat/>
    <w:rsid w:val="00bc5580"/>
    <w:pPr>
      <w:spacing w:before="120" w:after="120"/>
      <w:ind w:firstLine="680"/>
      <w:jc w:val="both"/>
    </w:pPr>
    <w:rPr>
      <w:rFonts w:eastAsia="Calibri"/>
      <w:szCs w:val="22"/>
      <w:lang w:eastAsia="en-US"/>
    </w:rPr>
  </w:style>
  <w:style w:type="paragraph" w:styleId="FootnoteText">
    <w:name w:val="footnote text"/>
    <w:basedOn w:val="Normal"/>
    <w:pPr/>
    <w:rPr/>
  </w:style>
  <w:style w:type="paragraph" w:styleId="user5" w:customStyle="1">
    <w:name w:val="Содержимое врезки (user)"/>
    <w:basedOn w:val="Normal"/>
    <w:qFormat/>
    <w:pPr/>
    <w:rPr/>
  </w:style>
  <w:style w:type="paragraph" w:styleId="user6" w:customStyle="1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7" w:customStyle="1">
    <w:name w:val="Заголовок таблицы (user)"/>
    <w:basedOn w:val="user6"/>
    <w:qFormat/>
    <w:pPr>
      <w:jc w:val="center"/>
    </w:pPr>
    <w:rPr>
      <w:b/>
      <w:bCs/>
    </w:rPr>
  </w:style>
  <w:style w:type="paragraph" w:styleId="66" w:customStyle="1">
    <w:name w:val="_Основной текст 66"/>
    <w:basedOn w:val="Normal"/>
    <w:qFormat/>
    <w:pPr>
      <w:widowControl w:val="false"/>
      <w:snapToGrid w:val="false"/>
    </w:pPr>
    <w:rPr>
      <w:color w:val="000000"/>
      <w:sz w:val="20"/>
      <w:szCs w:val="20"/>
    </w:rPr>
  </w:style>
  <w:style w:type="paragraph" w:styleId="Style24" w:customStyle="1">
    <w:name w:val="Содержимое врезки"/>
    <w:basedOn w:val="Normal"/>
    <w:qFormat/>
    <w:pPr/>
    <w:rPr/>
  </w:style>
  <w:style w:type="paragraph" w:styleId="Style25">
    <w:name w:val="Содержимое таблицы"/>
    <w:basedOn w:val="Normal"/>
    <w:qFormat/>
    <w:pPr>
      <w:widowControl w:val="false"/>
      <w:suppressLineNumbers/>
    </w:pPr>
    <w:rPr/>
  </w:style>
  <w:style w:type="paragraph" w:styleId="Style26">
    <w:name w:val="Заголовок таблицы"/>
    <w:basedOn w:val="Style25"/>
    <w:qFormat/>
    <w:pPr>
      <w:suppressLineNumbers/>
      <w:jc w:val="center"/>
    </w:pPr>
    <w:rPr>
      <w:b/>
      <w:bCs/>
    </w:rPr>
  </w:style>
  <w:style w:type="numbering" w:styleId="user8" w:customStyle="1">
    <w:name w:val="Без списка (user)"/>
    <w:uiPriority w:val="99"/>
    <w:semiHidden/>
    <w:unhideWhenUsed/>
    <w:qFormat/>
  </w:style>
  <w:style w:type="numbering" w:styleId="Style27" w:customStyle="1">
    <w:name w:val="Без списка"/>
    <w:uiPriority w:val="99"/>
    <w:semiHidden/>
    <w:unhideWhenUsed/>
    <w:qFormat/>
  </w:style>
  <w:style w:type="table" w:default="1" w:styleId="a2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e">
    <w:name w:val="Table Grid"/>
    <w:basedOn w:val="a2"/>
    <w:uiPriority w:val="59"/>
    <w:rsid w:val="00d32bc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D1DFD-456E-49B8-9574-29CAF8D82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LibreOffice/25.2.3.2$Linux_X86_64 LibreOffice_project/520$Build-2</Application>
  <AppVersion>15.0000</AppVersion>
  <Pages>3</Pages>
  <Words>579</Words>
  <Characters>4309</Characters>
  <CharactersWithSpaces>4777</CharactersWithSpaces>
  <Paragraphs>115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2026-06-08T05:42:00Z</dcterms:created>
  <dc:creator>[ГУ КРСК] Юридический отдел (Матушкина Н.М.)</dc:creator>
  <dc:description/>
  <dc:language>ru-RU</dc:language>
  <cp:lastModifiedBy/>
  <cp:lastPrinted>2023-03-01T07:37:00Z</cp:lastPrinted>
  <dcterms:modified xsi:type="dcterms:W3CDTF">2026-06-15T10:13:43Z</dcterms:modified>
  <cp:revision>6</cp:revision>
  <dc:subject/>
  <dc:title>Приложение № 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