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Pr="00F63AC4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F63AC4" w:rsidRPr="00F63AC4" w:rsidRDefault="00F63AC4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F63AC4">
        <w:rPr>
          <w:b/>
          <w:sz w:val="22"/>
          <w:szCs w:val="22"/>
        </w:rPr>
        <w:t>Запасные части для автомобильной техники</w:t>
      </w:r>
      <w:r w:rsidRPr="00F63AC4">
        <w:rPr>
          <w:b/>
          <w:bCs/>
          <w:sz w:val="22"/>
          <w:szCs w:val="22"/>
        </w:rPr>
        <w:t xml:space="preserve"> 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8D0A10">
        <w:rPr>
          <w:b/>
          <w:bCs/>
          <w:color w:val="000000" w:themeColor="text1"/>
          <w:sz w:val="22"/>
          <w:szCs w:val="22"/>
        </w:rPr>
        <w:t>185</w:t>
      </w:r>
      <w:r w:rsidR="003C37F5">
        <w:rPr>
          <w:b/>
          <w:bCs/>
          <w:color w:val="000000" w:themeColor="text1"/>
          <w:sz w:val="22"/>
          <w:szCs w:val="22"/>
        </w:rPr>
        <w:t>2932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A72F5A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ПРЕД</w:t>
      </w:r>
      <w:r w:rsidRPr="00AE0F5D">
        <w:rPr>
          <w:bCs/>
          <w:sz w:val="22"/>
          <w:szCs w:val="22"/>
        </w:rPr>
        <w:softHyphen/>
        <w:t xml:space="preserve">МЕТ </w:t>
      </w:r>
      <w:r w:rsidR="009D47D6" w:rsidRPr="00AE0F5D">
        <w:rPr>
          <w:bCs/>
          <w:sz w:val="22"/>
          <w:szCs w:val="22"/>
        </w:rPr>
        <w:t>КОНТРАКТ</w:t>
      </w:r>
      <w:r w:rsidR="00542504" w:rsidRPr="00AE0F5D">
        <w:rPr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7F59B5">
        <w:rPr>
          <w:sz w:val="22"/>
          <w:szCs w:val="22"/>
        </w:rPr>
        <w:t>з</w:t>
      </w:r>
      <w:r w:rsidR="00F63AC4">
        <w:rPr>
          <w:sz w:val="22"/>
          <w:szCs w:val="22"/>
        </w:rPr>
        <w:t>апасные части для автомобильной техники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AE0F5D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3C37F5">
        <w:rPr>
          <w:bCs/>
          <w:sz w:val="22"/>
          <w:szCs w:val="22"/>
        </w:rPr>
        <w:t>7</w:t>
      </w:r>
      <w:r w:rsidR="00572ABD">
        <w:rPr>
          <w:bCs/>
          <w:sz w:val="22"/>
          <w:szCs w:val="22"/>
        </w:rPr>
        <w:t xml:space="preserve"> </w:t>
      </w:r>
      <w:r w:rsidR="000859BE">
        <w:rPr>
          <w:bCs/>
          <w:sz w:val="22"/>
          <w:szCs w:val="22"/>
        </w:rPr>
        <w:t xml:space="preserve">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7F59B5">
        <w:rPr>
          <w:bCs/>
          <w:sz w:val="22"/>
          <w:szCs w:val="22"/>
        </w:rPr>
        <w:t xml:space="preserve">2.2. </w:t>
      </w:r>
      <w:r w:rsidR="001F01F4" w:rsidRPr="007F59B5">
        <w:rPr>
          <w:bCs/>
          <w:sz w:val="22"/>
          <w:szCs w:val="22"/>
        </w:rPr>
        <w:t>Место поставки</w:t>
      </w:r>
      <w:r w:rsidR="00EE5A9E" w:rsidRPr="007F59B5">
        <w:rPr>
          <w:bCs/>
          <w:sz w:val="22"/>
          <w:szCs w:val="22"/>
        </w:rPr>
        <w:t>:</w:t>
      </w:r>
      <w:r w:rsidR="00025313" w:rsidRPr="007F59B5">
        <w:rPr>
          <w:color w:val="000000"/>
          <w:sz w:val="22"/>
          <w:szCs w:val="22"/>
        </w:rPr>
        <w:t xml:space="preserve"> </w:t>
      </w:r>
      <w:r w:rsidR="007F59B5" w:rsidRPr="007F59B5">
        <w:rPr>
          <w:color w:val="000000"/>
          <w:sz w:val="22"/>
          <w:szCs w:val="22"/>
        </w:rPr>
        <w:t xml:space="preserve">142402 Московская обл., Богородский </w:t>
      </w:r>
      <w:r w:rsidR="00133455" w:rsidRPr="007F59B5">
        <w:rPr>
          <w:color w:val="000000"/>
          <w:sz w:val="22"/>
          <w:szCs w:val="22"/>
        </w:rPr>
        <w:t>г.</w:t>
      </w:r>
      <w:r w:rsidR="00133455">
        <w:rPr>
          <w:color w:val="000000"/>
          <w:sz w:val="22"/>
          <w:szCs w:val="22"/>
        </w:rPr>
        <w:t xml:space="preserve"> о.</w:t>
      </w:r>
      <w:r w:rsidR="00133455" w:rsidRPr="007F59B5">
        <w:rPr>
          <w:color w:val="000000"/>
          <w:sz w:val="22"/>
          <w:szCs w:val="22"/>
        </w:rPr>
        <w:t>,</w:t>
      </w:r>
      <w:r w:rsidR="00133455">
        <w:rPr>
          <w:color w:val="000000"/>
          <w:sz w:val="22"/>
          <w:szCs w:val="22"/>
        </w:rPr>
        <w:t xml:space="preserve"> </w:t>
      </w:r>
      <w:r w:rsidR="00133455" w:rsidRPr="007F59B5">
        <w:rPr>
          <w:color w:val="000000"/>
          <w:sz w:val="22"/>
          <w:szCs w:val="22"/>
        </w:rPr>
        <w:t>д.</w:t>
      </w:r>
      <w:r w:rsidR="007F59B5" w:rsidRPr="007F59B5">
        <w:rPr>
          <w:color w:val="000000"/>
          <w:sz w:val="22"/>
          <w:szCs w:val="22"/>
        </w:rPr>
        <w:t xml:space="preserve"> Жилино, ул. Строителей, ФГКУ «Ногинский спасательный центр МЧС России», КПП №4, автотранспортом Поставщика</w:t>
      </w:r>
      <w:r w:rsidR="007F59B5" w:rsidRPr="007F59B5">
        <w:rPr>
          <w:b/>
          <w:color w:val="000000"/>
          <w:sz w:val="22"/>
          <w:szCs w:val="22"/>
        </w:rPr>
        <w:t>.</w:t>
      </w:r>
      <w:r w:rsidR="007F59B5">
        <w:rPr>
          <w:b/>
          <w:color w:val="000000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</w:t>
      </w:r>
      <w:r w:rsidR="00133455" w:rsidRPr="00373399">
        <w:rPr>
          <w:color w:val="000000"/>
          <w:sz w:val="22"/>
          <w:szCs w:val="22"/>
        </w:rPr>
        <w:t>пропуск</w:t>
      </w:r>
      <w:r w:rsidR="00133455">
        <w:rPr>
          <w:color w:val="000000"/>
          <w:sz w:val="22"/>
          <w:szCs w:val="22"/>
        </w:rPr>
        <w:t xml:space="preserve"> </w:t>
      </w:r>
      <w:r w:rsidR="00133455" w:rsidRPr="00373399">
        <w:rPr>
          <w:color w:val="000000"/>
          <w:sz w:val="22"/>
          <w:szCs w:val="22"/>
        </w:rPr>
        <w:t>автотранспортного</w:t>
      </w:r>
      <w:r w:rsidR="00666570" w:rsidRPr="00373399">
        <w:rPr>
          <w:color w:val="000000"/>
          <w:sz w:val="22"/>
          <w:szCs w:val="22"/>
        </w:rPr>
        <w:t xml:space="preserve">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AE0F5D" w:rsidRDefault="00A50B53" w:rsidP="00572B6A">
      <w:pPr>
        <w:pStyle w:val="a9"/>
        <w:ind w:firstLine="0"/>
        <w:rPr>
          <w:bCs/>
          <w:sz w:val="22"/>
          <w:szCs w:val="22"/>
        </w:rPr>
      </w:pPr>
    </w:p>
    <w:p w:rsidR="00572B6A" w:rsidRPr="00AE0F5D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</w:t>
      </w:r>
      <w:r w:rsidRPr="00AE0F5D">
        <w:rPr>
          <w:bCs/>
          <w:sz w:val="22"/>
          <w:szCs w:val="22"/>
        </w:rPr>
        <w:softHyphen/>
        <w:t>РЯ</w:t>
      </w:r>
      <w:r w:rsidRPr="00AE0F5D">
        <w:rPr>
          <w:bCs/>
          <w:sz w:val="22"/>
          <w:szCs w:val="22"/>
        </w:rPr>
        <w:softHyphen/>
        <w:t>ДОК ПРИ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КИ ТОВАРА ПО КОЛИЧЕСТВУ И КАЧЕС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widowControl/>
              <w:autoSpaceDE/>
              <w:autoSpaceDN/>
              <w:adjustRightInd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3.14.  Гарантийный срок: </w:t>
      </w:r>
      <w:r w:rsidR="00F63AC4">
        <w:rPr>
          <w:bCs/>
          <w:sz w:val="22"/>
          <w:szCs w:val="22"/>
        </w:rPr>
        <w:t>в соответствии с действующим законодательством РФ.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AE0F5D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AE0F5D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AE0F5D">
        <w:rPr>
          <w:rFonts w:ascii="Times New Roman" w:hAnsi="Times New Roman" w:cs="Times New Roman"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AE0F5D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AE0F5D" w:rsidRDefault="003A1257" w:rsidP="00F11C0C">
      <w:pPr>
        <w:pStyle w:val="ab"/>
        <w:numPr>
          <w:ilvl w:val="0"/>
          <w:numId w:val="3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ОДНОСТОРОННИЙ ОТКАЗ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2A48E3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ИЗМЕНЕНИЕ,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AE0F5D" w:rsidRDefault="003A1257" w:rsidP="00700C86">
      <w:pPr>
        <w:pStyle w:val="a9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ПРОЧИЕ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Default="003A1257" w:rsidP="002218AA">
      <w:pPr>
        <w:numPr>
          <w:ilvl w:val="0"/>
          <w:numId w:val="2"/>
        </w:numPr>
        <w:ind w:left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AE0F5D" w:rsidRDefault="008B5C53" w:rsidP="0066610A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AE0F5D" w:rsidRDefault="003A1257" w:rsidP="00121CA2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0859BE">
        <w:rPr>
          <w:bCs/>
          <w:sz w:val="22"/>
          <w:szCs w:val="22"/>
        </w:rPr>
        <w:t>Е.В. Гаврилюк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7F59B5" w:rsidRDefault="00C44FAF" w:rsidP="007F59B5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"/>
        <w:gridCol w:w="794"/>
        <w:gridCol w:w="992"/>
        <w:gridCol w:w="1928"/>
        <w:gridCol w:w="1843"/>
        <w:gridCol w:w="1842"/>
      </w:tblGrid>
      <w:tr w:rsidR="001D2D71" w:rsidRPr="001D2D71" w:rsidTr="001D2D71">
        <w:tc>
          <w:tcPr>
            <w:tcW w:w="1951" w:type="dxa"/>
            <w:vAlign w:val="center"/>
          </w:tcPr>
          <w:p w:rsidR="001D2D71" w:rsidRPr="001D2D71" w:rsidRDefault="001D2D71" w:rsidP="001D2D7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2D71">
              <w:rPr>
                <w:b/>
                <w:sz w:val="22"/>
                <w:szCs w:val="22"/>
              </w:rPr>
              <w:t>Предмет контракта</w:t>
            </w:r>
          </w:p>
        </w:tc>
        <w:tc>
          <w:tcPr>
            <w:tcW w:w="851" w:type="dxa"/>
            <w:vAlign w:val="center"/>
          </w:tcPr>
          <w:p w:rsidR="001D2D71" w:rsidRPr="001D2D71" w:rsidRDefault="001D2D71" w:rsidP="001D2D71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1D2D71">
              <w:rPr>
                <w:b/>
                <w:sz w:val="22"/>
                <w:szCs w:val="22"/>
              </w:rPr>
              <w:t>№</w:t>
            </w:r>
          </w:p>
          <w:p w:rsidR="001D2D71" w:rsidRPr="001D2D71" w:rsidRDefault="001D2D71" w:rsidP="001D2D71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1D2D7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94" w:type="dxa"/>
            <w:vAlign w:val="center"/>
          </w:tcPr>
          <w:p w:rsidR="001D2D71" w:rsidRPr="001D2D71" w:rsidRDefault="001D2D71" w:rsidP="001D2D71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1D2D7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vAlign w:val="center"/>
          </w:tcPr>
          <w:p w:rsidR="001D2D71" w:rsidRPr="001D2D71" w:rsidRDefault="001D2D71" w:rsidP="001D2D71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  <w:sz w:val="22"/>
                <w:szCs w:val="22"/>
              </w:rPr>
            </w:pPr>
            <w:r w:rsidRPr="001D2D7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928" w:type="dxa"/>
            <w:vAlign w:val="center"/>
          </w:tcPr>
          <w:p w:rsidR="001D2D71" w:rsidRPr="001D2D71" w:rsidRDefault="001D2D71" w:rsidP="001D2D7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2D71">
              <w:rPr>
                <w:b/>
                <w:sz w:val="22"/>
                <w:szCs w:val="22"/>
              </w:rPr>
              <w:t>Наименование характеристик товара</w:t>
            </w:r>
          </w:p>
        </w:tc>
        <w:tc>
          <w:tcPr>
            <w:tcW w:w="1843" w:type="dxa"/>
          </w:tcPr>
          <w:p w:rsidR="001D2D71" w:rsidRPr="001D2D71" w:rsidRDefault="001D2D71" w:rsidP="001D2D7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2D71">
              <w:rPr>
                <w:b/>
                <w:sz w:val="22"/>
                <w:szCs w:val="22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842" w:type="dxa"/>
          </w:tcPr>
          <w:p w:rsidR="001D2D71" w:rsidRPr="001D2D71" w:rsidRDefault="001D2D71" w:rsidP="001D2D71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D2D71">
              <w:rPr>
                <w:b/>
                <w:sz w:val="22"/>
                <w:szCs w:val="22"/>
              </w:rPr>
              <w:t xml:space="preserve">Требования к значению показателя 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Запасные части для автомобильной техники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Крыло левое передняя часть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5320-8403013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</w:t>
            </w:r>
            <w:r w:rsidRPr="001D2D71">
              <w:rPr>
                <w:color w:val="000000"/>
                <w:sz w:val="22"/>
                <w:szCs w:val="22"/>
                <w:shd w:val="clear" w:color="auto" w:fill="FFFFFF"/>
              </w:rPr>
              <w:t>ено для КамАЗ-43101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Крыло правое передняя часть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5320-8403012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</w:t>
            </w:r>
            <w:r w:rsidRPr="001D2D71">
              <w:rPr>
                <w:color w:val="000000"/>
                <w:sz w:val="22"/>
                <w:szCs w:val="22"/>
                <w:shd w:val="clear" w:color="auto" w:fill="FFFFFF"/>
              </w:rPr>
              <w:t>ено для КамАЗ-43101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Сиденье среднее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Р53205-6810010-01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</w:t>
            </w:r>
            <w:r w:rsidRPr="001D2D71">
              <w:rPr>
                <w:color w:val="000000"/>
                <w:sz w:val="22"/>
                <w:szCs w:val="22"/>
                <w:shd w:val="clear" w:color="auto" w:fill="FFFFFF"/>
              </w:rPr>
              <w:t>ено для КамАЗ-43101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Опора вала карданного в сборе с подшипником и хомутом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3302-2202800 или эквивалент</w:t>
            </w:r>
          </w:p>
        </w:tc>
      </w:tr>
      <w:tr w:rsidR="001D2D71" w:rsidRPr="001D2D71" w:rsidTr="001D2D71">
        <w:trPr>
          <w:trHeight w:val="549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ГАЗ-32213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Щека серьги рессоры усиленная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2D71">
              <w:rPr>
                <w:sz w:val="24"/>
                <w:szCs w:val="24"/>
              </w:rPr>
              <w:t>302-2902466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ГАЗ-32213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Болт М12х1.25х80 стяжной рессоры задней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201577-П29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ГАЗ-32213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Редуктор заднего моста 41х9 зубьев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2217-2402010-01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ГАЗ-32213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Бак топливный левый (ЗМЗ 409, 514)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D2D71">
              <w:rPr>
                <w:color w:val="000000"/>
                <w:sz w:val="22"/>
                <w:szCs w:val="22"/>
                <w:shd w:val="clear" w:color="auto" w:fill="FFFFFF"/>
              </w:rPr>
              <w:t xml:space="preserve">3160-20-1101009-01   </w:t>
            </w:r>
            <w:r w:rsidRPr="001D2D71">
              <w:rPr>
                <w:color w:val="000000"/>
                <w:sz w:val="22"/>
                <w:szCs w:val="22"/>
              </w:rPr>
              <w:t>или эквивалент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 wp14:anchorId="6E02B986" wp14:editId="79944409">
                  <wp:extent cx="679806" cy="494009"/>
                  <wp:effectExtent l="0" t="0" r="6350" b="1905"/>
                  <wp:docPr id="1" name="Рисунок 1" descr="Бак уа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к уа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819" cy="50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УАЗ-3163 (Патриот)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shd w:val="clear" w:color="auto" w:fill="FFFFFF"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Бачок расширительный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  <w:shd w:val="clear" w:color="auto" w:fill="FFFFFF"/>
              </w:rPr>
              <w:t xml:space="preserve">3163-00-1311014-20    </w:t>
            </w:r>
            <w:r w:rsidRPr="001D2D71">
              <w:rPr>
                <w:color w:val="000000"/>
                <w:sz w:val="22"/>
                <w:szCs w:val="22"/>
              </w:rPr>
              <w:t>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УАЗ-3163 (Патриот)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Механизм рулевой с гидроусилителем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ШНКФ.453461.123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ГАЗ-27057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Мост задний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3302-2400012-01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ГАЗ-27057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Наконечник рулевой тяги, левый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adg087125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 xml:space="preserve">Предназначено для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Ssang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Yong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Rexton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RJ4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Наконечник рулевой тяги, правый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adg087126 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 xml:space="preserve">Предназначено для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Ssang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Yong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Rexton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RJ4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1D2D71">
              <w:rPr>
                <w:sz w:val="22"/>
                <w:szCs w:val="22"/>
              </w:rPr>
              <w:t>к-т.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Комплект колодок тормозных дисковых задних 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D2D71">
              <w:rPr>
                <w:color w:val="000000"/>
                <w:sz w:val="22"/>
                <w:szCs w:val="22"/>
                <w:shd w:val="clear" w:color="auto" w:fill="FFFFFF"/>
              </w:rPr>
              <w:t xml:space="preserve">13.0460-5623.2 </w:t>
            </w:r>
            <w:r w:rsidRPr="001D2D71">
              <w:rPr>
                <w:color w:val="000000"/>
                <w:sz w:val="22"/>
                <w:szCs w:val="22"/>
              </w:rPr>
              <w:t>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 xml:space="preserve">Предназначено для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Ssang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Yong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Rexton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RJ4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1D2D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1D2D71">
              <w:rPr>
                <w:sz w:val="22"/>
                <w:szCs w:val="22"/>
              </w:rPr>
              <w:t>к-т.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Комплект колодок тормозных дисковых передних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D2D71">
              <w:rPr>
                <w:color w:val="000000"/>
                <w:sz w:val="22"/>
                <w:szCs w:val="22"/>
                <w:shd w:val="clear" w:color="auto" w:fill="FFFFFF"/>
              </w:rPr>
              <w:t xml:space="preserve">13.0460-5832.2 </w:t>
            </w:r>
            <w:r w:rsidRPr="001D2D71">
              <w:rPr>
                <w:color w:val="000000"/>
                <w:sz w:val="22"/>
                <w:szCs w:val="22"/>
              </w:rPr>
              <w:t>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 xml:space="preserve">Предназначено для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Ssang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Yong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Rexton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RJ4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1D2D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Опора шаровая передняя нижняя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  <w:shd w:val="clear" w:color="auto" w:fill="FFFFFF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49395921 </w:t>
            </w:r>
            <w:r w:rsidRPr="001D2D71">
              <w:rPr>
                <w:color w:val="000000"/>
                <w:sz w:val="22"/>
                <w:szCs w:val="22"/>
              </w:rPr>
              <w:t>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 xml:space="preserve">Предназначено для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Ssang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Yong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Rexton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RJ4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к-т.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Комплект подшипников 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ступицы колеса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  <w:shd w:val="clear" w:color="auto" w:fill="FFFFFF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713 6200 10 </w:t>
            </w:r>
            <w:r w:rsidRPr="001D2D71">
              <w:rPr>
                <w:color w:val="000000"/>
                <w:sz w:val="22"/>
                <w:szCs w:val="22"/>
              </w:rPr>
              <w:t>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 xml:space="preserve">Предназначено для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Ssang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Yong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2D71">
              <w:rPr>
                <w:color w:val="000000"/>
                <w:sz w:val="22"/>
                <w:szCs w:val="22"/>
              </w:rPr>
              <w:t>Rexton</w:t>
            </w:r>
            <w:proofErr w:type="spellEnd"/>
            <w:r w:rsidRPr="001D2D71">
              <w:rPr>
                <w:color w:val="000000"/>
                <w:sz w:val="22"/>
                <w:szCs w:val="22"/>
              </w:rPr>
              <w:t xml:space="preserve"> RJ4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шт.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Карбюратор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  <w:shd w:val="clear" w:color="auto" w:fill="FFFFFF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К151Е1107010   </w:t>
            </w:r>
            <w:r w:rsidRPr="001D2D71">
              <w:rPr>
                <w:color w:val="000000"/>
                <w:sz w:val="22"/>
                <w:szCs w:val="22"/>
              </w:rPr>
              <w:t>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УАЗ-3962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к-т.</w:t>
            </w:r>
          </w:p>
        </w:tc>
        <w:tc>
          <w:tcPr>
            <w:tcW w:w="1928" w:type="dxa"/>
            <w:vMerge w:val="restart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Комплект замков люка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(5 замков + 2 ключа) </w:t>
            </w:r>
          </w:p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  <w:shd w:val="clear" w:color="auto" w:fill="FFFFFF"/>
              </w:rPr>
            </w:pPr>
            <w:r w:rsidRPr="001D2D71">
              <w:rPr>
                <w:sz w:val="22"/>
                <w:szCs w:val="22"/>
              </w:rPr>
              <w:t>Каталожный номер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оарт.но-05 </w:t>
            </w:r>
            <w:r w:rsidRPr="001D2D71">
              <w:rPr>
                <w:color w:val="000000"/>
                <w:sz w:val="22"/>
                <w:szCs w:val="22"/>
              </w:rPr>
              <w:t>или эквивалент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Применимость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D2D71">
              <w:rPr>
                <w:color w:val="000000"/>
                <w:sz w:val="22"/>
                <w:szCs w:val="22"/>
              </w:rPr>
              <w:t>Предназначено для ПАЗ-3204</w:t>
            </w:r>
          </w:p>
        </w:tc>
      </w:tr>
      <w:tr w:rsidR="001D2D71" w:rsidRPr="001D2D71" w:rsidTr="001D2D71">
        <w:trPr>
          <w:trHeight w:val="227"/>
        </w:trPr>
        <w:tc>
          <w:tcPr>
            <w:tcW w:w="1951" w:type="dxa"/>
            <w:vMerge/>
            <w:vAlign w:val="center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adjustRightInd/>
              <w:ind w:left="736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842" w:type="dxa"/>
            <w:shd w:val="clear" w:color="auto" w:fill="FFFFFF"/>
          </w:tcPr>
          <w:p w:rsidR="001D2D71" w:rsidRPr="001D2D71" w:rsidRDefault="001D2D71" w:rsidP="001D2D7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7F59B5" w:rsidRPr="00515368" w:rsidRDefault="007F59B5" w:rsidP="007F59B5">
      <w:pPr>
        <w:ind w:firstLine="708"/>
        <w:jc w:val="both"/>
      </w:pPr>
    </w:p>
    <w:p w:rsidR="00F63AC4" w:rsidRDefault="00F63AC4" w:rsidP="00224635">
      <w:pPr>
        <w:rPr>
          <w:b/>
          <w:sz w:val="22"/>
          <w:szCs w:val="22"/>
        </w:rPr>
      </w:pPr>
    </w:p>
    <w:bookmarkEnd w:id="5"/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   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F63AC4" w:rsidRPr="00AE0F5D" w:rsidRDefault="003A1257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10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1D2D71">
        <w:rPr>
          <w:bCs/>
          <w:sz w:val="22"/>
          <w:szCs w:val="22"/>
        </w:rPr>
        <w:t xml:space="preserve">                           </w:t>
      </w: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E410A" w:rsidRDefault="003E410A" w:rsidP="000D4C51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3E410A" w:rsidRPr="00A13760" w:rsidRDefault="003E410A" w:rsidP="00A13760">
      <w:pPr>
        <w:jc w:val="center"/>
        <w:rPr>
          <w:b/>
          <w:bCs/>
          <w:sz w:val="22"/>
          <w:szCs w:val="22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7"/>
        <w:gridCol w:w="2833"/>
        <w:gridCol w:w="993"/>
        <w:gridCol w:w="712"/>
        <w:gridCol w:w="1562"/>
        <w:gridCol w:w="1687"/>
      </w:tblGrid>
      <w:tr w:rsidR="00A13760" w:rsidRPr="003E410A" w:rsidTr="00133455">
        <w:trPr>
          <w:trHeight w:val="487"/>
        </w:trPr>
        <w:tc>
          <w:tcPr>
            <w:tcW w:w="904" w:type="pct"/>
            <w:vAlign w:val="center"/>
          </w:tcPr>
          <w:p w:rsidR="008E7E54" w:rsidRPr="003E410A" w:rsidRDefault="008E7E54" w:rsidP="000D4C51">
            <w:pPr>
              <w:ind w:left="164"/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278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89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487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349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66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Цена за ед. изм.</w:t>
            </w:r>
          </w:p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с НДС (руб.)</w:t>
            </w:r>
          </w:p>
        </w:tc>
        <w:tc>
          <w:tcPr>
            <w:tcW w:w="827" w:type="pct"/>
            <w:vAlign w:val="center"/>
          </w:tcPr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 xml:space="preserve">Всего </w:t>
            </w:r>
          </w:p>
          <w:p w:rsidR="008E7E54" w:rsidRPr="003E410A" w:rsidRDefault="008E7E54" w:rsidP="00A45AD3">
            <w:pPr>
              <w:jc w:val="center"/>
              <w:rPr>
                <w:b/>
                <w:bCs/>
                <w:sz w:val="22"/>
                <w:szCs w:val="22"/>
              </w:rPr>
            </w:pPr>
            <w:r w:rsidRPr="003E410A">
              <w:rPr>
                <w:b/>
                <w:bCs/>
                <w:sz w:val="22"/>
                <w:szCs w:val="22"/>
              </w:rPr>
              <w:t>с НДС (руб.)</w:t>
            </w:r>
          </w:p>
        </w:tc>
      </w:tr>
      <w:tr w:rsidR="009340AE" w:rsidRPr="003E410A" w:rsidTr="001D2D71">
        <w:trPr>
          <w:trHeight w:val="146"/>
        </w:trPr>
        <w:tc>
          <w:tcPr>
            <w:tcW w:w="904" w:type="pct"/>
            <w:vMerge w:val="restart"/>
            <w:vAlign w:val="center"/>
          </w:tcPr>
          <w:p w:rsidR="009340AE" w:rsidRPr="003E410A" w:rsidRDefault="009340AE" w:rsidP="00A13760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3E410A">
              <w:rPr>
                <w:sz w:val="22"/>
                <w:szCs w:val="22"/>
              </w:rPr>
              <w:t>Запасные части для автомобильной техники</w:t>
            </w:r>
          </w:p>
        </w:tc>
        <w:tc>
          <w:tcPr>
            <w:tcW w:w="278" w:type="pct"/>
          </w:tcPr>
          <w:p w:rsidR="009340AE" w:rsidRPr="003E410A" w:rsidRDefault="009340AE" w:rsidP="001D2D71">
            <w:pPr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Крыло левое передняя часть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36C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4C463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1D2D71">
            <w:pPr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A13760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Pr="003E410A" w:rsidRDefault="009340AE" w:rsidP="00336C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Крыло правое передняя часть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36C9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4C463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A45AD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Сиденье среднее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Опора вала карданного в сборе с подшипником и хомутом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3C37F5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Щека серьги рессоры усиленная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Болт М12х1.25х80 стяжной рессоры задней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Редуктор заднего моста 41х9 зубьев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Бак топливный левый (ЗМЗ 409, 514)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Бачок расширительный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Механизм рулевой с гидроусилителем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3C37F5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1D2D71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Мост задний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3C37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9340AE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9340AE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Наконечник рулевой тяги, левый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9340AE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9340AE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Наконечник рулевой тяги, правый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9340AE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9340AE">
            <w:pPr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Комплект колодок тормозных дисковых задних 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к-</w:t>
            </w:r>
            <w:r w:rsidRPr="003E410A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9340AE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9340AE">
            <w:pPr>
              <w:jc w:val="center"/>
              <w:rPr>
                <w:sz w:val="22"/>
                <w:szCs w:val="22"/>
              </w:rPr>
            </w:pPr>
            <w:r w:rsidRPr="009340AE">
              <w:rPr>
                <w:sz w:val="22"/>
                <w:szCs w:val="22"/>
              </w:rPr>
              <w:t>Комплект колодок тормозных дисковых передних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к-</w:t>
            </w:r>
            <w:r w:rsidRPr="003E410A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9340AE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9340AE">
            <w:pPr>
              <w:jc w:val="center"/>
              <w:rPr>
                <w:sz w:val="22"/>
                <w:szCs w:val="22"/>
              </w:rPr>
            </w:pPr>
            <w:r w:rsidRPr="009340AE">
              <w:rPr>
                <w:sz w:val="22"/>
                <w:szCs w:val="22"/>
              </w:rPr>
              <w:t>Опора шаровая передняя нижняя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9340AE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</w:t>
            </w:r>
          </w:p>
        </w:tc>
        <w:tc>
          <w:tcPr>
            <w:tcW w:w="1389" w:type="pct"/>
            <w:vAlign w:val="center"/>
          </w:tcPr>
          <w:p w:rsidR="009340AE" w:rsidRPr="009340AE" w:rsidRDefault="009340AE" w:rsidP="009340AE">
            <w:pPr>
              <w:jc w:val="center"/>
              <w:rPr>
                <w:sz w:val="22"/>
                <w:szCs w:val="22"/>
              </w:rPr>
            </w:pPr>
            <w:r w:rsidRPr="009340AE">
              <w:rPr>
                <w:sz w:val="22"/>
                <w:szCs w:val="22"/>
              </w:rPr>
              <w:t xml:space="preserve">Комплект подшипников </w:t>
            </w:r>
          </w:p>
          <w:p w:rsidR="009340AE" w:rsidRPr="003C37F5" w:rsidRDefault="009340AE" w:rsidP="009340AE">
            <w:pPr>
              <w:jc w:val="center"/>
              <w:rPr>
                <w:sz w:val="22"/>
                <w:szCs w:val="22"/>
              </w:rPr>
            </w:pPr>
            <w:r w:rsidRPr="009340AE">
              <w:rPr>
                <w:sz w:val="22"/>
                <w:szCs w:val="22"/>
              </w:rPr>
              <w:t>ступицы колеса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к-</w:t>
            </w:r>
            <w:r w:rsidRPr="003E410A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9340AE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</w:t>
            </w:r>
          </w:p>
        </w:tc>
        <w:tc>
          <w:tcPr>
            <w:tcW w:w="1389" w:type="pct"/>
            <w:vAlign w:val="center"/>
          </w:tcPr>
          <w:p w:rsidR="009340AE" w:rsidRPr="003C37F5" w:rsidRDefault="009340AE" w:rsidP="009340AE">
            <w:pPr>
              <w:jc w:val="center"/>
              <w:rPr>
                <w:sz w:val="22"/>
                <w:szCs w:val="22"/>
              </w:rPr>
            </w:pPr>
            <w:r w:rsidRPr="009340AE">
              <w:rPr>
                <w:sz w:val="22"/>
                <w:szCs w:val="22"/>
              </w:rPr>
              <w:t>Карбюратор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 w:rsidRPr="003E410A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340AE" w:rsidRPr="003E410A" w:rsidTr="00133455">
        <w:trPr>
          <w:trHeight w:val="288"/>
        </w:trPr>
        <w:tc>
          <w:tcPr>
            <w:tcW w:w="904" w:type="pct"/>
            <w:vMerge/>
            <w:vAlign w:val="center"/>
          </w:tcPr>
          <w:p w:rsidR="009340AE" w:rsidRPr="003E410A" w:rsidRDefault="009340AE" w:rsidP="009340AE">
            <w:pPr>
              <w:ind w:left="-106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</w:tcPr>
          <w:p w:rsidR="009340AE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</w:t>
            </w:r>
          </w:p>
        </w:tc>
        <w:tc>
          <w:tcPr>
            <w:tcW w:w="1389" w:type="pct"/>
            <w:vAlign w:val="center"/>
          </w:tcPr>
          <w:p w:rsidR="009340AE" w:rsidRPr="001D2D71" w:rsidRDefault="009340AE" w:rsidP="009340A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>Комплект замков люка</w:t>
            </w:r>
          </w:p>
          <w:p w:rsidR="009340AE" w:rsidRPr="009340AE" w:rsidRDefault="009340AE" w:rsidP="009340A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D2D71">
              <w:rPr>
                <w:sz w:val="22"/>
                <w:szCs w:val="22"/>
              </w:rPr>
              <w:t xml:space="preserve">(5 замков + 2 ключа) </w:t>
            </w:r>
          </w:p>
        </w:tc>
        <w:tc>
          <w:tcPr>
            <w:tcW w:w="48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49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к-</w:t>
            </w:r>
            <w:r w:rsidRPr="003E410A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66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27" w:type="pct"/>
            <w:vAlign w:val="center"/>
          </w:tcPr>
          <w:p w:rsidR="009340AE" w:rsidRPr="003E410A" w:rsidRDefault="009340AE" w:rsidP="009340AE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20657" w:rsidRPr="00AE0F5D" w:rsidRDefault="00E20657" w:rsidP="003C37F5">
      <w:pPr>
        <w:pStyle w:val="a9"/>
        <w:ind w:firstLine="0"/>
        <w:rPr>
          <w:bCs/>
          <w:sz w:val="22"/>
          <w:szCs w:val="22"/>
        </w:rPr>
      </w:pPr>
    </w:p>
    <w:p w:rsidR="006F1BFD" w:rsidRPr="006F1BFD" w:rsidRDefault="00C9247F" w:rsidP="006F1BFD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859BE">
        <w:rPr>
          <w:bCs/>
          <w:sz w:val="22"/>
          <w:szCs w:val="22"/>
        </w:rPr>
        <w:t>Е.В. Гаврилюк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60163F" w:rsidRDefault="0060163F" w:rsidP="00B12D31">
      <w:pPr>
        <w:jc w:val="right"/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3E410A" w:rsidRDefault="003E410A" w:rsidP="00695961">
      <w:pPr>
        <w:jc w:val="right"/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3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6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71" w:rsidRDefault="001D2D71" w:rsidP="003A1257">
      <w:r>
        <w:separator/>
      </w:r>
    </w:p>
  </w:endnote>
  <w:endnote w:type="continuationSeparator" w:id="0">
    <w:p w:rsidR="001D2D71" w:rsidRDefault="001D2D71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D71" w:rsidRDefault="001D2D71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8D0A10">
      <w:rPr>
        <w:rFonts w:ascii="Liberation Serif" w:hAnsi="Liberation Serif"/>
        <w:noProof/>
      </w:rPr>
      <w:t>1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71" w:rsidRDefault="001D2D71" w:rsidP="003A1257">
      <w:r>
        <w:separator/>
      </w:r>
    </w:p>
  </w:footnote>
  <w:footnote w:type="continuationSeparator" w:id="0">
    <w:p w:rsidR="001D2D71" w:rsidRDefault="001D2D71" w:rsidP="003A1257">
      <w:r>
        <w:continuationSeparator/>
      </w:r>
    </w:p>
  </w:footnote>
  <w:footnote w:id="1">
    <w:p w:rsidR="001D2D71" w:rsidRDefault="001D2D71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1D2D71" w:rsidRDefault="001D2D71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1D2D71" w:rsidRDefault="001D2D71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5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5"/>
  </w:num>
  <w:num w:numId="4">
    <w:abstractNumId w:val="6"/>
  </w:num>
  <w:num w:numId="5">
    <w:abstractNumId w:val="24"/>
  </w:num>
  <w:num w:numId="6">
    <w:abstractNumId w:val="1"/>
  </w:num>
  <w:num w:numId="7">
    <w:abstractNumId w:val="34"/>
  </w:num>
  <w:num w:numId="8">
    <w:abstractNumId w:val="37"/>
  </w:num>
  <w:num w:numId="9">
    <w:abstractNumId w:val="22"/>
  </w:num>
  <w:num w:numId="10">
    <w:abstractNumId w:val="23"/>
  </w:num>
  <w:num w:numId="11">
    <w:abstractNumId w:val="18"/>
  </w:num>
  <w:num w:numId="12">
    <w:abstractNumId w:val="31"/>
  </w:num>
  <w:num w:numId="13">
    <w:abstractNumId w:val="36"/>
  </w:num>
  <w:num w:numId="14">
    <w:abstractNumId w:val="15"/>
  </w:num>
  <w:num w:numId="15">
    <w:abstractNumId w:val="3"/>
  </w:num>
  <w:num w:numId="16">
    <w:abstractNumId w:val="3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21"/>
  </w:num>
  <w:num w:numId="22">
    <w:abstractNumId w:val="28"/>
  </w:num>
  <w:num w:numId="23">
    <w:abstractNumId w:val="12"/>
  </w:num>
  <w:num w:numId="24">
    <w:abstractNumId w:val="16"/>
  </w:num>
  <w:num w:numId="25">
    <w:abstractNumId w:val="33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6"/>
  </w:num>
  <w:num w:numId="32">
    <w:abstractNumId w:val="19"/>
  </w:num>
  <w:num w:numId="33">
    <w:abstractNumId w:val="14"/>
  </w:num>
  <w:num w:numId="34">
    <w:abstractNumId w:val="30"/>
  </w:num>
  <w:num w:numId="35">
    <w:abstractNumId w:val="27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38"/>
  </w:num>
  <w:num w:numId="41">
    <w:abstractNumId w:val="3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5B5"/>
    <w:rsid w:val="00121CA2"/>
    <w:rsid w:val="00126A11"/>
    <w:rsid w:val="00133455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2D71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25B87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C37F5"/>
    <w:rsid w:val="003D0C95"/>
    <w:rsid w:val="003D3CDC"/>
    <w:rsid w:val="003D6DD8"/>
    <w:rsid w:val="003D6FD5"/>
    <w:rsid w:val="003E20A1"/>
    <w:rsid w:val="003E410A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31EC"/>
    <w:rsid w:val="005F485B"/>
    <w:rsid w:val="005F78E7"/>
    <w:rsid w:val="0060163F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B51DA"/>
    <w:rsid w:val="006C033E"/>
    <w:rsid w:val="006C03C1"/>
    <w:rsid w:val="006D549C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5DF4"/>
    <w:rsid w:val="007A0AB0"/>
    <w:rsid w:val="007A6C5A"/>
    <w:rsid w:val="007C0AD5"/>
    <w:rsid w:val="007D1CC0"/>
    <w:rsid w:val="007D3D74"/>
    <w:rsid w:val="007E1D07"/>
    <w:rsid w:val="007F37BC"/>
    <w:rsid w:val="007F59B5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DA6"/>
    <w:rsid w:val="008B5C53"/>
    <w:rsid w:val="008C3287"/>
    <w:rsid w:val="008C3347"/>
    <w:rsid w:val="008C338D"/>
    <w:rsid w:val="008C33F5"/>
    <w:rsid w:val="008C444A"/>
    <w:rsid w:val="008D0A10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40AE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D22CAC"/>
    <w:rsid w:val="00D268DB"/>
    <w:rsid w:val="00D34774"/>
    <w:rsid w:val="00D34A81"/>
    <w:rsid w:val="00D41AE3"/>
    <w:rsid w:val="00D517BA"/>
    <w:rsid w:val="00D51827"/>
    <w:rsid w:val="00D7217E"/>
    <w:rsid w:val="00D7477A"/>
    <w:rsid w:val="00D74B6C"/>
    <w:rsid w:val="00D74FD6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12787"/>
    <w:rsid w:val="00E1472A"/>
    <w:rsid w:val="00E15370"/>
    <w:rsid w:val="00E15606"/>
    <w:rsid w:val="00E20657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53B3"/>
    <w:rsid w:val="00F95818"/>
    <w:rsid w:val="00FA58C7"/>
    <w:rsid w:val="00FB6438"/>
    <w:rsid w:val="00FB7DB4"/>
    <w:rsid w:val="00FC68C7"/>
    <w:rsid w:val="00FD3318"/>
    <w:rsid w:val="00FD54B0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4C18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257"/>
    <w:rPr>
      <w:sz w:val="24"/>
      <w:szCs w:val="24"/>
    </w:rPr>
  </w:style>
  <w:style w:type="paragraph" w:styleId="a5">
    <w:name w:val="footer"/>
    <w:basedOn w:val="a"/>
    <w:link w:val="a6"/>
    <w:uiPriority w:val="99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2229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99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B290-F461-416D-8050-AFDE05D9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18</Pages>
  <Words>5711</Words>
  <Characters>45262</Characters>
  <Application>Microsoft Office Word</Application>
  <DocSecurity>0</DocSecurity>
  <Lines>377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OZ</cp:lastModifiedBy>
  <cp:revision>164</cp:revision>
  <cp:lastPrinted>2018-10-24T12:25:00Z</cp:lastPrinted>
  <dcterms:created xsi:type="dcterms:W3CDTF">2024-03-06T07:03:00Z</dcterms:created>
  <dcterms:modified xsi:type="dcterms:W3CDTF">2026-05-26T06:20:00Z</dcterms:modified>
</cp:coreProperties>
</file>