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"/>
        <w:jc w:val="center"/>
        <w:rPr/>
      </w:pPr>
      <w:r>
        <w:rPr>
          <w:b/>
          <w:color w:val="000000"/>
          <w:sz w:val="22"/>
          <w:szCs w:val="22"/>
        </w:rPr>
        <w:t>Обоснование начальной (максимальной) цены контракта (НМЦК)</w:t>
      </w:r>
    </w:p>
    <w:p>
      <w:pPr>
        <w:pStyle w:val="Normal"/>
        <w:jc w:val="center"/>
        <w:rPr>
          <w:b/>
          <w:sz w:val="22"/>
          <w:szCs w:val="22"/>
          <w:highlight w:val="cyan"/>
        </w:rPr>
      </w:pPr>
      <w:r>
        <w:rPr>
          <w:bCs/>
          <w:sz w:val="22"/>
          <w:szCs w:val="22"/>
        </w:rPr>
        <w:t xml:space="preserve">в соответствии с пунктами 6 и 7 </w:t>
      </w:r>
      <w:bookmarkStart w:id="0" w:name="_Hlk189494564"/>
      <w:r>
        <w:rPr>
          <w:bCs/>
          <w:sz w:val="22"/>
          <w:szCs w:val="22"/>
        </w:rPr>
        <w:t>приказа ФАС от 22 ноября 2024 г. № 894/24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топлива моторного, включая автомобильный и авиационный бензин»</w:t>
      </w:r>
      <w:bookmarkEnd w:id="0"/>
    </w:p>
    <w:p>
      <w:pPr>
        <w:pStyle w:val="Normal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Информация о валюте, используемой для формирования цены контракта и расчетов с поставщиком (подрядчиком, исполнителем): цена указана в валюте Российской Федерации - в российских рублях.</w:t>
      </w:r>
    </w:p>
    <w:p>
      <w:pPr>
        <w:pStyle w:val="Normal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контракта: оплата в иностранной валюте не предусмотрена.</w:t>
      </w:r>
    </w:p>
    <w:tbl>
      <w:tblPr>
        <w:tblW w:w="10500" w:type="dxa"/>
        <w:jc w:val="left"/>
        <w:tblInd w:w="9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 w:noHBand="0" w:noVBand="0" w:firstColumn="0" w:lastRow="0" w:lastColumn="0" w:firstRow="0"/>
      </w:tblPr>
      <w:tblGrid>
        <w:gridCol w:w="4648"/>
        <w:gridCol w:w="5851"/>
      </w:tblGrid>
      <w:tr>
        <w:trPr>
          <w:trHeight w:val="352" w:hRule="atLeast"/>
        </w:trPr>
        <w:tc>
          <w:tcPr>
            <w:tcW w:w="4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lineRule="exact" w:line="229" w:before="35" w:after="35"/>
              <w:ind w:hanging="0" w:left="30" w:right="30"/>
              <w:rPr/>
            </w:pPr>
            <w:r>
              <w:rPr>
                <w:b/>
                <w:color w:val="000000"/>
                <w:sz w:val="22"/>
                <w:szCs w:val="22"/>
              </w:rPr>
              <w:t>Предмет государственного контракта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lineRule="exact" w:line="229" w:before="35" w:after="35"/>
              <w:ind w:hanging="0" w:left="30" w:right="30"/>
              <w:rPr/>
            </w:pPr>
            <w:r>
              <w:rPr>
                <w:color w:val="000000"/>
                <w:sz w:val="22"/>
                <w:szCs w:val="22"/>
              </w:rPr>
              <w:t>П</w:t>
            </w: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2"/>
                <w:u w:val="none"/>
                <w:em w:val="none"/>
              </w:rPr>
              <w:t>о</w:t>
            </w: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1"/>
                <w:u w:val="none"/>
                <w:em w:val="none"/>
              </w:rPr>
              <w:t>ставка автомобильного топлива</w:t>
            </w:r>
          </w:p>
        </w:tc>
      </w:tr>
      <w:tr>
        <w:trPr>
          <w:trHeight w:val="383" w:hRule="atLeast"/>
        </w:trPr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lineRule="exact" w:line="229" w:before="30" w:after="30"/>
              <w:ind w:hanging="0" w:left="30" w:right="3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ИКЗ</w:t>
            </w:r>
          </w:p>
        </w:tc>
        <w:tc>
          <w:tcPr>
            <w:tcW w:w="5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widowControl w:val="false"/>
              <w:suppressLineNumbers/>
              <w:bidi w:val="0"/>
              <w:ind w:right="114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b w:val="false"/>
                <w:i w:val="false"/>
                <w:caps w:val="false"/>
                <w:smallCaps w:val="false"/>
                <w:color w:val="383838"/>
                <w:spacing w:val="0"/>
                <w:sz w:val="21"/>
                <w:szCs w:val="21"/>
              </w:rPr>
              <w:t>261366406237736640100100280000000000</w:t>
            </w:r>
          </w:p>
        </w:tc>
      </w:tr>
      <w:tr>
        <w:trPr>
          <w:trHeight w:val="662" w:hRule="atLeast"/>
        </w:trPr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lineRule="exact" w:line="229" w:before="30" w:after="30"/>
              <w:ind w:hanging="0" w:left="30" w:right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Основные характеристики объекта закупки</w:t>
            </w:r>
          </w:p>
        </w:tc>
        <w:tc>
          <w:tcPr>
            <w:tcW w:w="5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lineRule="exact" w:line="229" w:before="30" w:after="30"/>
              <w:ind w:hanging="0" w:left="30" w:right="3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В соответствии с описанием объекта закупки, проектом контракта</w:t>
            </w:r>
          </w:p>
        </w:tc>
      </w:tr>
      <w:tr>
        <w:trPr>
          <w:trHeight w:val="400" w:hRule="atLeast"/>
        </w:trPr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lineRule="exact" w:line="229" w:before="30" w:after="30"/>
              <w:ind w:hanging="0" w:left="30" w:right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Срок поставки</w:t>
            </w:r>
          </w:p>
        </w:tc>
        <w:tc>
          <w:tcPr>
            <w:tcW w:w="5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lineRule="exact" w:line="229" w:before="30" w:after="30"/>
              <w:ind w:hanging="0" w:left="30" w:right="30"/>
              <w:rPr/>
            </w:pPr>
            <w:r>
              <w:rPr>
                <w:sz w:val="22"/>
                <w:szCs w:val="22"/>
              </w:rPr>
              <w:t xml:space="preserve">С </w:t>
            </w:r>
            <w:r>
              <w:rPr>
                <w:sz w:val="22"/>
                <w:szCs w:val="22"/>
              </w:rPr>
              <w:t>даты заключения контракта</w:t>
            </w:r>
            <w:r>
              <w:rPr>
                <w:sz w:val="22"/>
                <w:szCs w:val="22"/>
              </w:rPr>
              <w:t xml:space="preserve"> - 3</w:t>
            </w: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.2026</w:t>
            </w:r>
          </w:p>
        </w:tc>
      </w:tr>
      <w:tr>
        <w:trPr>
          <w:trHeight w:val="400" w:hRule="atLeast"/>
        </w:trPr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lineRule="exact" w:line="229" w:before="30" w:after="30"/>
              <w:ind w:hanging="0" w:left="30" w:right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Дата подготовки обоснования НМЦК</w:t>
            </w:r>
          </w:p>
        </w:tc>
        <w:tc>
          <w:tcPr>
            <w:tcW w:w="5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lineRule="exact" w:line="229" w:before="30" w:after="30"/>
              <w:ind w:hanging="0" w:left="30" w:right="30"/>
              <w:rPr/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.2026</w:t>
            </w:r>
          </w:p>
        </w:tc>
      </w:tr>
    </w:tbl>
    <w:p>
      <w:pPr>
        <w:pStyle w:val="Normal"/>
        <w:spacing w:lineRule="exact" w:line="187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W w:w="10680" w:type="dxa"/>
        <w:jc w:val="left"/>
        <w:tblInd w:w="2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 w:noHBand="0" w:noVBand="0" w:firstColumn="0" w:lastRow="0" w:lastColumn="0" w:firstRow="0"/>
      </w:tblPr>
      <w:tblGrid>
        <w:gridCol w:w="359"/>
        <w:gridCol w:w="1125"/>
        <w:gridCol w:w="691"/>
        <w:gridCol w:w="554"/>
        <w:gridCol w:w="796"/>
        <w:gridCol w:w="690"/>
        <w:gridCol w:w="615"/>
        <w:gridCol w:w="795"/>
        <w:gridCol w:w="824"/>
        <w:gridCol w:w="1546"/>
        <w:gridCol w:w="1079"/>
        <w:gridCol w:w="675"/>
        <w:gridCol w:w="931"/>
      </w:tblGrid>
      <w:tr>
        <w:trPr>
          <w:trHeight w:val="1485" w:hRule="atLeast"/>
        </w:trPr>
        <w:tc>
          <w:tcPr>
            <w:tcW w:w="35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183" w:before="35" w:after="35"/>
              <w:ind w:hanging="0" w:left="30" w:right="3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b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183" w:before="35" w:after="35"/>
              <w:ind w:hanging="0" w:left="30" w:right="3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Наименование товаров</w:t>
            </w:r>
          </w:p>
        </w:tc>
        <w:tc>
          <w:tcPr>
            <w:tcW w:w="69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183" w:before="35" w:after="35"/>
              <w:ind w:hanging="0" w:left="30" w:right="3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554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183" w:before="35" w:after="35"/>
              <w:ind w:hanging="0" w:left="30" w:right="3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Кол-во товаров</w:t>
            </w:r>
          </w:p>
        </w:tc>
        <w:tc>
          <w:tcPr>
            <w:tcW w:w="3720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u w:val="none"/>
                <w:em w:val="none"/>
              </w:rPr>
              <w:t>Средняя потребительская цена единицы товара по данным Федеральной службы государственной статистики, руб.</w:t>
            </w:r>
          </w:p>
          <w:p>
            <w:pPr>
              <w:pStyle w:val="Normal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1"/>
                <w:u w:val="none"/>
                <w:em w:val="none"/>
              </w:rPr>
              <w:t>https://rosstat.gov.ru/storage/mediabank/39_18-03-2026.html</w:t>
            </w:r>
          </w:p>
        </w:tc>
        <w:tc>
          <w:tcPr>
            <w:tcW w:w="1546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Среднеарифметическая стоимость по регионам, руб.</w:t>
            </w: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183" w:before="35" w:after="35"/>
              <w:ind w:hanging="0" w:left="30" w:right="30"/>
              <w:jc w:val="center"/>
              <w:rPr/>
            </w:pPr>
            <w:r>
              <w:rPr>
                <w:b/>
                <w:color w:val="000000"/>
                <w:sz w:val="20"/>
                <w:szCs w:val="20"/>
              </w:rPr>
              <w:t>Коэффициент стоимости отвлечения денежных средств</w:t>
            </w:r>
            <w:r>
              <w:rPr>
                <w:rStyle w:val="FootnoteReference"/>
                <w:b/>
                <w:color w:val="000000"/>
                <w:sz w:val="20"/>
                <w:szCs w:val="20"/>
              </w:rPr>
              <w:footnoteReference w:id="2"/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183" w:before="35" w:after="35"/>
              <w:ind w:hanging="0" w:left="30" w:right="30"/>
              <w:jc w:val="center"/>
              <w:rPr/>
            </w:pPr>
            <w:r>
              <w:rPr>
                <w:b/>
                <w:color w:val="000000"/>
                <w:sz w:val="20"/>
                <w:szCs w:val="20"/>
              </w:rPr>
              <w:t>Цена за ед, руб.</w:t>
            </w:r>
            <w:r>
              <w:rPr>
                <w:rStyle w:val="FootnoteReference"/>
                <w:b/>
                <w:color w:val="000000"/>
                <w:sz w:val="20"/>
                <w:szCs w:val="20"/>
              </w:rPr>
              <w:footnoteReference w:id="3"/>
            </w:r>
          </w:p>
        </w:tc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  <w:sz w:val="20"/>
                <w:szCs w:val="20"/>
              </w:rPr>
              <w:t>Сумма, руб.</w:t>
            </w:r>
            <w:r>
              <w:rPr>
                <w:rStyle w:val="FootnoteReference"/>
                <w:b/>
                <w:color w:val="000000"/>
                <w:sz w:val="20"/>
                <w:szCs w:val="20"/>
              </w:rPr>
              <w:footnoteReference w:id="4"/>
            </w:r>
          </w:p>
        </w:tc>
      </w:tr>
      <w:tr>
        <w:trPr>
          <w:trHeight w:val="137" w:hRule="atLeast"/>
        </w:trPr>
        <w:tc>
          <w:tcPr>
            <w:tcW w:w="359" w:type="dxa"/>
            <w:vMerge w:val="continue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183" w:before="35" w:after="35"/>
              <w:ind w:hanging="0" w:left="30" w:right="3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25" w:type="dxa"/>
            <w:vMerge w:val="continue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183" w:before="35" w:after="35"/>
              <w:ind w:hanging="0" w:left="30" w:right="3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91" w:type="dxa"/>
            <w:vMerge w:val="continue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183" w:before="35" w:after="35"/>
              <w:ind w:hanging="0" w:left="30" w:right="3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554" w:type="dxa"/>
            <w:vMerge w:val="continue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183" w:before="35" w:after="35"/>
              <w:ind w:hanging="0" w:left="30" w:right="3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7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183" w:before="35" w:after="35"/>
              <w:ind w:hanging="0" w:left="30" w:right="3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Владимир</w:t>
            </w:r>
            <w:r>
              <w:rPr>
                <w:color w:val="000000"/>
                <w:sz w:val="16"/>
                <w:szCs w:val="16"/>
              </w:rPr>
              <w:t>ская обл.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183" w:before="35" w:after="35"/>
              <w:ind w:hanging="0" w:left="30" w:right="3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Воронежская обл.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183" w:before="35" w:after="35"/>
              <w:ind w:hanging="0" w:left="30" w:right="3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Рязанс</w:t>
            </w:r>
            <w:r>
              <w:rPr>
                <w:color w:val="000000"/>
                <w:sz w:val="16"/>
                <w:szCs w:val="16"/>
              </w:rPr>
              <w:t>кая обл.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183" w:before="35" w:after="35"/>
              <w:ind w:hanging="0" w:left="30" w:right="3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Тамбов</w:t>
            </w:r>
            <w:r>
              <w:rPr>
                <w:color w:val="000000"/>
                <w:sz w:val="16"/>
                <w:szCs w:val="16"/>
              </w:rPr>
              <w:t>ская обл.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183" w:before="35" w:after="35"/>
              <w:ind w:hanging="0" w:left="30" w:right="3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Респ. Крым</w:t>
            </w:r>
          </w:p>
        </w:tc>
        <w:tc>
          <w:tcPr>
            <w:tcW w:w="1546" w:type="dxa"/>
            <w:vMerge w:val="continue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183" w:before="35" w:after="35"/>
              <w:ind w:hanging="0" w:left="30" w:right="3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079" w:type="dxa"/>
            <w:vMerge w:val="continue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183" w:before="35" w:after="35"/>
              <w:ind w:hanging="0" w:left="30" w:right="3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75" w:type="dxa"/>
            <w:vMerge w:val="continue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183" w:before="35" w:after="35"/>
              <w:ind w:hanging="0" w:left="30" w:right="3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9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37" w:hRule="atLeast"/>
        </w:trPr>
        <w:tc>
          <w:tcPr>
            <w:tcW w:w="3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183" w:before="35" w:after="35"/>
              <w:ind w:hanging="0" w:left="30" w:right="3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2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183" w:before="35" w:after="35"/>
              <w:ind w:hanging="0" w:left="30" w:right="3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183" w:before="35" w:after="35"/>
              <w:ind w:hanging="0" w:left="30" w:right="3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183" w:before="35" w:after="35"/>
              <w:ind w:hanging="0" w:left="30" w:right="3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96" w:type="dxa"/>
            <w:tcBorders>
              <w:left w:val="single" w:sz="8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183" w:before="35" w:after="35"/>
              <w:ind w:hanging="0" w:left="30" w:right="3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90" w:type="dxa"/>
            <w:tcBorders>
              <w:left w:val="single" w:sz="8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183" w:before="35" w:after="35"/>
              <w:ind w:hanging="0" w:left="30" w:right="3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15" w:type="dxa"/>
            <w:tcBorders>
              <w:left w:val="single" w:sz="8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183" w:before="35" w:after="35"/>
              <w:ind w:hanging="0" w:left="30" w:right="3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795" w:type="dxa"/>
            <w:tcBorders>
              <w:left w:val="single" w:sz="8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183" w:before="35" w:after="35"/>
              <w:ind w:hanging="0" w:left="30" w:right="3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24" w:type="dxa"/>
            <w:tcBorders>
              <w:left w:val="single" w:sz="8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183" w:before="35" w:after="35"/>
              <w:ind w:hanging="0" w:left="30" w:right="3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5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183" w:before="35" w:after="35"/>
              <w:ind w:hanging="0" w:left="30" w:right="3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07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183" w:before="35" w:after="35"/>
              <w:ind w:hanging="0" w:left="30" w:right="3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67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183" w:before="35" w:after="35"/>
              <w:ind w:hanging="0" w:left="30" w:right="3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</w:tr>
      <w:tr>
        <w:trPr>
          <w:trHeight w:val="20" w:hRule="atLeast"/>
        </w:trPr>
        <w:tc>
          <w:tcPr>
            <w:tcW w:w="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183" w:before="30" w:after="30"/>
              <w:ind w:hanging="0" w:left="30" w:right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183" w:before="0" w:after="60"/>
              <w:ind w:hanging="0" w:left="30" w:right="3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pacing w:val="-2"/>
                <w:sz w:val="20"/>
                <w:szCs w:val="20"/>
                <w:u w:val="none"/>
                <w:em w:val="none"/>
              </w:rPr>
              <w:t>Т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pacing w:val="-2"/>
                <w:sz w:val="20"/>
                <w:szCs w:val="20"/>
                <w:u w:val="none"/>
                <w:em w:val="none"/>
              </w:rPr>
              <w:t>опливо дизельное (розничная реализация)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06" w:before="30" w:after="30"/>
              <w:ind w:hanging="0" w:left="30" w:right="30"/>
              <w:jc w:val="center"/>
              <w:rPr/>
            </w:pPr>
            <w:r>
              <w:rPr>
                <w:color w:val="000000"/>
                <w:spacing w:val="-2"/>
                <w:sz w:val="18"/>
              </w:rPr>
              <w:t>Литр; кубический дециметр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183" w:before="30" w:after="30"/>
              <w:ind w:hanging="0" w:left="30" w:right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06" w:before="30" w:after="30"/>
              <w:ind w:hanging="0" w:left="30" w:right="3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89,68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06" w:before="30" w:after="30"/>
              <w:ind w:hanging="0" w:left="30" w:right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95,14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06" w:before="30" w:after="30"/>
              <w:ind w:hanging="0" w:left="30" w:right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86,75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06" w:before="30" w:after="30"/>
              <w:ind w:hanging="0" w:left="30" w:right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91,85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06" w:before="30" w:after="30"/>
              <w:ind w:hanging="0" w:left="30" w:right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220,45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06" w:before="30" w:after="30"/>
              <w:ind w:hanging="0" w:left="30" w:right="30"/>
              <w:jc w:val="center"/>
              <w:rPr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116,77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06" w:before="30" w:after="30"/>
              <w:ind w:hanging="0" w:left="30" w:right="3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06" w:before="30" w:after="30"/>
              <w:ind w:hanging="0" w:left="30" w:right="30"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zCs w:val="20"/>
                <w:shd w:fill="auto" w:val="clear"/>
              </w:rPr>
              <w:t>119,11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06" w:before="30" w:after="30"/>
              <w:ind w:hanging="0" w:left="30" w:right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3 350,80</w:t>
            </w:r>
          </w:p>
        </w:tc>
      </w:tr>
      <w:tr>
        <w:trPr>
          <w:trHeight w:val="325" w:hRule="atLeast"/>
        </w:trPr>
        <w:tc>
          <w:tcPr>
            <w:tcW w:w="9749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183" w:before="20" w:after="0"/>
              <w:ind w:hanging="0" w:left="30" w:right="3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06" w:before="30" w:after="30"/>
              <w:ind w:hanging="0" w:left="30" w:right="30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  <w:r>
              <w:rPr>
                <w:b/>
                <w:color w:val="000000"/>
                <w:sz w:val="20"/>
                <w:szCs w:val="20"/>
              </w:rPr>
              <w:t>3 350,80</w:t>
            </w:r>
          </w:p>
        </w:tc>
      </w:tr>
    </w:tbl>
    <w:p>
      <w:pPr>
        <w:pStyle w:val="Normal"/>
        <w:rPr/>
      </w:pPr>
      <w:r>
        <w:rPr/>
      </w:r>
    </w:p>
    <w:tbl>
      <w:tblPr>
        <w:tblW w:w="10544" w:type="dxa"/>
        <w:jc w:val="left"/>
        <w:tblInd w:w="-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noHBand="0" w:noVBand="0" w:firstColumn="0" w:lastRow="0" w:lastColumn="0" w:firstRow="0"/>
      </w:tblPr>
      <w:tblGrid>
        <w:gridCol w:w="10544"/>
      </w:tblGrid>
      <w:tr>
        <w:trPr>
          <w:trHeight w:val="352" w:hRule="atLeast"/>
        </w:trPr>
        <w:tc>
          <w:tcPr>
            <w:tcW w:w="10544" w:type="dxa"/>
            <w:tcBorders/>
            <w:shd w:fill="auto" w:val="clear"/>
          </w:tcPr>
          <w:p>
            <w:pPr>
              <w:pStyle w:val="Normal"/>
              <w:spacing w:lineRule="exact" w:line="229" w:before="40" w:after="40"/>
              <w:ind w:hanging="0" w:right="40"/>
              <w:rPr/>
            </w:pPr>
            <w:r>
              <w:rPr>
                <w:color w:val="000000"/>
                <w:sz w:val="20"/>
                <w:szCs w:val="20"/>
              </w:rPr>
              <w:t xml:space="preserve">Итого максимальное значение цены контракта составляет: </w:t>
            </w:r>
            <w:r>
              <w:rPr>
                <w:b/>
                <w:color w:val="000000"/>
                <w:sz w:val="20"/>
                <w:szCs w:val="20"/>
              </w:rPr>
              <w:t>3</w:t>
            </w:r>
            <w:r>
              <w:rPr>
                <w:b/>
                <w:color w:val="000000"/>
                <w:sz w:val="20"/>
                <w:szCs w:val="20"/>
              </w:rPr>
              <w:t>3 350,80</w:t>
            </w: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 р</w:t>
            </w:r>
            <w:r>
              <w:rPr>
                <w:color w:val="000000"/>
                <w:sz w:val="20"/>
                <w:szCs w:val="20"/>
              </w:rPr>
              <w:t>уб.</w:t>
            </w:r>
          </w:p>
          <w:p>
            <w:pPr>
              <w:pStyle w:val="Normal"/>
              <w:spacing w:lineRule="exact" w:line="229" w:before="40" w:after="40"/>
              <w:ind w:hanging="0" w:left="40" w:right="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</w:tbl>
    <w:p>
      <w:pPr>
        <w:pStyle w:val="Normal"/>
        <w:tabs>
          <w:tab w:val="clear" w:pos="408"/>
          <w:tab w:val="left" w:pos="3030" w:leader="none"/>
        </w:tabs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408"/>
          <w:tab w:val="left" w:pos="3030" w:leader="none"/>
        </w:tabs>
        <w:rPr/>
      </w:pPr>
      <w:r>
        <w:rPr/>
      </w:r>
    </w:p>
    <w:sectPr>
      <w:footnotePr>
        <w:numFmt w:val="decimal"/>
      </w:footnotePr>
      <w:type w:val="nextPage"/>
      <w:pgSz w:w="11906" w:h="16838"/>
      <w:pgMar w:left="566" w:right="566" w:gutter="0" w:header="0" w:top="566" w:footer="0" w:bottom="56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>
          <w:rStyle w:val="Style18"/>
        </w:rPr>
      </w:pPr>
      <w:r>
        <w:rPr>
          <w:rStyle w:val="Style18"/>
        </w:rPr>
        <w:footnoteRef/>
      </w:r>
      <w:r>
        <w:rPr>
          <w:rStyle w:val="Style18"/>
        </w:rPr>
        <w:tab/>
      </w:r>
      <w:r>
        <w:rPr>
          <w:sz w:val="18"/>
          <w:szCs w:val="18"/>
        </w:rPr>
        <w:t xml:space="preserve"> Пунктом 7 Приказа ФАС России установлено:</w:t>
      </w:r>
    </w:p>
    <w:p>
      <w:pPr>
        <w:pStyle w:val="FootnoteText"/>
        <w:rPr>
          <w:sz w:val="18"/>
          <w:szCs w:val="18"/>
        </w:rPr>
      </w:pPr>
      <w:r>
        <w:rPr>
          <w:sz w:val="18"/>
          <w:szCs w:val="18"/>
        </w:rPr>
        <w:tab/>
        <w:t>Дополнительно с учетом условий поставки Товара, в том числе сроков и объемов поставки, наличия авансирования, порядка расчетов за поставленный Товар, могут применяться коэ</w:t>
      </w:r>
      <w:bookmarkStart w:id="1" w:name="_GoBack"/>
      <w:bookmarkEnd w:id="1"/>
      <w:r>
        <w:rPr>
          <w:sz w:val="18"/>
          <w:szCs w:val="18"/>
        </w:rPr>
        <w:t>ффициенты стоимости отвлечения денежных средств при предоставлении отсрочки платежа в размере текущей ставки рефинансирования Банка России и коэффициент перехода на сезонный вид продукции, рассчитанный на основании статистических данных аналогичного периода поставки предыдущего года:</w:t>
      </w:r>
    </w:p>
    <w:p>
      <w:pPr>
        <w:pStyle w:val="FootnoteText"/>
        <w:rPr>
          <w:sz w:val="18"/>
          <w:szCs w:val="18"/>
        </w:rPr>
      </w:pPr>
      <w:r>
        <w:rPr>
          <w:sz w:val="18"/>
          <w:szCs w:val="18"/>
        </w:rPr>
        <w:tab/>
        <w:t>Кодс = (Кцб/100)/12*N + 1,</w:t>
      </w:r>
    </w:p>
    <w:p>
      <w:pPr>
        <w:pStyle w:val="FootnoteText"/>
        <w:rPr>
          <w:sz w:val="18"/>
          <w:szCs w:val="18"/>
        </w:rPr>
      </w:pPr>
      <w:r>
        <w:rPr>
          <w:sz w:val="18"/>
          <w:szCs w:val="18"/>
        </w:rPr>
        <w:tab/>
        <w:t>где Кодс – коэффициент отвлечения денежных средств</w:t>
      </w:r>
    </w:p>
    <w:p>
      <w:pPr>
        <w:pStyle w:val="FootnoteText"/>
        <w:rPr/>
      </w:pPr>
      <w:r>
        <w:rPr>
          <w:sz w:val="18"/>
          <w:szCs w:val="18"/>
        </w:rPr>
        <w:tab/>
        <w:t>Кцб –ключевая ставка на момент расчета, % (на момент расчета = 1</w:t>
      </w:r>
      <w:r>
        <w:rPr>
          <w:sz w:val="18"/>
          <w:szCs w:val="18"/>
        </w:rPr>
        <w:t>4</w:t>
      </w:r>
      <w:r>
        <w:rPr>
          <w:sz w:val="18"/>
          <w:szCs w:val="18"/>
        </w:rPr>
        <w:t>,00 %)</w:t>
      </w:r>
    </w:p>
    <w:p>
      <w:pPr>
        <w:pStyle w:val="FootnoteText"/>
        <w:rPr/>
      </w:pPr>
      <w:r>
        <w:rPr>
          <w:sz w:val="18"/>
          <w:szCs w:val="18"/>
        </w:rPr>
        <w:tab/>
        <w:t>N - количество месяцев исполнения контракта (</w:t>
      </w:r>
      <w:r>
        <w:rPr>
          <w:sz w:val="18"/>
          <w:szCs w:val="18"/>
        </w:rPr>
        <w:t>август</w:t>
      </w:r>
      <w:r>
        <w:rPr>
          <w:sz w:val="18"/>
          <w:szCs w:val="18"/>
        </w:rPr>
        <w:t xml:space="preserve">), т.е. </w:t>
      </w:r>
      <w:r>
        <w:rPr>
          <w:sz w:val="18"/>
          <w:szCs w:val="18"/>
          <w:lang w:val="en-US"/>
        </w:rPr>
        <w:t>N</w:t>
      </w:r>
      <w:r>
        <w:rPr>
          <w:sz w:val="18"/>
          <w:szCs w:val="18"/>
        </w:rPr>
        <w:t>=</w:t>
      </w:r>
      <w:r>
        <w:rPr>
          <w:sz w:val="18"/>
          <w:szCs w:val="18"/>
        </w:rPr>
        <w:t>2</w:t>
      </w:r>
      <w:r>
        <w:rPr>
          <w:sz w:val="18"/>
          <w:szCs w:val="18"/>
        </w:rPr>
        <w:t xml:space="preserve">        </w:t>
      </w:r>
    </w:p>
  </w:footnote>
  <w:footnote w:id="3">
    <w:p>
      <w:pPr>
        <w:pStyle w:val="FootnoteText"/>
        <w:rPr/>
      </w:pPr>
      <w:r>
        <w:rPr>
          <w:rStyle w:val="Style18"/>
        </w:rPr>
        <w:footnoteRef/>
      </w:r>
      <w:r>
        <w:rPr>
          <w:rStyle w:val="Style18"/>
        </w:rPr>
        <w:tab/>
      </w:r>
      <w:r>
        <w:rPr>
          <w:sz w:val="18"/>
          <w:szCs w:val="18"/>
        </w:rPr>
        <w:t xml:space="preserve"> Цена за ед., руб. вычисляется путем перемножения столбцов 5 и 6 </w:t>
      </w:r>
    </w:p>
  </w:footnote>
  <w:footnote w:id="4">
    <w:p>
      <w:pPr>
        <w:pStyle w:val="FootnoteText"/>
        <w:rPr/>
      </w:pPr>
      <w:r>
        <w:rPr>
          <w:rStyle w:val="Style18"/>
        </w:rPr>
        <w:footnoteRef/>
      </w:r>
      <w:r>
        <w:rPr>
          <w:rStyle w:val="Style18"/>
        </w:rPr>
        <w:tab/>
      </w:r>
      <w:r>
        <w:rPr>
          <w:sz w:val="18"/>
          <w:szCs w:val="18"/>
        </w:rPr>
        <w:t xml:space="preserve"> Цена, руб. вычисляется путем перемножения столбцов 4 и 7</w:t>
      </w:r>
    </w:p>
  </w:footnote>
</w:footnotes>
</file>

<file path=word/settings.xml><?xml version="1.0" encoding="utf-8"?>
<w:settings xmlns:w="http://schemas.openxmlformats.org/wordprocessingml/2006/main">
  <w:zoom w:percent="100"/>
  <w:embedSystemFonts/>
  <w:defaultTabStop w:val="4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qFormat/>
    <w:rsid w:val="0083493d"/>
    <w:rPr>
      <w:sz w:val="24"/>
      <w:szCs w:val="24"/>
      <w:lang w:val="en-US" w:eastAsia="en-US"/>
    </w:rPr>
  </w:style>
  <w:style w:type="character" w:styleId="Style15" w:customStyle="1">
    <w:name w:val="Нижний колонтитул Знак"/>
    <w:uiPriority w:val="99"/>
    <w:qFormat/>
    <w:rsid w:val="0083493d"/>
    <w:rPr>
      <w:sz w:val="24"/>
      <w:szCs w:val="24"/>
      <w:lang w:val="en-US" w:eastAsia="en-US"/>
    </w:rPr>
  </w:style>
  <w:style w:type="character" w:styleId="Style16" w:customStyle="1">
    <w:name w:val="Текст выноски Знак"/>
    <w:qFormat/>
    <w:rsid w:val="006e0c95"/>
    <w:rPr>
      <w:rFonts w:ascii="Segoe UI" w:hAnsi="Segoe UI" w:cs="Segoe UI"/>
      <w:sz w:val="18"/>
      <w:szCs w:val="18"/>
      <w:lang w:val="en-US" w:eastAsia="en-US"/>
    </w:rPr>
  </w:style>
  <w:style w:type="character" w:styleId="Hyperlink">
    <w:name w:val="Hyperlink"/>
    <w:rsid w:val="00294e1b"/>
    <w:rPr>
      <w:color w:val="0563C1"/>
      <w:u w:val="single"/>
    </w:rPr>
  </w:style>
  <w:style w:type="character" w:styleId="UnresolvedMention" w:customStyle="1">
    <w:name w:val="Unresolved Mention"/>
    <w:uiPriority w:val="99"/>
    <w:semiHidden/>
    <w:unhideWhenUsed/>
    <w:qFormat/>
    <w:rsid w:val="00294e1b"/>
    <w:rPr>
      <w:color w:val="605E5C"/>
      <w:shd w:fill="E1DFDD" w:val="clear"/>
    </w:rPr>
  </w:style>
  <w:style w:type="character" w:styleId="Style17" w:customStyle="1">
    <w:name w:val="Текст сноски Знак"/>
    <w:basedOn w:val="DefaultParagraphFont"/>
    <w:qFormat/>
    <w:rsid w:val="0011126b"/>
    <w:rPr>
      <w:lang w:eastAsia="en-US"/>
    </w:rPr>
  </w:style>
  <w:style w:type="character" w:styleId="Style18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basedOn w:val="DefaultParagraphFont"/>
    <w:qFormat/>
    <w:rsid w:val="0011126b"/>
    <w:rPr>
      <w:vertAlign w:val="superscript"/>
    </w:rPr>
  </w:style>
  <w:style w:type="character" w:styleId="FollowedHyperlink">
    <w:name w:val="FollowedHyperlink"/>
    <w:basedOn w:val="DefaultParagraphFont"/>
    <w:qFormat/>
    <w:rsid w:val="000b31a9"/>
    <w:rPr>
      <w:color w:themeColor="followedHyperlink" w:val="954F72"/>
      <w:u w:val="single"/>
    </w:rPr>
  </w:style>
  <w:style w:type="character" w:styleId="Style19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Style22">
    <w:name w:val="Колонтитул"/>
    <w:basedOn w:val="Normal"/>
    <w:qFormat/>
    <w:pPr/>
    <w:rPr/>
  </w:style>
  <w:style w:type="paragraph" w:styleId="Header">
    <w:name w:val="Header"/>
    <w:basedOn w:val="Normal"/>
    <w:rsid w:val="0083493d"/>
    <w:pPr>
      <w:tabs>
        <w:tab w:val="clear" w:pos="4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rsid w:val="0083493d"/>
    <w:pPr>
      <w:tabs>
        <w:tab w:val="clear" w:pos="4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qFormat/>
    <w:rsid w:val="006e0c95"/>
    <w:pPr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rsid w:val="00d24166"/>
    <w:pPr/>
    <w:rPr/>
  </w:style>
  <w:style w:type="paragraph" w:styleId="ListParagraph">
    <w:name w:val="List Paragraph"/>
    <w:basedOn w:val="Normal"/>
    <w:uiPriority w:val="34"/>
    <w:qFormat/>
    <w:rsid w:val="00da403d"/>
    <w:pPr>
      <w:spacing w:before="0" w:after="0"/>
      <w:ind w:hanging="0" w:left="720"/>
      <w:contextualSpacing/>
    </w:pPr>
    <w:rPr/>
  </w:style>
  <w:style w:type="paragraph" w:styleId="FootnoteText">
    <w:name w:val="Footnote Text"/>
    <w:basedOn w:val="Normal"/>
    <w:rsid w:val="0011126b"/>
    <w:pPr/>
    <w:rPr>
      <w:sz w:val="20"/>
      <w:szCs w:val="20"/>
    </w:rPr>
  </w:style>
  <w:style w:type="paragraph" w:styleId="Style23">
    <w:name w:val="Содержимое таблицы"/>
    <w:basedOn w:val="Normal"/>
    <w:qFormat/>
    <w:pPr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Times New Roman" w:cs="Arial"/>
      <w:color w:val="auto"/>
      <w:kern w:val="0"/>
      <w:sz w:val="22"/>
      <w:szCs w:val="22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7D3E8-50EE-40B6-A330-1452B741F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Application>LibreOffice/7.6.7.2$Linux_X86_64 LibreOffice_project/60$Build-2</Application>
  <AppVersion>15.0000</AppVersion>
  <Pages>1</Pages>
  <Words>342</Words>
  <Characters>2315</Characters>
  <CharactersWithSpaces>2613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2025-02-20T02:34:00Z</dcterms:created>
  <dc:creator>Султумова Арюна Аюшиевна</dc:creator>
  <dc:description>обоснование НМЦ- заявка</dc:description>
  <dc:language>ru-RU</dc:language>
  <cp:lastModifiedBy/>
  <cp:lastPrinted>2025-12-01T12:39:14Z</cp:lastPrinted>
  <dcterms:modified xsi:type="dcterms:W3CDTF">2026-07-28T10:15:09Z</dcterms:modified>
  <cp:revision>35</cp:revision>
  <dc:subject/>
  <dc:title>NMC_tarif_prelim_order_to_order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