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val="en-US" w:bidi="en-US"/>
        </w:rPr>
      </w:pPr>
      <w:r>
        <w:rPr>
          <w:rFonts w:eastAsia="Times New Roman" w:cs="Times New Roman" w:ascii="Times New Roman" w:hAnsi="Times New Roman"/>
          <w:b/>
          <w:lang w:val="en-US" w:bidi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bidi="en-US"/>
        </w:rPr>
        <w:t>Обоснование м</w:t>
      </w:r>
      <w:r>
        <w:rPr>
          <w:rFonts w:cs="Times New Roman" w:ascii="Times New Roman" w:hAnsi="Times New Roman"/>
          <w:b/>
          <w:bCs/>
        </w:rPr>
        <w:t xml:space="preserve">аксимального значения </w:t>
      </w:r>
      <w:r>
        <w:rPr>
          <w:rFonts w:eastAsia="Times New Roman" w:cs="Times New Roman" w:ascii="Times New Roman" w:hAnsi="Times New Roman"/>
          <w:b/>
          <w:lang w:bidi="en-US"/>
        </w:rPr>
        <w:t xml:space="preserve"> цены государственного контракта </w:t>
      </w:r>
      <w:r>
        <w:rPr>
          <w:rFonts w:eastAsia="Times New Roman" w:cs="Times New Roman" w:ascii="Times New Roman" w:hAnsi="Times New Roman"/>
          <w:b/>
          <w:color w:val="000000"/>
          <w:lang w:bidi="en-US"/>
        </w:rPr>
        <w:t xml:space="preserve">на оказание услуг </w:t>
      </w:r>
      <w:r>
        <w:rPr>
          <w:rFonts w:cs="Times New Roman" w:ascii="Times New Roman" w:hAnsi="Times New Roman"/>
          <w:b/>
        </w:rPr>
        <w:t>по обязательному страхованию гражданской ответственности владельцев транспортных средств</w:t>
      </w:r>
      <w:r>
        <w:rPr>
          <w:rFonts w:eastAsia="Times New Roman" w:cs="Times New Roman" w:ascii="Times New Roman" w:hAnsi="Times New Roman"/>
          <w:b/>
          <w:color w:val="000000"/>
          <w:lang w:bidi="en-US"/>
        </w:rPr>
        <w:t xml:space="preserve">  в 2026 году</w:t>
      </w:r>
      <w:r>
        <w:rPr>
          <w:rFonts w:cs="Times New Roman" w:ascii="Times New Roman" w:hAnsi="Times New Roman"/>
          <w:b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5196" w:type="dxa"/>
        <w:jc w:val="left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06"/>
        <w:gridCol w:w="1688"/>
        <w:gridCol w:w="1041"/>
        <w:gridCol w:w="845"/>
        <w:gridCol w:w="797"/>
        <w:gridCol w:w="1133"/>
        <w:gridCol w:w="1"/>
        <w:gridCol w:w="3178"/>
        <w:gridCol w:w="1"/>
        <w:gridCol w:w="3054"/>
        <w:gridCol w:w="2"/>
        <w:gridCol w:w="2948"/>
      </w:tblGrid>
      <w:tr>
        <w:trPr>
          <w:trHeight w:val="515" w:hRule="atLeast"/>
        </w:trPr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Основные характеристики объекта закупки</w:t>
            </w:r>
          </w:p>
        </w:tc>
        <w:tc>
          <w:tcPr>
            <w:tcW w:w="13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</w:rPr>
              <w:t>Услуги</w:t>
            </w:r>
            <w:r>
              <w:rPr>
                <w:rFonts w:cs="Times New Roman" w:ascii="Times New Roman" w:hAnsi="Times New Roman"/>
                <w:b/>
              </w:rPr>
              <w:t xml:space="preserve"> по обязательному страхованию гражданской ответственности владельцев транспортных средств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bidi="en-U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lang w:bidi="en-US"/>
              </w:rPr>
              <w:t>ОКПД 65.12.21.000</w:t>
            </w:r>
          </w:p>
        </w:tc>
      </w:tr>
      <w:tr>
        <w:trPr>
          <w:trHeight w:val="866" w:hRule="atLeast"/>
        </w:trPr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</w:rPr>
              <w:t>Используемый метод определения начальной (максимальной) цены Контракта (далее – НМЦК).</w:t>
            </w:r>
          </w:p>
        </w:tc>
        <w:tc>
          <w:tcPr>
            <w:tcW w:w="13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силу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цена контракта определена  приоритетным для определения и обоснования начальной цены контракта методом сопоставимых рыночных цен (анализа рынка). </w:t>
            </w:r>
          </w:p>
          <w:p>
            <w:pPr>
              <w:pStyle w:val="Normal"/>
              <w:spacing w:before="0" w:after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целью определения цены контракта проведен сравнительный анализ цен организаций г. Смоленска, оказывающих идентичные услуги.  Представлено три коммерческих предложения:</w:t>
            </w:r>
          </w:p>
        </w:tc>
      </w:tr>
      <w:tr>
        <w:trPr>
          <w:trHeight w:val="212" w:hRule="atLeast"/>
        </w:trPr>
        <w:tc>
          <w:tcPr>
            <w:tcW w:w="15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left w:w="42" w:type="dxa"/>
              <w:right w:w="5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Информация о НМЦК  из </w:t>
            </w:r>
            <w:r>
              <w:rPr>
                <w:rFonts w:cs="Times New Roman" w:ascii="Times New Roman" w:hAnsi="Times New Roman"/>
              </w:rPr>
              <w:t>документов, полученных Заказчиком по его запросам</w:t>
            </w:r>
          </w:p>
        </w:tc>
      </w:tr>
      <w:tr>
        <w:trPr>
          <w:trHeight w:val="196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Марка, модель,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VIN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рег. знак.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Ед. изме-рения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 xml:space="preserve">Коэф-фициент вариации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цен,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Расчет стоимости оказания услуг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bidi="en-US"/>
              </w:rPr>
              <w:t xml:space="preserve"> ОСАГО</w:t>
            </w:r>
          </w:p>
        </w:tc>
      </w:tr>
      <w:tr>
        <w:trPr>
          <w:trHeight w:val="845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7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Коммерческое предложение 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№1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 от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09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.0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6.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2026  вх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.№б/н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ind w:left="-57" w:right="-57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Коммерческое предложение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№2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 от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9.0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.2026  вх.№</w:t>
            </w:r>
            <w:bookmarkStart w:id="0" w:name="__DdeLink__210_2464754976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б/н</w:t>
            </w:r>
            <w:bookmarkEnd w:id="0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ind w:left="-57" w:right="-57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Коммерческое предложение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№3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9.0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.202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 вх.№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б/н</w:t>
            </w:r>
          </w:p>
        </w:tc>
      </w:tr>
      <w:tr>
        <w:trPr>
          <w:trHeight w:val="374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7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Цена за ед. (руб.)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ind w:left="-57" w:right="-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Цена за ед. (руб.)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ind w:left="-57" w:right="-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Цена за ед. (руб.)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7</w:t>
            </w:r>
          </w:p>
        </w:tc>
      </w:tr>
      <w:tr>
        <w:trPr>
          <w:trHeight w:val="339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Gazelle NEXT A31R33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X96A31R33T1043462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усл. ед.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67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1144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1414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,9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>
        <w:trPr>
          <w:trHeight w:val="474" w:hRule="atLeast"/>
        </w:trPr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Итого: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themeFill="background1" w:themeFillShade="f2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142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142" w:hanging="0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Таким образом, </w:t>
      </w:r>
      <w:r>
        <w:rPr>
          <w:rFonts w:eastAsia="Times New Roman" w:cs="Times New Roman" w:ascii="Times New Roman" w:hAnsi="Times New Roman"/>
          <w:lang w:bidi="en-US"/>
        </w:rPr>
        <w:t>м</w:t>
      </w:r>
      <w:r>
        <w:rPr>
          <w:rFonts w:cs="Times New Roman" w:ascii="Times New Roman" w:hAnsi="Times New Roman"/>
          <w:bCs/>
        </w:rPr>
        <w:t xml:space="preserve">аксимальное значение </w:t>
      </w:r>
      <w:r>
        <w:rPr>
          <w:rFonts w:eastAsia="Times New Roman" w:cs="Times New Roman" w:ascii="Times New Roman" w:hAnsi="Times New Roman"/>
          <w:lang w:bidi="en-US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цены Контракта составляет </w:t>
      </w:r>
      <w:r>
        <w:rPr>
          <w:rFonts w:cs="Times New Roman" w:ascii="Times New Roman" w:hAnsi="Times New Roman"/>
          <w:b/>
          <w:bCs/>
          <w:sz w:val="24"/>
          <w:szCs w:val="24"/>
        </w:rPr>
        <w:t>1144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 (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одна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 тысяч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а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сто сорок четыре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) рубл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я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>83</w:t>
      </w:r>
      <w:r>
        <w:rPr>
          <w:rFonts w:eastAsia="Times New Roman" w:cs="Times New Roman" w:ascii="Times New Roman" w:hAnsi="Times New Roman"/>
          <w:b/>
          <w:sz w:val="24"/>
          <w:szCs w:val="24"/>
          <w:lang w:bidi="en-US"/>
        </w:rPr>
        <w:t xml:space="preserve"> копейки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021" w:right="510" w:header="0" w:top="510" w:footer="0" w:bottom="42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4a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6128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612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f602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014d90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E058-8D0B-4F9E-87D7-C03EDDEF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LibreOffice/6.0.6.1$Linux_X86_64 LibreOffice_project/00$Build-1</Application>
  <Pages>1</Pages>
  <Words>203</Words>
  <Characters>1340</Characters>
  <CharactersWithSpaces>1522</CharactersWithSpaces>
  <Paragraphs>41</Paragraphs>
  <Company>УФНС РФ (6700)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2025-09-29T12:30:00Z</dcterms:created>
  <dc:creator>Лавренкова Ольга Александровна</dc:creator>
  <dc:description/>
  <dc:language>ru-RU</dc:language>
  <cp:lastModifiedBy/>
  <cp:lastPrinted>2022-11-29T11:23:00Z</cp:lastPrinted>
  <dcterms:modified xsi:type="dcterms:W3CDTF">2026-06-10T11:55:24Z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УФНС РФ (6700)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