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CD" w:rsidRDefault="00756C76">
      <w:pPr>
        <w:pStyle w:val="10"/>
        <w:keepNext/>
        <w:keepLines/>
        <w:framePr w:w="2621" w:h="240" w:wrap="none" w:hAnchor="page" w:x="4641" w:y="1"/>
        <w:rPr>
          <w:sz w:val="18"/>
          <w:szCs w:val="18"/>
        </w:rPr>
      </w:pPr>
      <w:bookmarkStart w:id="0" w:name="bookmark0"/>
      <w:r>
        <w:t xml:space="preserve">Сублицензионный договор № </w:t>
      </w:r>
      <w:bookmarkEnd w:id="0"/>
      <w:r w:rsidR="009C140E">
        <w:rPr>
          <w:sz w:val="18"/>
          <w:szCs w:val="18"/>
        </w:rPr>
        <w:t>___</w:t>
      </w:r>
    </w:p>
    <w:p w:rsidR="00D045CD" w:rsidRDefault="00D045CD">
      <w:pPr>
        <w:spacing w:after="239" w:line="1" w:lineRule="exact"/>
      </w:pPr>
    </w:p>
    <w:p w:rsidR="00D045CD" w:rsidRDefault="00D045CD">
      <w:pPr>
        <w:spacing w:line="1" w:lineRule="exact"/>
        <w:sectPr w:rsidR="00D045CD">
          <w:pgSz w:w="11900" w:h="16840"/>
          <w:pgMar w:top="721" w:right="655" w:bottom="435" w:left="684" w:header="293" w:footer="7" w:gutter="0"/>
          <w:pgNumType w:start="1"/>
          <w:cols w:space="720"/>
          <w:noEndnote/>
          <w:docGrid w:linePitch="360"/>
        </w:sectPr>
      </w:pPr>
    </w:p>
    <w:p w:rsidR="00D045CD" w:rsidRDefault="008A3566">
      <w:pPr>
        <w:pStyle w:val="10"/>
        <w:keepNext/>
        <w:keepLines/>
        <w:spacing w:after="1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.4pt;margin-top:1pt;width:65.3pt;height:9.85pt;z-index:-125829375;mso-position-horizontal-relative:page" filled="f" stroked="f">
            <v:textbox inset="0,0,0,0">
              <w:txbxContent>
                <w:p w:rsidR="00D045CD" w:rsidRDefault="00756C76">
                  <w:pPr>
                    <w:pStyle w:val="11"/>
                  </w:pPr>
                  <w:r>
                    <w:rPr>
                      <w:b/>
                      <w:bCs/>
                    </w:rPr>
                    <w:t>г. Калач-на-Дону</w:t>
                  </w:r>
                </w:p>
              </w:txbxContent>
            </v:textbox>
            <w10:wrap type="square" side="right" anchorx="page"/>
          </v:shape>
        </w:pict>
      </w:r>
      <w:bookmarkStart w:id="1" w:name="bookmark2"/>
      <w:r w:rsidR="00E15772">
        <w:t>«___</w:t>
      </w:r>
      <w:r w:rsidR="00756C76">
        <w:t xml:space="preserve">» </w:t>
      </w:r>
      <w:r w:rsidR="00E15772">
        <w:t>___________</w:t>
      </w:r>
      <w:r w:rsidR="00756C76">
        <w:t xml:space="preserve"> 202</w:t>
      </w:r>
      <w:r w:rsidR="00E15772">
        <w:t>6</w:t>
      </w:r>
      <w:r w:rsidR="00756C76">
        <w:t xml:space="preserve"> г.</w:t>
      </w:r>
      <w:bookmarkEnd w:id="1"/>
    </w:p>
    <w:p w:rsidR="00D045CD" w:rsidRDefault="00707387">
      <w:pPr>
        <w:pStyle w:val="11"/>
        <w:spacing w:line="259" w:lineRule="auto"/>
        <w:jc w:val="both"/>
      </w:pPr>
      <w:r>
        <w:t>___</w:t>
      </w:r>
      <w:r w:rsidR="00756C76">
        <w:t xml:space="preserve">, именуемый в дальнейшем </w:t>
      </w:r>
      <w:r w:rsidR="00756C76">
        <w:rPr>
          <w:b/>
          <w:bCs/>
        </w:rPr>
        <w:t>Лицензиат</w:t>
      </w:r>
      <w:r w:rsidR="00756C76">
        <w:t xml:space="preserve">, с одной стороны, и Пользователь программного комплекса «СБИС» (далее - Программа) ФЕДЕРАЛЬНОЕ КАЗЕННОЕ ПРОФЕССИОНАЛЬНОЕ ОБРАЗОВАТЕЛЬНОЕ УЧРЕЖДЕНИЕ "КАЛАЧЕВСКИЙ ТЕХНИКУМ-ИНТЕРНАТ" МИНИСТЕРСТВА ТРУДА И СОЦИАЛЬНОЙ ЗАЩИТЫ РОССИЙСКОЙ ФЕДЕРАЦИИ, именуемый в дальнейшем </w:t>
      </w:r>
      <w:r w:rsidR="00756C76">
        <w:rPr>
          <w:b/>
          <w:bCs/>
        </w:rPr>
        <w:t>Сублицензиат</w:t>
      </w:r>
      <w:r w:rsidR="00756C76">
        <w:t xml:space="preserve">, с другой стороны, руководствуясь нормами Федерального закона от 05.04.2013 </w:t>
      </w:r>
      <w:r w:rsidR="00756C76">
        <w:rPr>
          <w:lang w:val="en-US" w:eastAsia="en-US" w:bidi="en-US"/>
        </w:rPr>
        <w:t>N</w:t>
      </w:r>
      <w:r w:rsidR="00756C76" w:rsidRPr="00E777C9">
        <w:rPr>
          <w:lang w:eastAsia="en-US" w:bidi="en-US"/>
        </w:rPr>
        <w:t xml:space="preserve">44^3 </w:t>
      </w:r>
      <w:r w:rsidR="00756C76">
        <w:t xml:space="preserve">"О контрактной системе в сфере закупок товаров, работ, услуг для обеспечения государственных и муниципальных нужд", в том числе на основании п.4 ч. 1 ст. 93 Федерального закона от 05.04.2013 </w:t>
      </w:r>
      <w:r w:rsidR="00756C76">
        <w:rPr>
          <w:lang w:val="en-US" w:eastAsia="en-US" w:bidi="en-US"/>
        </w:rPr>
        <w:t>N</w:t>
      </w:r>
      <w:r w:rsidR="00756C76" w:rsidRPr="00E777C9">
        <w:rPr>
          <w:lang w:eastAsia="en-US" w:bidi="en-US"/>
        </w:rPr>
        <w:t xml:space="preserve">44^3, </w:t>
      </w:r>
      <w:r w:rsidR="00756C76">
        <w:t>заключили настоящий договор о нижеследующем.</w:t>
      </w:r>
    </w:p>
    <w:p w:rsidR="00D045CD" w:rsidRDefault="00756C76">
      <w:pPr>
        <w:pStyle w:val="10"/>
        <w:keepNext/>
        <w:keepLines/>
        <w:numPr>
          <w:ilvl w:val="0"/>
          <w:numId w:val="1"/>
        </w:numPr>
        <w:tabs>
          <w:tab w:val="left" w:pos="283"/>
        </w:tabs>
      </w:pPr>
      <w:bookmarkStart w:id="2" w:name="bookmark4"/>
      <w:r>
        <w:t>Предмет договора</w:t>
      </w:r>
      <w:bookmarkEnd w:id="2"/>
    </w:p>
    <w:p w:rsidR="00D045CD" w:rsidRDefault="00756C76">
      <w:pPr>
        <w:pStyle w:val="11"/>
        <w:numPr>
          <w:ilvl w:val="1"/>
          <w:numId w:val="1"/>
        </w:numPr>
        <w:tabs>
          <w:tab w:val="left" w:pos="356"/>
        </w:tabs>
        <w:spacing w:after="80"/>
        <w:jc w:val="both"/>
      </w:pPr>
      <w:r>
        <w:t xml:space="preserve">По настоящему договору </w:t>
      </w:r>
      <w:r>
        <w:rPr>
          <w:b/>
          <w:bCs/>
        </w:rPr>
        <w:t xml:space="preserve">Лицензиат </w:t>
      </w:r>
      <w:r>
        <w:t xml:space="preserve">обязуется передать, а </w:t>
      </w:r>
      <w:r>
        <w:rPr>
          <w:b/>
          <w:bCs/>
        </w:rPr>
        <w:t xml:space="preserve">Сублицензиат </w:t>
      </w:r>
      <w:r>
        <w:t>обязуется принять и оплатить неисключительные права использования Программы</w:t>
      </w:r>
      <w:r w:rsidR="00DC5E68">
        <w:t xml:space="preserve"> для информационно коммуникационных технологий</w:t>
      </w:r>
      <w:r>
        <w:t xml:space="preserve"> в следующей конфигурации:</w:t>
      </w:r>
    </w:p>
    <w:p w:rsidR="0078346A" w:rsidRDefault="0078346A">
      <w:pPr>
        <w:pStyle w:val="11"/>
        <w:numPr>
          <w:ilvl w:val="0"/>
          <w:numId w:val="2"/>
        </w:numPr>
        <w:tabs>
          <w:tab w:val="left" w:pos="283"/>
        </w:tabs>
        <w:spacing w:after="80"/>
        <w:jc w:val="both"/>
      </w:pPr>
      <w:r>
        <w:t>ЭДО 1200 документов</w:t>
      </w:r>
    </w:p>
    <w:p w:rsidR="00D045CD" w:rsidRDefault="00756C76">
      <w:pPr>
        <w:pStyle w:val="11"/>
        <w:spacing w:line="218" w:lineRule="auto"/>
        <w:jc w:val="both"/>
        <w:rPr>
          <w:sz w:val="16"/>
          <w:szCs w:val="16"/>
        </w:rPr>
      </w:pPr>
      <w:r>
        <w:t xml:space="preserve">Функциональные возможности прав описаны на официальном сайте разработчика Программы </w:t>
      </w:r>
      <w:hyperlink r:id="rId7" w:history="1">
        <w:r>
          <w:rPr>
            <w:sz w:val="16"/>
            <w:szCs w:val="16"/>
            <w:lang w:val="en-US" w:eastAsia="en-US" w:bidi="en-US"/>
          </w:rPr>
          <w:t>https</w:t>
        </w:r>
        <w:r w:rsidRPr="00E777C9">
          <w:rPr>
            <w:sz w:val="16"/>
            <w:szCs w:val="16"/>
            <w:lang w:eastAsia="en-US" w:bidi="en-US"/>
          </w:rPr>
          <w:t>://</w:t>
        </w:r>
        <w:r>
          <w:rPr>
            <w:sz w:val="16"/>
            <w:szCs w:val="16"/>
            <w:lang w:val="en-US" w:eastAsia="en-US" w:bidi="en-US"/>
          </w:rPr>
          <w:t>sbis</w:t>
        </w:r>
        <w:r w:rsidRPr="00E777C9">
          <w:rPr>
            <w:sz w:val="16"/>
            <w:szCs w:val="16"/>
            <w:lang w:eastAsia="en-US" w:bidi="en-US"/>
          </w:rPr>
          <w:t>.</w:t>
        </w:r>
        <w:r>
          <w:rPr>
            <w:sz w:val="16"/>
            <w:szCs w:val="16"/>
            <w:lang w:val="en-US" w:eastAsia="en-US" w:bidi="en-US"/>
          </w:rPr>
          <w:t>ru</w:t>
        </w:r>
        <w:r w:rsidRPr="00E777C9">
          <w:rPr>
            <w:sz w:val="16"/>
            <w:szCs w:val="16"/>
            <w:lang w:eastAsia="en-US" w:bidi="en-US"/>
          </w:rPr>
          <w:t>/</w:t>
        </w:r>
        <w:r>
          <w:rPr>
            <w:sz w:val="16"/>
            <w:szCs w:val="16"/>
            <w:lang w:val="en-US" w:eastAsia="en-US" w:bidi="en-US"/>
          </w:rPr>
          <w:t>tariffs</w:t>
        </w:r>
      </w:hyperlink>
      <w:r w:rsidRPr="00E777C9">
        <w:rPr>
          <w:sz w:val="16"/>
          <w:szCs w:val="16"/>
          <w:lang w:eastAsia="en-US" w:bidi="en-US"/>
        </w:rPr>
        <w:t>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351"/>
        </w:tabs>
        <w:jc w:val="both"/>
      </w:pPr>
      <w:r>
        <w:t xml:space="preserve">Для использования прав, полученных по настоящему договору, </w:t>
      </w:r>
      <w:r>
        <w:rPr>
          <w:b/>
          <w:bCs/>
        </w:rPr>
        <w:t xml:space="preserve">Сублицензиату </w:t>
      </w:r>
      <w:r>
        <w:t>выделяется аккаунт (личный кабинет) № 209633.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351"/>
        </w:tabs>
        <w:jc w:val="both"/>
      </w:pPr>
      <w:r>
        <w:rPr>
          <w:b/>
          <w:bCs/>
        </w:rPr>
        <w:t xml:space="preserve">Сублицензиат </w:t>
      </w:r>
      <w:r>
        <w:t xml:space="preserve">в соответствии со ст. 428 ГК РФ присоединяется к Регламенту, опубликованному по адресу </w:t>
      </w:r>
      <w:hyperlink r:id="rId8" w:history="1">
        <w:r>
          <w:rPr>
            <w:lang w:val="en-US" w:eastAsia="en-US" w:bidi="en-US"/>
          </w:rPr>
          <w:t>http</w:t>
        </w:r>
        <w:r w:rsidRPr="00E777C9">
          <w:rPr>
            <w:lang w:eastAsia="en-US" w:bidi="en-US"/>
          </w:rPr>
          <w:t>://</w:t>
        </w:r>
        <w:r>
          <w:rPr>
            <w:lang w:val="en-US" w:eastAsia="en-US" w:bidi="en-US"/>
          </w:rPr>
          <w:t>sbis</w:t>
        </w:r>
        <w:r w:rsidRPr="00E777C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777C9">
          <w:rPr>
            <w:lang w:eastAsia="en-US" w:bidi="en-US"/>
          </w:rPr>
          <w:t>/</w:t>
        </w:r>
        <w:r>
          <w:rPr>
            <w:lang w:val="en-US" w:eastAsia="en-US" w:bidi="en-US"/>
          </w:rPr>
          <w:t>reglament</w:t>
        </w:r>
      </w:hyperlink>
      <w:r w:rsidRPr="00E777C9">
        <w:rPr>
          <w:lang w:eastAsia="en-US" w:bidi="en-US"/>
        </w:rPr>
        <w:t xml:space="preserve"> </w:t>
      </w:r>
      <w:r>
        <w:t>(далее - Регламент).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361"/>
        </w:tabs>
        <w:jc w:val="both"/>
        <w:rPr>
          <w:sz w:val="18"/>
          <w:szCs w:val="18"/>
        </w:rPr>
      </w:pPr>
      <w:r>
        <w:t xml:space="preserve">Исключительные имущественные права на Программу принадлежат ООО "Компания "Тензор" (свидетельство об официальной регистрации программы для ЭВМ №2015610086 от 12.01.2015, опубликованы по адресу </w:t>
      </w:r>
      <w:hyperlink r:id="rId9" w:history="1">
        <w:r>
          <w:rPr>
            <w:lang w:val="en-US" w:eastAsia="en-US" w:bidi="en-US"/>
          </w:rPr>
          <w:t>https</w:t>
        </w:r>
        <w:r w:rsidRPr="00E777C9">
          <w:rPr>
            <w:lang w:eastAsia="en-US" w:bidi="en-US"/>
          </w:rPr>
          <w:t>://</w:t>
        </w:r>
        <w:r>
          <w:rPr>
            <w:lang w:val="en-US" w:eastAsia="en-US" w:bidi="en-US"/>
          </w:rPr>
          <w:t>sbis</w:t>
        </w:r>
        <w:r w:rsidRPr="00E777C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777C9">
          <w:rPr>
            <w:lang w:eastAsia="en-US" w:bidi="en-US"/>
          </w:rPr>
          <w:t>/</w:t>
        </w:r>
        <w:r>
          <w:rPr>
            <w:lang w:val="en-US" w:eastAsia="en-US" w:bidi="en-US"/>
          </w:rPr>
          <w:t>o</w:t>
        </w:r>
        <w:r w:rsidRPr="00E777C9">
          <w:rPr>
            <w:lang w:eastAsia="en-US" w:bidi="en-US"/>
          </w:rPr>
          <w:t>_</w:t>
        </w:r>
        <w:r>
          <w:rPr>
            <w:lang w:val="en-US" w:eastAsia="en-US" w:bidi="en-US"/>
          </w:rPr>
          <w:t>kompanii</w:t>
        </w:r>
        <w:r w:rsidRPr="00E777C9">
          <w:rPr>
            <w:lang w:eastAsia="en-US" w:bidi="en-US"/>
          </w:rPr>
          <w:t>/</w:t>
        </w:r>
        <w:r>
          <w:rPr>
            <w:lang w:val="en-US" w:eastAsia="en-US" w:bidi="en-US"/>
          </w:rPr>
          <w:t>Licenzii</w:t>
        </w:r>
      </w:hyperlink>
      <w:r w:rsidRPr="00E777C9">
        <w:rPr>
          <w:lang w:eastAsia="en-US" w:bidi="en-US"/>
        </w:rPr>
        <w:t xml:space="preserve">). </w:t>
      </w:r>
      <w:r>
        <w:t>На основании Приказа Минкомсвязи России от 08.04.2016 № 151 Программа зарегистрирована в едином реестре российских программ для электронных вычислительных машин и баз данных в информационно</w:t>
      </w:r>
      <w:r>
        <w:softHyphen/>
        <w:t xml:space="preserve">телекоммуникационной сети «Интернет» за номером 332. Лицензиат имеет право заключения сублицензионных договоров на использование Программы на </w:t>
      </w:r>
      <w:r>
        <w:rPr>
          <w:rFonts w:ascii="Times New Roman" w:eastAsia="Times New Roman" w:hAnsi="Times New Roman" w:cs="Times New Roman"/>
          <w:sz w:val="18"/>
          <w:szCs w:val="18"/>
        </w:rPr>
        <w:t>основании заключенного лицензионного договора с правообладателем программы ООО Компания Тензор.</w:t>
      </w:r>
    </w:p>
    <w:p w:rsidR="00D045CD" w:rsidRPr="0078346A" w:rsidRDefault="00756C76">
      <w:pPr>
        <w:pStyle w:val="30"/>
        <w:numPr>
          <w:ilvl w:val="1"/>
          <w:numId w:val="1"/>
        </w:numPr>
        <w:tabs>
          <w:tab w:val="left" w:pos="380"/>
        </w:tabs>
        <w:jc w:val="both"/>
        <w:rPr>
          <w:sz w:val="20"/>
          <w:szCs w:val="20"/>
        </w:rPr>
      </w:pPr>
      <w:r>
        <w:t>ИКЗ</w:t>
      </w:r>
      <w:r w:rsidRPr="0078346A">
        <w:rPr>
          <w:sz w:val="20"/>
          <w:szCs w:val="20"/>
        </w:rPr>
        <w:t xml:space="preserve">: </w:t>
      </w:r>
      <w:r w:rsidR="0078346A" w:rsidRPr="0078346A">
        <w:rPr>
          <w:sz w:val="20"/>
          <w:szCs w:val="20"/>
        </w:rPr>
        <w:t>26 1 3409100458 340901001 0023 000 0000 000</w:t>
      </w:r>
    </w:p>
    <w:p w:rsidR="00D045CD" w:rsidRDefault="00756C76">
      <w:pPr>
        <w:pStyle w:val="10"/>
        <w:keepNext/>
        <w:keepLines/>
        <w:numPr>
          <w:ilvl w:val="0"/>
          <w:numId w:val="1"/>
        </w:numPr>
        <w:tabs>
          <w:tab w:val="left" w:pos="283"/>
        </w:tabs>
      </w:pPr>
      <w:bookmarkStart w:id="3" w:name="bookmark6"/>
      <w:r>
        <w:t>Права и обязанности сторон</w:t>
      </w:r>
      <w:bookmarkEnd w:id="3"/>
    </w:p>
    <w:p w:rsidR="00D045CD" w:rsidRDefault="00756C76">
      <w:pPr>
        <w:pStyle w:val="11"/>
        <w:numPr>
          <w:ilvl w:val="1"/>
          <w:numId w:val="1"/>
        </w:numPr>
        <w:tabs>
          <w:tab w:val="left" w:pos="356"/>
        </w:tabs>
        <w:jc w:val="both"/>
      </w:pPr>
      <w:r>
        <w:rPr>
          <w:b/>
          <w:bCs/>
        </w:rPr>
        <w:t xml:space="preserve">Лицензиат </w:t>
      </w:r>
      <w:r>
        <w:t xml:space="preserve">в течение срока действия настоящего договора гарантирует работу Программы в соответствии с документацией, опубликованной на </w:t>
      </w:r>
      <w:hyperlink r:id="rId10" w:history="1">
        <w:r>
          <w:rPr>
            <w:lang w:val="en-US" w:eastAsia="en-US" w:bidi="en-US"/>
          </w:rPr>
          <w:t>http</w:t>
        </w:r>
        <w:r w:rsidRPr="00E777C9">
          <w:rPr>
            <w:lang w:eastAsia="en-US" w:bidi="en-US"/>
          </w:rPr>
          <w:t>://</w:t>
        </w:r>
        <w:r>
          <w:rPr>
            <w:lang w:val="en-US" w:eastAsia="en-US" w:bidi="en-US"/>
          </w:rPr>
          <w:t>help</w:t>
        </w:r>
        <w:r w:rsidRPr="00E777C9">
          <w:rPr>
            <w:lang w:eastAsia="en-US" w:bidi="en-US"/>
          </w:rPr>
          <w:t>.</w:t>
        </w:r>
        <w:r>
          <w:rPr>
            <w:lang w:val="en-US" w:eastAsia="en-US" w:bidi="en-US"/>
          </w:rPr>
          <w:t>sbis</w:t>
        </w:r>
        <w:r w:rsidRPr="00E777C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E777C9">
        <w:rPr>
          <w:lang w:eastAsia="en-US" w:bidi="en-US"/>
        </w:rPr>
        <w:t xml:space="preserve">, </w:t>
      </w:r>
      <w:r>
        <w:t xml:space="preserve">и в рамках прав, указанных в п.1.1 настоящего договора, а также при условии выполнения </w:t>
      </w:r>
      <w:r>
        <w:rPr>
          <w:b/>
          <w:bCs/>
        </w:rPr>
        <w:t xml:space="preserve">Сублицензиатом </w:t>
      </w:r>
      <w:r>
        <w:t>его обязанностей по настоящему договору.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356"/>
        </w:tabs>
        <w:jc w:val="both"/>
      </w:pPr>
      <w:r>
        <w:rPr>
          <w:b/>
          <w:bCs/>
        </w:rPr>
        <w:t xml:space="preserve">Лицензиат </w:t>
      </w:r>
      <w:r>
        <w:t>за невыполнение или ненадлежащее выполнение обязательств по настоящему Договору несет ответственность в пределах стоимости настоящего договора.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366"/>
        </w:tabs>
        <w:jc w:val="both"/>
      </w:pPr>
      <w:r>
        <w:rPr>
          <w:b/>
          <w:bCs/>
        </w:rPr>
        <w:t xml:space="preserve">Лицензиат </w:t>
      </w:r>
      <w:r>
        <w:t xml:space="preserve">не несет ответственность за достоверность сформированных </w:t>
      </w:r>
      <w:r>
        <w:rPr>
          <w:b/>
          <w:bCs/>
        </w:rPr>
        <w:t xml:space="preserve">Сублицензиатом </w:t>
      </w:r>
      <w:r>
        <w:t>документов (отчетов), а так же за прямые или косвенные убытки, включая упущенную выгоду, возникшие в результате использования Программы.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356"/>
        </w:tabs>
        <w:jc w:val="both"/>
      </w:pPr>
      <w:r>
        <w:rPr>
          <w:b/>
          <w:bCs/>
        </w:rPr>
        <w:t xml:space="preserve">Сублицензиат </w:t>
      </w:r>
      <w:r>
        <w:t>имеет право:</w:t>
      </w:r>
    </w:p>
    <w:p w:rsidR="00D045CD" w:rsidRDefault="00756C76">
      <w:pPr>
        <w:pStyle w:val="11"/>
        <w:numPr>
          <w:ilvl w:val="2"/>
          <w:numId w:val="1"/>
        </w:numPr>
        <w:tabs>
          <w:tab w:val="left" w:pos="471"/>
        </w:tabs>
        <w:jc w:val="both"/>
      </w:pPr>
      <w:r>
        <w:t>Круглосуточно использовать Программу, за исключением времени профилактических работ, проводимых в соответствии с Регламентом.</w:t>
      </w:r>
    </w:p>
    <w:p w:rsidR="00D045CD" w:rsidRDefault="00756C76">
      <w:pPr>
        <w:pStyle w:val="11"/>
        <w:numPr>
          <w:ilvl w:val="2"/>
          <w:numId w:val="1"/>
        </w:numPr>
        <w:tabs>
          <w:tab w:val="left" w:pos="471"/>
        </w:tabs>
        <w:jc w:val="both"/>
      </w:pPr>
      <w:r>
        <w:t>Регистрировать в своем личном кабинете (далее - аккаунте) третьих лиц, принимая на себя ответственность за их действия.</w:t>
      </w:r>
    </w:p>
    <w:p w:rsidR="00D045CD" w:rsidRDefault="00756C76">
      <w:pPr>
        <w:pStyle w:val="11"/>
        <w:numPr>
          <w:ilvl w:val="2"/>
          <w:numId w:val="1"/>
        </w:numPr>
        <w:tabs>
          <w:tab w:val="left" w:pos="471"/>
        </w:tabs>
        <w:jc w:val="both"/>
      </w:pPr>
      <w:r>
        <w:t xml:space="preserve">Предоставить права, перечисленные в п. 1.1. настоящего договора, любому контрагенту, зарегистрированному </w:t>
      </w:r>
      <w:r>
        <w:rPr>
          <w:b/>
          <w:bCs/>
        </w:rPr>
        <w:t xml:space="preserve">Сублицензиатом </w:t>
      </w:r>
      <w:r>
        <w:t>в аккаунте.</w:t>
      </w:r>
    </w:p>
    <w:p w:rsidR="00D045CD" w:rsidRDefault="00756C76">
      <w:pPr>
        <w:pStyle w:val="10"/>
        <w:keepNext/>
        <w:keepLines/>
        <w:numPr>
          <w:ilvl w:val="1"/>
          <w:numId w:val="1"/>
        </w:numPr>
        <w:tabs>
          <w:tab w:val="left" w:pos="356"/>
        </w:tabs>
        <w:jc w:val="both"/>
      </w:pPr>
      <w:bookmarkStart w:id="4" w:name="bookmark8"/>
      <w:r>
        <w:t xml:space="preserve">Сублицензиат </w:t>
      </w:r>
      <w:r>
        <w:rPr>
          <w:b w:val="0"/>
          <w:bCs w:val="0"/>
        </w:rPr>
        <w:t>обязан:</w:t>
      </w:r>
      <w:bookmarkEnd w:id="4"/>
    </w:p>
    <w:p w:rsidR="00D045CD" w:rsidRDefault="00756C76">
      <w:pPr>
        <w:pStyle w:val="11"/>
        <w:numPr>
          <w:ilvl w:val="2"/>
          <w:numId w:val="1"/>
        </w:numPr>
        <w:tabs>
          <w:tab w:val="left" w:pos="471"/>
        </w:tabs>
        <w:jc w:val="both"/>
      </w:pPr>
      <w:r>
        <w:t>Оплачивать лицензионные вознаграждения в порядке и в сроки установленные настоящим договором.</w:t>
      </w:r>
    </w:p>
    <w:p w:rsidR="00D045CD" w:rsidRDefault="00756C76">
      <w:pPr>
        <w:pStyle w:val="11"/>
        <w:numPr>
          <w:ilvl w:val="2"/>
          <w:numId w:val="1"/>
        </w:numPr>
        <w:tabs>
          <w:tab w:val="left" w:pos="471"/>
        </w:tabs>
        <w:jc w:val="both"/>
      </w:pPr>
      <w:r>
        <w:t>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 лица, зарегистрированные в соответствии с п.2.4.2. настоящего договора.</w:t>
      </w:r>
    </w:p>
    <w:p w:rsidR="00D045CD" w:rsidRDefault="00756C76">
      <w:pPr>
        <w:pStyle w:val="11"/>
        <w:numPr>
          <w:ilvl w:val="2"/>
          <w:numId w:val="1"/>
        </w:numPr>
        <w:tabs>
          <w:tab w:val="left" w:pos="471"/>
        </w:tabs>
        <w:jc w:val="both"/>
      </w:pPr>
      <w:r>
        <w:t xml:space="preserve">Использовать Программу в соответствии с пользовательской документацией, опубликованной на </w:t>
      </w:r>
      <w:hyperlink r:id="rId11" w:history="1">
        <w:r>
          <w:rPr>
            <w:lang w:val="en-US" w:eastAsia="en-US" w:bidi="en-US"/>
          </w:rPr>
          <w:t>https</w:t>
        </w:r>
        <w:r w:rsidRPr="00E777C9">
          <w:rPr>
            <w:lang w:eastAsia="en-US" w:bidi="en-US"/>
          </w:rPr>
          <w:t>://</w:t>
        </w:r>
        <w:r>
          <w:rPr>
            <w:lang w:val="en-US" w:eastAsia="en-US" w:bidi="en-US"/>
          </w:rPr>
          <w:t>help</w:t>
        </w:r>
        <w:r w:rsidRPr="00E777C9">
          <w:rPr>
            <w:lang w:eastAsia="en-US" w:bidi="en-US"/>
          </w:rPr>
          <w:t>.</w:t>
        </w:r>
        <w:r>
          <w:rPr>
            <w:lang w:val="en-US" w:eastAsia="en-US" w:bidi="en-US"/>
          </w:rPr>
          <w:t>sbis</w:t>
        </w:r>
        <w:r w:rsidRPr="00E777C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E777C9">
        <w:rPr>
          <w:lang w:eastAsia="en-US" w:bidi="en-US"/>
        </w:rPr>
        <w:t>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356"/>
        </w:tabs>
        <w:spacing w:after="160"/>
        <w:jc w:val="both"/>
      </w:pPr>
      <w:r>
        <w:rPr>
          <w:b/>
          <w:bCs/>
        </w:rPr>
        <w:t xml:space="preserve">Сублицензиат </w:t>
      </w:r>
      <w:r>
        <w:t xml:space="preserve">не имеет права передавать учетные данные для доступа в Программу третьим лицам, незарегистрированным в аккаунте </w:t>
      </w:r>
      <w:r>
        <w:rPr>
          <w:b/>
          <w:bCs/>
        </w:rPr>
        <w:t>Сублицензиата</w:t>
      </w:r>
      <w:r>
        <w:t>.</w:t>
      </w:r>
    </w:p>
    <w:p w:rsidR="00D045CD" w:rsidRDefault="00756C76">
      <w:pPr>
        <w:pStyle w:val="10"/>
        <w:keepNext/>
        <w:keepLines/>
        <w:numPr>
          <w:ilvl w:val="0"/>
          <w:numId w:val="1"/>
        </w:numPr>
        <w:tabs>
          <w:tab w:val="left" w:pos="283"/>
        </w:tabs>
      </w:pPr>
      <w:bookmarkStart w:id="5" w:name="bookmark10"/>
      <w:r>
        <w:t>Стоимость и порядок расчетов</w:t>
      </w:r>
      <w:bookmarkEnd w:id="5"/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 xml:space="preserve">Стоимость неисключительных прав, передаваемых по настоящему договору, составляет </w:t>
      </w:r>
      <w:r w:rsidR="00BA25ED">
        <w:t>9 4</w:t>
      </w:r>
      <w:r>
        <w:t>00.00 рублей (</w:t>
      </w:r>
      <w:r w:rsidR="00BA25ED">
        <w:t xml:space="preserve">девять тысяч четыреста </w:t>
      </w:r>
      <w:r>
        <w:t xml:space="preserve"> рублей 00 копеек) (НДС не облагается, в соответствии пп. 26 п.2 ст. 149 НК РФ).</w:t>
      </w:r>
    </w:p>
    <w:p w:rsidR="00D045CD" w:rsidRDefault="00756C76">
      <w:pPr>
        <w:pStyle w:val="11"/>
        <w:jc w:val="both"/>
      </w:pPr>
      <w:r>
        <w:t xml:space="preserve">Оплата осуществляется в безналичной форме путем перечисления </w:t>
      </w:r>
      <w:r>
        <w:rPr>
          <w:b/>
          <w:bCs/>
        </w:rPr>
        <w:t xml:space="preserve">Сублицензиатом </w:t>
      </w:r>
      <w:r>
        <w:t xml:space="preserve">денежных средств на расчетный счет </w:t>
      </w:r>
      <w:r>
        <w:rPr>
          <w:b/>
          <w:bCs/>
        </w:rPr>
        <w:t xml:space="preserve">Лицензиата </w:t>
      </w:r>
      <w:r>
        <w:t xml:space="preserve">в течение 7 (семи) рабочих дней со дня подписания сторонами Акта приема-передачи неисключительных прав, на основании предоставленного </w:t>
      </w:r>
      <w:r>
        <w:rPr>
          <w:b/>
          <w:bCs/>
        </w:rPr>
        <w:t xml:space="preserve">Лицензиатом </w:t>
      </w:r>
      <w:r>
        <w:t xml:space="preserve">счета (счета- фактуры) при условии отсутствия замечаний со стороны </w:t>
      </w:r>
      <w:r>
        <w:rPr>
          <w:b/>
          <w:bCs/>
        </w:rPr>
        <w:t xml:space="preserve">Сублицензиата </w:t>
      </w:r>
      <w:r>
        <w:t>к качеству и объему услуг, оказанных в рамках настоящего Договора. Авансирование не предусмотрено.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По окончании оказания Услуг Лицензиат обязан предоставить финансовые документы (счет или счет-фактура) и подписанный Исполнителем Акт приемо- передачи оказанных услуг в 2-х экземплярах.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Клиент производит приёмку оказанных услуг в течение 5 (пяти) рабочих дней с даты получения Клиентом документов, указанных в пункте 3.3.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Для проверки результатов оказанных услуг в части их соответствия условиям настоящего Договора Клиент проводит экспертизу. Документом, подтверждающим проведение экспертизы результатов оказанных услуг в части их соответствия условиям Договора силами Клиента, является подписанный Клиентом Акт приемо-передачи оказанных услуг.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Срок оказания услуги: в течение 5 (пяти) рабочих дней с даты подписания Договора.</w:t>
      </w:r>
    </w:p>
    <w:p w:rsidR="00D045CD" w:rsidRDefault="002412DB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Срок исполнения договора: 07</w:t>
      </w:r>
      <w:r w:rsidR="00111758">
        <w:t>.0</w:t>
      </w:r>
      <w:r>
        <w:t>8</w:t>
      </w:r>
      <w:r w:rsidR="00756C76">
        <w:t>.2026 г.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spacing w:after="80"/>
        <w:jc w:val="both"/>
      </w:pPr>
      <w:r>
        <w:t xml:space="preserve">Если в течение действия настоящего договора </w:t>
      </w:r>
      <w:r>
        <w:rPr>
          <w:b/>
          <w:bCs/>
        </w:rPr>
        <w:t xml:space="preserve">Сублицензиат </w:t>
      </w:r>
      <w:r>
        <w:t xml:space="preserve">или иные лица, зарегистрированные в аккаунте </w:t>
      </w:r>
      <w:r>
        <w:rPr>
          <w:b/>
          <w:bCs/>
        </w:rPr>
        <w:t>Сублицензиата</w:t>
      </w:r>
      <w:r>
        <w:t xml:space="preserve">, в соответствии с п.2.4.2 настоящего договора использовали функционал, права на который не передавались ему по настоящему договору, то </w:t>
      </w:r>
      <w:r>
        <w:rPr>
          <w:b/>
          <w:bCs/>
        </w:rPr>
        <w:t xml:space="preserve">Лицензиат </w:t>
      </w:r>
      <w:r>
        <w:t xml:space="preserve">выставляет счет, определяя стоимость в соответствии с прайс-листом, опубликованным на </w:t>
      </w:r>
      <w:hyperlink r:id="rId12" w:history="1">
        <w:r>
          <w:rPr>
            <w:lang w:val="en-US" w:eastAsia="en-US" w:bidi="en-US"/>
          </w:rPr>
          <w:t>https</w:t>
        </w:r>
        <w:r w:rsidRPr="00E777C9">
          <w:rPr>
            <w:lang w:eastAsia="en-US" w:bidi="en-US"/>
          </w:rPr>
          <w:t>://</w:t>
        </w:r>
        <w:r>
          <w:rPr>
            <w:lang w:val="en-US" w:eastAsia="en-US" w:bidi="en-US"/>
          </w:rPr>
          <w:t>sbis</w:t>
        </w:r>
        <w:r w:rsidRPr="00E777C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777C9">
          <w:rPr>
            <w:lang w:eastAsia="en-US" w:bidi="en-US"/>
          </w:rPr>
          <w:t>/</w:t>
        </w:r>
        <w:r>
          <w:rPr>
            <w:lang w:val="en-US" w:eastAsia="en-US" w:bidi="en-US"/>
          </w:rPr>
          <w:t>tariffs</w:t>
        </w:r>
      </w:hyperlink>
      <w:r w:rsidRPr="00E777C9">
        <w:rPr>
          <w:lang w:eastAsia="en-US" w:bidi="en-US"/>
        </w:rPr>
        <w:t xml:space="preserve">, </w:t>
      </w:r>
      <w:r>
        <w:t xml:space="preserve">а </w:t>
      </w:r>
      <w:r>
        <w:rPr>
          <w:b/>
          <w:bCs/>
        </w:rPr>
        <w:t xml:space="preserve">Сублицензиат </w:t>
      </w:r>
      <w:r>
        <w:t>обязуется оплатить данный счет в течение 30 (тридцати) календарных дней с момента его выставления.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Стороны договорились, что к их отношениям по настоящему договору нормы ст.317.1. ГК РФ не применяются.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Цена Договора является твердой и определяется на весь срок исполнения Договора. При заключении и исполнении Договора по соглашению сторон возможно изменение цены с учетом положений бюджетного законодательства РФ, а также статьи 95 Федерального закона № 44-ФЗ.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spacing w:after="80" w:line="326" w:lineRule="auto"/>
        <w:jc w:val="both"/>
      </w:pPr>
      <w:r>
        <w:t xml:space="preserve">Финансирование по настоящему Договору осуществляется за счет средств Федерального бюджета </w:t>
      </w:r>
    </w:p>
    <w:p w:rsidR="00D045CD" w:rsidRDefault="00756C76">
      <w:pPr>
        <w:pStyle w:val="10"/>
        <w:keepNext/>
        <w:keepLines/>
        <w:numPr>
          <w:ilvl w:val="0"/>
          <w:numId w:val="1"/>
        </w:numPr>
        <w:tabs>
          <w:tab w:val="left" w:pos="283"/>
        </w:tabs>
      </w:pPr>
      <w:bookmarkStart w:id="6" w:name="bookmark12"/>
      <w:r>
        <w:t>Ответственность сторон и порядок рассмотрения споров</w:t>
      </w:r>
      <w:bookmarkEnd w:id="6"/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За неисполнение или ненадлежащее исполнение обязательств по настоящему Договору Стороны несут ответственность в соответствии с условиями Договора и действующим законодательством РФ.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В случае просрочки исполнения Сублицензиатом обязательств, предусмотренных Договором, а также в иных случаях неисполнения или ненадлежащего исполнения Сублицензиатом обязательств, предусмотренных Договором, Лицензиат вправе потребовать уплаты неустоек (штрафов, пеней).</w:t>
      </w:r>
    </w:p>
    <w:p w:rsidR="00D045CD" w:rsidRDefault="00756C76">
      <w:pPr>
        <w:pStyle w:val="11"/>
        <w:numPr>
          <w:ilvl w:val="2"/>
          <w:numId w:val="1"/>
        </w:numPr>
        <w:tabs>
          <w:tab w:val="left" w:pos="476"/>
        </w:tabs>
        <w:jc w:val="both"/>
      </w:pPr>
      <w:r>
        <w:t>В случае просрочки исполнения Сублицензиатом обязательств, предусмотренных п. 3.1 Договора, Лицензиат вправе потребовать уплаты пеней.</w:t>
      </w:r>
    </w:p>
    <w:p w:rsidR="00D045CD" w:rsidRDefault="00756C76">
      <w:pPr>
        <w:pStyle w:val="11"/>
        <w:jc w:val="both"/>
      </w:pPr>
      <w: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контрактом в размере 1/300 (одной трехсотой)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D045CD" w:rsidRDefault="00756C76">
      <w:pPr>
        <w:pStyle w:val="11"/>
        <w:numPr>
          <w:ilvl w:val="2"/>
          <w:numId w:val="1"/>
        </w:numPr>
        <w:tabs>
          <w:tab w:val="left" w:pos="476"/>
        </w:tabs>
        <w:jc w:val="both"/>
      </w:pPr>
      <w:r>
        <w:t>За каждый факт неисполнения Сублицензиатом обязательств, предусмотренных Договором, за исключением просрочки исполнения обязательств, предусмотренных Договором, начисляется штраф в размере 1000 (одна тысяча) рублей.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28"/>
          <w:tab w:val="left" w:pos="566"/>
        </w:tabs>
        <w:jc w:val="both"/>
      </w:pPr>
      <w:r>
        <w:t>В случае просрочки исполнения Лицензиатом обязательств (в том числе гарантийного обязательства), предусмотренных Договором, а также в иных</w:t>
      </w:r>
    </w:p>
    <w:p w:rsidR="00D045CD" w:rsidRDefault="00756C76">
      <w:pPr>
        <w:pStyle w:val="11"/>
        <w:jc w:val="both"/>
      </w:pPr>
      <w:r>
        <w:t>случаях неисполнения или ненадлежащего исполнения Лицензиатом обязательств, предусмотренных Договором, Сублицензиат направляет Лицензиату требование об уплате неустоек (штрафов, пеней).</w:t>
      </w:r>
    </w:p>
    <w:p w:rsidR="00D045CD" w:rsidRDefault="00756C76">
      <w:pPr>
        <w:pStyle w:val="11"/>
        <w:numPr>
          <w:ilvl w:val="2"/>
          <w:numId w:val="1"/>
        </w:numPr>
        <w:tabs>
          <w:tab w:val="left" w:pos="442"/>
        </w:tabs>
        <w:jc w:val="both"/>
      </w:pPr>
      <w:r>
        <w:t>. Пеня начисляется за каждый день просрочки исполнения Лицензиатом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(одной трехсотой)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Договором и фактически исполненных Лицензиатом.</w:t>
      </w:r>
      <w:r>
        <w:br w:type="page"/>
      </w:r>
    </w:p>
    <w:p w:rsidR="00D045CD" w:rsidRDefault="00756C76">
      <w:pPr>
        <w:pStyle w:val="11"/>
        <w:numPr>
          <w:ilvl w:val="2"/>
          <w:numId w:val="1"/>
        </w:numPr>
        <w:tabs>
          <w:tab w:val="left" w:pos="492"/>
        </w:tabs>
        <w:jc w:val="both"/>
      </w:pPr>
      <w:r>
        <w:lastRenderedPageBreak/>
        <w:t>Штраф в размере 10 % (десяти процентов) от цены Договора начисляется за каждый факт неисполнения или ненадлежащего исполнение Лицензиатом обязательств, предусмотренных Договором, за исключением просрочки исполнения Лицензиатом обязательств (в том числе гарантийного обязательства), предусмотренных Договором.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57"/>
        </w:tabs>
        <w:jc w:val="both"/>
      </w:pPr>
      <w:r>
        <w:t>Уплата Стороной неустойки (штрафа, пеней) не освобождает её от исполнения обязательств по Договору.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57"/>
        </w:tabs>
        <w:jc w:val="both"/>
      </w:pPr>
      <w:r>
        <w:t>При возникновении споров по настоящему Договору обязательным является предъявление претензии, срок рассмотрения которой устанавливается в 7 (Семь) рабочих дней с даты ее вручения другой Стороне.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57"/>
        </w:tabs>
        <w:jc w:val="both"/>
      </w:pPr>
      <w:r>
        <w:t>Претензия и отзыв на нее вручаются либо под расписку, либо почтовым отправлением с уведомлением о вручении.</w:t>
      </w:r>
      <w:bookmarkStart w:id="7" w:name="_GoBack"/>
      <w:bookmarkEnd w:id="7"/>
    </w:p>
    <w:p w:rsidR="00D045CD" w:rsidRDefault="00756C76">
      <w:pPr>
        <w:pStyle w:val="11"/>
        <w:numPr>
          <w:ilvl w:val="1"/>
          <w:numId w:val="1"/>
        </w:numPr>
        <w:tabs>
          <w:tab w:val="left" w:pos="457"/>
        </w:tabs>
        <w:jc w:val="both"/>
      </w:pPr>
      <w:r>
        <w:t>В случае невозможности урегулирования споров и разногласий в претензионном порядке, Стороны вправе передать их на рассмотрение в Арбитражный суд в соответствии с действующем законодательством.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57"/>
          <w:tab w:val="left" w:pos="504"/>
        </w:tabs>
        <w:jc w:val="both"/>
      </w:pPr>
      <w:r>
        <w:t>Общая сумма начисленной неустойки (штрафов, пени) за неисполнение или ненадлежащее исполнение Лицензиатом обязательств, предусмотренных</w:t>
      </w:r>
    </w:p>
    <w:p w:rsidR="00D045CD" w:rsidRDefault="00756C76">
      <w:pPr>
        <w:pStyle w:val="11"/>
        <w:jc w:val="both"/>
      </w:pPr>
      <w:r>
        <w:t>Договорос, не может превышать цену Договора.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57"/>
          <w:tab w:val="left" w:pos="523"/>
        </w:tabs>
        <w:jc w:val="both"/>
      </w:pPr>
      <w:r>
        <w:t>Общая сумма начисленной неустойки (штрафов, пени) за ненадлежащее исполнение Сублицензиатом обязательств, предусмотренных Договорос, не</w:t>
      </w:r>
    </w:p>
    <w:p w:rsidR="00D045CD" w:rsidRDefault="00756C76">
      <w:pPr>
        <w:pStyle w:val="11"/>
        <w:spacing w:after="160"/>
        <w:jc w:val="both"/>
      </w:pPr>
      <w:r>
        <w:t>может превышать цену Договора.</w:t>
      </w:r>
    </w:p>
    <w:p w:rsidR="00D045CD" w:rsidRDefault="00756C76">
      <w:pPr>
        <w:pStyle w:val="10"/>
        <w:keepNext/>
        <w:keepLines/>
        <w:numPr>
          <w:ilvl w:val="0"/>
          <w:numId w:val="1"/>
        </w:numPr>
        <w:tabs>
          <w:tab w:val="left" w:pos="4765"/>
        </w:tabs>
        <w:ind w:left="4460"/>
        <w:jc w:val="left"/>
      </w:pPr>
      <w:bookmarkStart w:id="8" w:name="bookmark14"/>
      <w:r>
        <w:t>Действие договора</w:t>
      </w:r>
      <w:bookmarkEnd w:id="8"/>
    </w:p>
    <w:p w:rsidR="00D045CD" w:rsidRDefault="00756C76">
      <w:pPr>
        <w:pStyle w:val="11"/>
        <w:numPr>
          <w:ilvl w:val="1"/>
          <w:numId w:val="1"/>
        </w:numPr>
        <w:tabs>
          <w:tab w:val="left" w:pos="457"/>
        </w:tabs>
        <w:jc w:val="both"/>
      </w:pPr>
      <w:r>
        <w:t xml:space="preserve">Срок оказания услуги с </w:t>
      </w:r>
      <w:r w:rsidR="00111758">
        <w:t xml:space="preserve">22.07.2026 г. и действует по 21.07.2027 </w:t>
      </w:r>
      <w:r>
        <w:t xml:space="preserve"> г. Настоящий договор вступает в силу с момента подписания и действует по 31.12.2026 г. но до полного исполнения сторонами принятых на себя обязательств по настоящему договору.</w:t>
      </w:r>
    </w:p>
    <w:p w:rsidR="00D045CD" w:rsidRDefault="00756C76">
      <w:pPr>
        <w:pStyle w:val="11"/>
        <w:jc w:val="both"/>
      </w:pPr>
      <w:r>
        <w:t xml:space="preserve">Если после окончания срока действия настоящего договора, </w:t>
      </w:r>
      <w:r>
        <w:rPr>
          <w:b/>
          <w:bCs/>
        </w:rPr>
        <w:t xml:space="preserve">Сублицензиат </w:t>
      </w:r>
      <w:r>
        <w:t xml:space="preserve">или иные лица, зарегистрированные в аккаунте, продолжат использование платного функционала, настоящий договор считается пролонгированным на 12 календарных месяцев. Количество пролонгаций не ограничено. При этом, </w:t>
      </w:r>
      <w:r>
        <w:rPr>
          <w:b/>
          <w:bCs/>
        </w:rPr>
        <w:t xml:space="preserve">Сублицензиат </w:t>
      </w:r>
      <w:r>
        <w:t>обязуется оплатить дальнейшее использование платного функционала в течение 30 (тридцати) календарных дней с даты начала такого использования. В противном случае, доступ к платному функционалу блокируется, возобновление использования Программы возможно только после оплаты возникшей задолженности и заключения нового договора.</w:t>
      </w:r>
    </w:p>
    <w:p w:rsidR="00D045CD" w:rsidRDefault="00756C76">
      <w:pPr>
        <w:pStyle w:val="11"/>
        <w:numPr>
          <w:ilvl w:val="1"/>
          <w:numId w:val="1"/>
        </w:numPr>
        <w:tabs>
          <w:tab w:val="left" w:pos="457"/>
        </w:tabs>
        <w:spacing w:after="160"/>
        <w:jc w:val="both"/>
      </w:pPr>
      <w:r>
        <w:t xml:space="preserve">В случае нарушения </w:t>
      </w:r>
      <w:r>
        <w:rPr>
          <w:b/>
          <w:bCs/>
        </w:rPr>
        <w:t xml:space="preserve">Сублицензиатом </w:t>
      </w:r>
      <w:r>
        <w:t xml:space="preserve">п.3, п.2.5, п.2.6 настоящего договора </w:t>
      </w:r>
      <w:r>
        <w:rPr>
          <w:b/>
          <w:bCs/>
        </w:rPr>
        <w:t xml:space="preserve">Лицензиат </w:t>
      </w:r>
      <w:r>
        <w:t xml:space="preserve">вправе досрочно расторгнуть настоящий Договор и заблокировать использование Программы </w:t>
      </w:r>
      <w:r>
        <w:rPr>
          <w:b/>
          <w:bCs/>
        </w:rPr>
        <w:t xml:space="preserve">Сублицензиатом </w:t>
      </w:r>
      <w:r>
        <w:t>без предварительного уведомления.</w:t>
      </w:r>
    </w:p>
    <w:p w:rsidR="00D045CD" w:rsidRDefault="00756C76">
      <w:pPr>
        <w:pStyle w:val="10"/>
        <w:keepNext/>
        <w:keepLines/>
        <w:numPr>
          <w:ilvl w:val="0"/>
          <w:numId w:val="1"/>
        </w:numPr>
        <w:tabs>
          <w:tab w:val="left" w:pos="4765"/>
        </w:tabs>
        <w:spacing w:after="360"/>
        <w:ind w:left="4460"/>
        <w:jc w:val="left"/>
      </w:pPr>
      <w:bookmarkStart w:id="9" w:name="bookmark16"/>
      <w:r>
        <w:t>Реквизиты сторон</w:t>
      </w:r>
      <w:bookmarkEnd w:id="9"/>
    </w:p>
    <w:p w:rsidR="00D045CD" w:rsidRDefault="00756C76">
      <w:pPr>
        <w:pStyle w:val="a5"/>
      </w:pPr>
      <w:r>
        <w:t>ЛИЦЕНЗИАТ</w:t>
      </w:r>
      <w:r>
        <w:rPr>
          <w:b w:val="0"/>
          <w:bCs w:val="0"/>
        </w:rPr>
        <w:t xml:space="preserve">: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6912"/>
      </w:tblGrid>
      <w:tr w:rsidR="00D045CD">
        <w:trPr>
          <w:trHeight w:hRule="exact" w:val="293"/>
        </w:trPr>
        <w:tc>
          <w:tcPr>
            <w:tcW w:w="1027" w:type="dxa"/>
            <w:shd w:val="clear" w:color="auto" w:fill="auto"/>
          </w:tcPr>
          <w:p w:rsidR="00D045CD" w:rsidRDefault="00756C76">
            <w:pPr>
              <w:pStyle w:val="a7"/>
            </w:pPr>
            <w:r>
              <w:rPr>
                <w:b/>
                <w:bCs/>
              </w:rPr>
              <w:t>ИНН/КПП:</w:t>
            </w:r>
          </w:p>
        </w:tc>
        <w:tc>
          <w:tcPr>
            <w:tcW w:w="6912" w:type="dxa"/>
            <w:shd w:val="clear" w:color="auto" w:fill="auto"/>
          </w:tcPr>
          <w:p w:rsidR="00D045CD" w:rsidRDefault="00D045CD">
            <w:pPr>
              <w:pStyle w:val="a7"/>
              <w:ind w:firstLine="240"/>
            </w:pPr>
          </w:p>
        </w:tc>
      </w:tr>
      <w:tr w:rsidR="00D045CD">
        <w:trPr>
          <w:trHeight w:hRule="exact" w:val="466"/>
        </w:trPr>
        <w:tc>
          <w:tcPr>
            <w:tcW w:w="1027" w:type="dxa"/>
            <w:shd w:val="clear" w:color="auto" w:fill="auto"/>
            <w:vAlign w:val="center"/>
          </w:tcPr>
          <w:p w:rsidR="00D045CD" w:rsidRDefault="00756C76">
            <w:pPr>
              <w:pStyle w:val="a7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6912" w:type="dxa"/>
            <w:shd w:val="clear" w:color="auto" w:fill="auto"/>
            <w:vAlign w:val="bottom"/>
          </w:tcPr>
          <w:p w:rsidR="00D045CD" w:rsidRDefault="00D045CD">
            <w:pPr>
              <w:pStyle w:val="a7"/>
              <w:ind w:left="240"/>
            </w:pPr>
          </w:p>
        </w:tc>
      </w:tr>
      <w:tr w:rsidR="00D045CD">
        <w:trPr>
          <w:trHeight w:hRule="exact" w:val="221"/>
        </w:trPr>
        <w:tc>
          <w:tcPr>
            <w:tcW w:w="1027" w:type="dxa"/>
            <w:shd w:val="clear" w:color="auto" w:fill="auto"/>
            <w:vAlign w:val="center"/>
          </w:tcPr>
          <w:p w:rsidR="00D045CD" w:rsidRDefault="00756C76">
            <w:pPr>
              <w:pStyle w:val="a7"/>
            </w:pPr>
            <w:r>
              <w:rPr>
                <w:b/>
                <w:bCs/>
              </w:rPr>
              <w:t>Р/С: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D045CD" w:rsidRPr="0035529E" w:rsidRDefault="00D045CD">
            <w:pPr>
              <w:pStyle w:val="a7"/>
              <w:ind w:firstLine="240"/>
              <w:rPr>
                <w:sz w:val="16"/>
                <w:szCs w:val="16"/>
              </w:rPr>
            </w:pPr>
          </w:p>
        </w:tc>
      </w:tr>
      <w:tr w:rsidR="00D045CD">
        <w:trPr>
          <w:trHeight w:hRule="exact" w:val="254"/>
        </w:trPr>
        <w:tc>
          <w:tcPr>
            <w:tcW w:w="1027" w:type="dxa"/>
            <w:shd w:val="clear" w:color="auto" w:fill="auto"/>
            <w:vAlign w:val="center"/>
          </w:tcPr>
          <w:p w:rsidR="00D045CD" w:rsidRDefault="00756C76">
            <w:pPr>
              <w:pStyle w:val="a7"/>
            </w:pPr>
            <w:r>
              <w:rPr>
                <w:b/>
                <w:bCs/>
              </w:rPr>
              <w:t>Банк: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D045CD" w:rsidRPr="0035529E" w:rsidRDefault="00D045CD">
            <w:pPr>
              <w:pStyle w:val="a7"/>
              <w:ind w:firstLine="240"/>
              <w:rPr>
                <w:sz w:val="16"/>
                <w:szCs w:val="16"/>
              </w:rPr>
            </w:pPr>
          </w:p>
        </w:tc>
      </w:tr>
      <w:tr w:rsidR="00D045CD">
        <w:trPr>
          <w:trHeight w:hRule="exact" w:val="240"/>
        </w:trPr>
        <w:tc>
          <w:tcPr>
            <w:tcW w:w="1027" w:type="dxa"/>
            <w:shd w:val="clear" w:color="auto" w:fill="auto"/>
            <w:vAlign w:val="center"/>
          </w:tcPr>
          <w:p w:rsidR="00D045CD" w:rsidRDefault="00756C76">
            <w:pPr>
              <w:pStyle w:val="a7"/>
            </w:pPr>
            <w:r>
              <w:rPr>
                <w:b/>
                <w:bCs/>
              </w:rPr>
              <w:t>БИК: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D045CD" w:rsidRPr="0035529E" w:rsidRDefault="00756C76">
            <w:pPr>
              <w:pStyle w:val="a7"/>
              <w:tabs>
                <w:tab w:val="left" w:pos="4498"/>
              </w:tabs>
              <w:ind w:firstLine="240"/>
              <w:rPr>
                <w:sz w:val="16"/>
                <w:szCs w:val="16"/>
              </w:rPr>
            </w:pPr>
            <w:r w:rsidRPr="0035529E">
              <w:rPr>
                <w:sz w:val="16"/>
                <w:szCs w:val="16"/>
              </w:rPr>
              <w:tab/>
            </w:r>
            <w:r w:rsidRPr="0035529E">
              <w:rPr>
                <w:b/>
                <w:bCs/>
                <w:sz w:val="16"/>
                <w:szCs w:val="16"/>
              </w:rPr>
              <w:t>Лицензиат</w:t>
            </w:r>
          </w:p>
        </w:tc>
      </w:tr>
      <w:tr w:rsidR="00D045CD">
        <w:trPr>
          <w:trHeight w:hRule="exact" w:val="326"/>
        </w:trPr>
        <w:tc>
          <w:tcPr>
            <w:tcW w:w="1027" w:type="dxa"/>
            <w:shd w:val="clear" w:color="auto" w:fill="auto"/>
          </w:tcPr>
          <w:p w:rsidR="00D045CD" w:rsidRDefault="00756C76">
            <w:pPr>
              <w:pStyle w:val="a7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lang w:val="en-US" w:eastAsia="en-US" w:bidi="en-US"/>
              </w:rPr>
              <w:t>/C: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5CD" w:rsidRPr="0035529E" w:rsidRDefault="00756C76">
            <w:pPr>
              <w:pStyle w:val="a7"/>
              <w:tabs>
                <w:tab w:val="left" w:leader="underscore" w:pos="1526"/>
              </w:tabs>
              <w:spacing w:line="180" w:lineRule="auto"/>
              <w:jc w:val="right"/>
              <w:rPr>
                <w:sz w:val="16"/>
                <w:szCs w:val="16"/>
              </w:rPr>
            </w:pPr>
            <w:r w:rsidRPr="0035529E">
              <w:rPr>
                <w:sz w:val="16"/>
                <w:szCs w:val="16"/>
              </w:rPr>
              <w:tab/>
            </w:r>
            <w:r w:rsidR="00E11ADD">
              <w:rPr>
                <w:sz w:val="16"/>
                <w:szCs w:val="16"/>
              </w:rPr>
              <w:t xml:space="preserve"> /</w:t>
            </w:r>
            <w:r w:rsidRPr="0035529E">
              <w:rPr>
                <w:sz w:val="16"/>
                <w:szCs w:val="16"/>
              </w:rPr>
              <w:t>/</w:t>
            </w:r>
          </w:p>
        </w:tc>
      </w:tr>
    </w:tbl>
    <w:p w:rsidR="00D045CD" w:rsidRDefault="00756C76">
      <w:pPr>
        <w:pStyle w:val="a5"/>
        <w:jc w:val="right"/>
      </w:pPr>
      <w:r>
        <w:rPr>
          <w:b w:val="0"/>
          <w:bCs w:val="0"/>
        </w:rPr>
        <w:t>М.П.</w:t>
      </w:r>
    </w:p>
    <w:p w:rsidR="00D045CD" w:rsidRDefault="00D045CD">
      <w:pPr>
        <w:spacing w:after="739" w:line="1" w:lineRule="exact"/>
      </w:pPr>
    </w:p>
    <w:p w:rsidR="00D045CD" w:rsidRDefault="00756C76">
      <w:pPr>
        <w:pStyle w:val="11"/>
        <w:jc w:val="both"/>
      </w:pPr>
      <w:r>
        <w:rPr>
          <w:b/>
          <w:bCs/>
        </w:rPr>
        <w:t>СУБЛИЦЕНЗИАТ: ФЕДЕРАЛЬНОЕ КАЗЕННОЕ ПРОФЕССИОНАЛЬНОЕ</w:t>
      </w:r>
    </w:p>
    <w:p w:rsidR="00D045CD" w:rsidRDefault="00756C76">
      <w:pPr>
        <w:pStyle w:val="11"/>
        <w:jc w:val="both"/>
      </w:pPr>
      <w:r>
        <w:rPr>
          <w:b/>
          <w:bCs/>
        </w:rPr>
        <w:t>ОБРАЗОВАТЕЛЬНОЕ УЧРЕЖДЕНИЕ "КАЛАЧЕВСКИЙ ТЕХНИКУМ-ИНТЕРНАТ"</w:t>
      </w:r>
    </w:p>
    <w:p w:rsidR="00D045CD" w:rsidRDefault="00756C76">
      <w:pPr>
        <w:pStyle w:val="11"/>
        <w:jc w:val="both"/>
      </w:pPr>
      <w:r>
        <w:rPr>
          <w:b/>
          <w:bCs/>
        </w:rPr>
        <w:t>МИНИСТЕРСТВА ТРУДА И СОЦИАЛЬНОЙ ЗАЩИТЫ РОССИЙСКОЙ</w:t>
      </w:r>
    </w:p>
    <w:p w:rsidR="00D045CD" w:rsidRDefault="00756C76">
      <w:pPr>
        <w:pStyle w:val="11"/>
        <w:spacing w:after="100"/>
        <w:jc w:val="both"/>
      </w:pPr>
      <w:r>
        <w:rPr>
          <w:b/>
          <w:bCs/>
        </w:rPr>
        <w:t>ФЕДЕРАЦИИ</w:t>
      </w:r>
    </w:p>
    <w:p w:rsidR="00D045CD" w:rsidRDefault="00756C76">
      <w:pPr>
        <w:pStyle w:val="11"/>
        <w:tabs>
          <w:tab w:val="left" w:pos="1224"/>
        </w:tabs>
      </w:pPr>
      <w:r>
        <w:rPr>
          <w:b/>
          <w:bCs/>
        </w:rPr>
        <w:t>ИНН/КПП:</w:t>
      </w:r>
      <w:r>
        <w:rPr>
          <w:b/>
          <w:bCs/>
        </w:rPr>
        <w:tab/>
      </w:r>
      <w:r>
        <w:t>3409100458 / 340901001</w:t>
      </w:r>
    </w:p>
    <w:p w:rsidR="00D045CD" w:rsidRDefault="00756C76">
      <w:pPr>
        <w:pStyle w:val="11"/>
        <w:tabs>
          <w:tab w:val="left" w:pos="1224"/>
        </w:tabs>
        <w:spacing w:after="300"/>
        <w:jc w:val="both"/>
      </w:pPr>
      <w:r>
        <w:rPr>
          <w:b/>
          <w:bCs/>
        </w:rPr>
        <w:t>Адрес:</w:t>
      </w:r>
      <w:r>
        <w:rPr>
          <w:b/>
          <w:bCs/>
        </w:rPr>
        <w:tab/>
      </w:r>
      <w:r>
        <w:t>404504, Волгоградская обл., г. Калач-на-Дону, ул. 65 Армии, д. 2</w:t>
      </w:r>
    </w:p>
    <w:p w:rsidR="00D045CD" w:rsidRDefault="00756C76">
      <w:pPr>
        <w:pStyle w:val="20"/>
      </w:pPr>
      <w:r>
        <w:t>л/сч. 03291А75350 открыт в УФК по</w:t>
      </w:r>
    </w:p>
    <w:p w:rsidR="00D045CD" w:rsidRDefault="00756C76">
      <w:pPr>
        <w:pStyle w:val="20"/>
      </w:pPr>
      <w:r>
        <w:t>Волгоградской области</w:t>
      </w:r>
    </w:p>
    <w:p w:rsidR="00D045CD" w:rsidRDefault="00756C76">
      <w:pPr>
        <w:pStyle w:val="20"/>
      </w:pPr>
      <w:r>
        <w:rPr>
          <w:color w:val="16394F"/>
        </w:rPr>
        <w:t xml:space="preserve">р/с </w:t>
      </w:r>
      <w:r>
        <w:t>03211643000000013245</w:t>
      </w:r>
    </w:p>
    <w:p w:rsidR="00D045CD" w:rsidRDefault="00756C76">
      <w:pPr>
        <w:pStyle w:val="20"/>
      </w:pPr>
      <w:r>
        <w:rPr>
          <w:color w:val="16394F"/>
        </w:rPr>
        <w:t xml:space="preserve">наименование банка: </w:t>
      </w:r>
      <w:r>
        <w:t>ОКЦ № 1 ВВГУ</w:t>
      </w:r>
    </w:p>
    <w:p w:rsidR="00D045CD" w:rsidRDefault="00756C76">
      <w:pPr>
        <w:pStyle w:val="20"/>
      </w:pPr>
      <w:r>
        <w:t>БАНКА РОССИИ//УФК по Нижегородской</w:t>
      </w:r>
    </w:p>
    <w:p w:rsidR="00D045CD" w:rsidRDefault="00756C76">
      <w:pPr>
        <w:pStyle w:val="20"/>
      </w:pPr>
      <w:r>
        <w:t>области, г. Нижний Новгород.</w:t>
      </w:r>
    </w:p>
    <w:p w:rsidR="00D045CD" w:rsidRDefault="00756C76">
      <w:pPr>
        <w:pStyle w:val="20"/>
      </w:pPr>
      <w:r>
        <w:rPr>
          <w:color w:val="16394F"/>
        </w:rPr>
        <w:t xml:space="preserve">БИК: </w:t>
      </w:r>
      <w:r>
        <w:t>012202102</w:t>
      </w:r>
    </w:p>
    <w:p w:rsidR="00D045CD" w:rsidRDefault="00756C76">
      <w:pPr>
        <w:pStyle w:val="20"/>
        <w:spacing w:after="160"/>
      </w:pPr>
      <w:r>
        <w:rPr>
          <w:color w:val="16394F"/>
        </w:rPr>
        <w:t xml:space="preserve">ЕКС: </w:t>
      </w:r>
      <w:r>
        <w:t>40102810745370000024</w:t>
      </w:r>
    </w:p>
    <w:p w:rsidR="00D045CD" w:rsidRDefault="00756C76">
      <w:pPr>
        <w:pStyle w:val="10"/>
        <w:keepNext/>
        <w:keepLines/>
        <w:spacing w:after="160"/>
        <w:ind w:left="5600"/>
        <w:jc w:val="left"/>
      </w:pPr>
      <w:bookmarkStart w:id="10" w:name="bookmark18"/>
      <w:r>
        <w:t>Сублицензиат</w:t>
      </w:r>
      <w:bookmarkEnd w:id="10"/>
    </w:p>
    <w:p w:rsidR="00D045CD" w:rsidRDefault="008A3566">
      <w:pPr>
        <w:pStyle w:val="11"/>
        <w:tabs>
          <w:tab w:val="left" w:pos="5611"/>
          <w:tab w:val="left" w:leader="underscore" w:pos="7142"/>
        </w:tabs>
        <w:spacing w:after="100"/>
        <w:ind w:left="1320"/>
        <w:jc w:val="both"/>
      </w:pPr>
      <w:r>
        <w:pict>
          <v:shape id="_x0000_s1029" type="#_x0000_t202" style="position:absolute;left:0;text-align:left;margin-left:351.8pt;margin-top:9pt;width:16.3pt;height:9.35pt;z-index:-125829373;mso-position-horizontal-relative:page" filled="f" stroked="f">
            <v:textbox inset="0,0,0,0">
              <w:txbxContent>
                <w:p w:rsidR="00D045CD" w:rsidRDefault="00756C76">
                  <w:pPr>
                    <w:pStyle w:val="11"/>
                    <w:jc w:val="right"/>
                  </w:pPr>
                  <w:r>
                    <w:t>М.П.</w:t>
                  </w:r>
                </w:p>
              </w:txbxContent>
            </v:textbox>
            <w10:wrap type="square" side="left" anchorx="page"/>
          </v:shape>
        </w:pict>
      </w:r>
      <w:r w:rsidR="00756C76">
        <w:t>Тел.: 8(84472)39944</w:t>
      </w:r>
      <w:r w:rsidR="00756C76">
        <w:tab/>
      </w:r>
      <w:r w:rsidR="00756C76">
        <w:tab/>
        <w:t xml:space="preserve"> /Ю.П. Машков/</w:t>
      </w:r>
    </w:p>
    <w:p w:rsidR="00E777C9" w:rsidRDefault="00756C76">
      <w:pPr>
        <w:pStyle w:val="11"/>
        <w:spacing w:after="100"/>
        <w:ind w:left="1320"/>
        <w:jc w:val="both"/>
      </w:pPr>
      <w:r>
        <w:rPr>
          <w:lang w:val="en-US" w:eastAsia="en-US" w:bidi="en-US"/>
        </w:rPr>
        <w:t xml:space="preserve">E-mail: </w:t>
      </w:r>
      <w:hyperlink r:id="rId13" w:history="1">
        <w:r>
          <w:rPr>
            <w:lang w:val="en-US" w:eastAsia="en-US" w:bidi="en-US"/>
          </w:rPr>
          <w:t>kalachteh@yandex.ru</w:t>
        </w:r>
      </w:hyperlink>
    </w:p>
    <w:p w:rsidR="00E777C9" w:rsidRPr="00E777C9" w:rsidRDefault="00E777C9" w:rsidP="00E777C9"/>
    <w:p w:rsidR="00D045CD" w:rsidRPr="00E777C9" w:rsidRDefault="00E777C9" w:rsidP="00E777C9">
      <w:pPr>
        <w:tabs>
          <w:tab w:val="left" w:pos="1240"/>
        </w:tabs>
      </w:pPr>
      <w:r>
        <w:tab/>
      </w:r>
    </w:p>
    <w:sectPr w:rsidR="00D045CD" w:rsidRPr="00E777C9" w:rsidSect="00D045CD">
      <w:type w:val="continuous"/>
      <w:pgSz w:w="11900" w:h="16840"/>
      <w:pgMar w:top="721" w:right="661" w:bottom="435" w:left="678" w:header="293" w:footer="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566" w:rsidRDefault="008A3566" w:rsidP="00D045CD">
      <w:r>
        <w:separator/>
      </w:r>
    </w:p>
  </w:endnote>
  <w:endnote w:type="continuationSeparator" w:id="0">
    <w:p w:rsidR="008A3566" w:rsidRDefault="008A3566" w:rsidP="00D0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566" w:rsidRDefault="008A3566"/>
  </w:footnote>
  <w:footnote w:type="continuationSeparator" w:id="0">
    <w:p w:rsidR="008A3566" w:rsidRDefault="008A35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838BF"/>
    <w:multiLevelType w:val="multilevel"/>
    <w:tmpl w:val="60AC291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3F68BA"/>
    <w:multiLevelType w:val="multilevel"/>
    <w:tmpl w:val="403A607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045CD"/>
    <w:rsid w:val="000A5F25"/>
    <w:rsid w:val="00111758"/>
    <w:rsid w:val="002412DB"/>
    <w:rsid w:val="002615D0"/>
    <w:rsid w:val="002A1876"/>
    <w:rsid w:val="0035529E"/>
    <w:rsid w:val="00567A9E"/>
    <w:rsid w:val="005B5083"/>
    <w:rsid w:val="006A746F"/>
    <w:rsid w:val="00707387"/>
    <w:rsid w:val="00756C76"/>
    <w:rsid w:val="0078346A"/>
    <w:rsid w:val="008A3566"/>
    <w:rsid w:val="009C140E"/>
    <w:rsid w:val="00B838D8"/>
    <w:rsid w:val="00BA25ED"/>
    <w:rsid w:val="00BD01A7"/>
    <w:rsid w:val="00D045CD"/>
    <w:rsid w:val="00DA7EEA"/>
    <w:rsid w:val="00DC5E68"/>
    <w:rsid w:val="00DC700E"/>
    <w:rsid w:val="00E11ADD"/>
    <w:rsid w:val="00E15772"/>
    <w:rsid w:val="00E777C9"/>
    <w:rsid w:val="00EB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34A1739-7092-4DF3-B292-2260EBB2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45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45CD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3">
    <w:name w:val="Основной текст_"/>
    <w:basedOn w:val="a0"/>
    <w:link w:val="11"/>
    <w:rsid w:val="00D045CD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sid w:val="00D04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sid w:val="00D045CD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Другое_"/>
    <w:basedOn w:val="a0"/>
    <w:link w:val="a7"/>
    <w:rsid w:val="00D045CD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D04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rsid w:val="00D045CD"/>
    <w:pPr>
      <w:jc w:val="center"/>
      <w:outlineLvl w:val="0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11">
    <w:name w:val="Основной текст1"/>
    <w:basedOn w:val="a"/>
    <w:link w:val="a3"/>
    <w:rsid w:val="00D045CD"/>
    <w:rPr>
      <w:rFonts w:ascii="Tahoma" w:eastAsia="Tahoma" w:hAnsi="Tahoma" w:cs="Tahoma"/>
      <w:sz w:val="14"/>
      <w:szCs w:val="14"/>
    </w:rPr>
  </w:style>
  <w:style w:type="paragraph" w:customStyle="1" w:styleId="30">
    <w:name w:val="Основной текст (3)"/>
    <w:basedOn w:val="a"/>
    <w:link w:val="3"/>
    <w:rsid w:val="00D045CD"/>
    <w:pPr>
      <w:spacing w:after="160" w:line="19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rsid w:val="00D045CD"/>
    <w:rPr>
      <w:rFonts w:ascii="Tahoma" w:eastAsia="Tahoma" w:hAnsi="Tahoma" w:cs="Tahoma"/>
      <w:b/>
      <w:bCs/>
      <w:sz w:val="14"/>
      <w:szCs w:val="14"/>
    </w:rPr>
  </w:style>
  <w:style w:type="paragraph" w:customStyle="1" w:styleId="a7">
    <w:name w:val="Другое"/>
    <w:basedOn w:val="a"/>
    <w:link w:val="a6"/>
    <w:rsid w:val="00D045CD"/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D045CD"/>
    <w:pPr>
      <w:spacing w:after="100"/>
      <w:ind w:left="1320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777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7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s.ru/reglament" TargetMode="External"/><Relationship Id="rId13" Type="http://schemas.openxmlformats.org/officeDocument/2006/relationships/hyperlink" Target="mailto:kalachte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bis.ru/tariffs" TargetMode="External"/><Relationship Id="rId12" Type="http://schemas.openxmlformats.org/officeDocument/2006/relationships/hyperlink" Target="https://sbis.ru/tarif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.sbis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elp.sb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bis.ru/o_kompanii/Licenz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Денисова</dc:creator>
  <cp:lastModifiedBy>Александр Юрьевич Машков</cp:lastModifiedBy>
  <cp:revision>9</cp:revision>
  <cp:lastPrinted>2025-12-25T08:49:00Z</cp:lastPrinted>
  <dcterms:created xsi:type="dcterms:W3CDTF">2026-06-30T10:52:00Z</dcterms:created>
  <dcterms:modified xsi:type="dcterms:W3CDTF">2026-06-30T12:04:00Z</dcterms:modified>
</cp:coreProperties>
</file>