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cs="Times New Roman" w:ascii="Times New Roman" w:hAnsi="Times New Roman"/>
          <w:b/>
          <w:bCs/>
          <w:sz w:val="22"/>
          <w:szCs w:val="22"/>
        </w:rPr>
        <w:t xml:space="preserve">ГОСУДАРСТВЕННЫЙ КОНТРАКТ </w:t>
      </w:r>
      <w:r>
        <w:rPr>
          <w:rFonts w:eastAsia="Calibri" w:cs="Times New Roman" w:ascii="Times New Roman" w:hAnsi="Times New Roman"/>
          <w:b/>
          <w:bCs/>
          <w:color w:val="000000"/>
          <w:sz w:val="22"/>
          <w:szCs w:val="22"/>
        </w:rPr>
        <w:t>№ ________</w:t>
      </w:r>
    </w:p>
    <w:p>
      <w:pPr>
        <w:pStyle w:val="Normal"/>
        <w:widowControl w:val="false"/>
        <w:suppressAutoHyphens w:val="true"/>
        <w:bidi w:val="0"/>
        <w:ind w:right="0"/>
        <w:jc w:val="center"/>
        <w:rPr/>
      </w:pPr>
      <w:r>
        <w:rPr>
          <w:rStyle w:val="Style21"/>
          <w:rFonts w:eastAsia="Times New Roman CYR" w:cs="Times New Roman" w:ascii="Times New Roman" w:hAnsi="Times New Roman"/>
          <w:b/>
          <w:bCs/>
          <w:i w:val="false"/>
          <w:iCs w:val="false"/>
          <w:color w:val="000000"/>
          <w:spacing w:val="1"/>
          <w:sz w:val="22"/>
          <w:szCs w:val="22"/>
          <w:lang w:eastAsia="en-US"/>
        </w:rPr>
        <w:t>На</w:t>
      </w:r>
      <w:r>
        <w:rPr>
          <w:rStyle w:val="FontStyle12"/>
          <w:rFonts w:eastAsia="Calibri"/>
          <w:b/>
          <w:bCs/>
          <w:i w:val="false"/>
          <w:iCs w:val="false"/>
          <w:color w:val="000000"/>
          <w:spacing w:val="1"/>
          <w:sz w:val="22"/>
          <w:szCs w:val="22"/>
          <w:lang w:eastAsia="en-US"/>
        </w:rPr>
        <w:t xml:space="preserve"> в</w:t>
      </w:r>
      <w:r>
        <w:rPr>
          <w:rStyle w:val="FontStyle12"/>
          <w:rFonts w:eastAsia="Times New Roman CYR" w:cs="Times New Roman" w:ascii="Times New Roman" w:hAnsi="Times New Roman"/>
          <w:b/>
          <w:bCs/>
          <w:i w:val="false"/>
          <w:iCs w:val="false"/>
          <w:color w:val="000000"/>
          <w:spacing w:val="1"/>
          <w:sz w:val="22"/>
          <w:szCs w:val="22"/>
          <w:lang w:eastAsia="en-US"/>
        </w:rPr>
        <w:t>ыполнение</w:t>
      </w:r>
      <w:r>
        <w:rPr>
          <w:rStyle w:val="Style21"/>
          <w:rFonts w:eastAsia="Times New Roman CYR" w:cs="Times New Roman" w:ascii="Times New Roman" w:hAnsi="Times New Roman"/>
          <w:b/>
          <w:bCs/>
          <w:i w:val="false"/>
          <w:iCs w:val="false"/>
          <w:color w:val="000000"/>
          <w:spacing w:val="1"/>
          <w:sz w:val="22"/>
          <w:szCs w:val="22"/>
          <w:lang w:eastAsia="en-US"/>
        </w:rPr>
        <w:t xml:space="preserve"> работ по замене системы отопления в</w:t>
      </w:r>
      <w:r>
        <w:rPr>
          <w:rStyle w:val="Style21"/>
          <w:rFonts w:eastAsia="Times New Roman CYR" w:cs="Times New Roman" w:ascii="Times New Roman" w:hAnsi="Times New Roman"/>
          <w:b/>
          <w:bCs/>
          <w:i w:val="false"/>
          <w:iCs w:val="false"/>
          <w:strike w:val="false"/>
          <w:dstrike w:val="false"/>
          <w:outline w:val="false"/>
          <w:shadow w:val="false"/>
          <w:color w:val="000000"/>
          <w:spacing w:val="1"/>
          <w:sz w:val="22"/>
          <w:szCs w:val="22"/>
          <w:u w:val="none"/>
          <w:em w:val="none"/>
          <w:lang w:eastAsia="en-US"/>
        </w:rPr>
        <w:t xml:space="preserve"> ОСП Веневского района</w:t>
      </w:r>
      <w:r>
        <w:rPr>
          <w:rStyle w:val="FontStyle12"/>
          <w:rFonts w:eastAsia="Calibri" w:cs="Times New Roman" w:ascii="Times New Roman" w:hAnsi="Times New Roman"/>
          <w:b/>
          <w:bCs/>
          <w:i w:val="false"/>
          <w:iCs w:val="false"/>
          <w:color w:val="000000"/>
          <w:spacing w:val="1"/>
          <w:sz w:val="22"/>
          <w:szCs w:val="22"/>
          <w:lang w:eastAsia="en-US"/>
        </w:rPr>
        <w:t xml:space="preserve"> УФССП России по тульской области по адресу: 301320, Россия, </w:t>
      </w:r>
      <w:r>
        <w:rPr>
          <w:rStyle w:val="FontStyle12"/>
          <w:rFonts w:eastAsia="Calibri" w:cs="Times New Roman" w:ascii="Times New Roman" w:hAnsi="Times New Roman"/>
          <w:b/>
          <w:bCs/>
          <w:i w:val="false"/>
          <w:iCs w:val="false"/>
          <w:strike w:val="false"/>
          <w:dstrike w:val="false"/>
          <w:outline w:val="false"/>
          <w:shadow w:val="false"/>
          <w:color w:val="000000"/>
          <w:spacing w:val="1"/>
          <w:sz w:val="22"/>
          <w:szCs w:val="22"/>
          <w:u w:val="none"/>
          <w:em w:val="none"/>
          <w:lang w:eastAsia="en-US"/>
        </w:rPr>
        <w:t>Тульская область, г. Венев, пл. Ильича. д. 4В</w:t>
      </w:r>
    </w:p>
    <w:p>
      <w:pPr>
        <w:pStyle w:val="Normal"/>
        <w:widowControl w:val="false"/>
        <w:ind w:hanging="0"/>
        <w:jc w:val="center"/>
        <w:rPr>
          <w:lang w:eastAsia="en-US"/>
        </w:rPr>
      </w:pPr>
      <w:r>
        <w:rPr>
          <w:lang w:eastAsia="en-US"/>
        </w:rPr>
      </w:r>
    </w:p>
    <w:p>
      <w:pPr>
        <w:pStyle w:val="Normal"/>
        <w:ind w:firstLine="142"/>
        <w:jc w:val="right"/>
        <w:rPr>
          <w:lang w:eastAsia="en-US"/>
        </w:rPr>
      </w:pPr>
      <w:r>
        <w:rPr/>
        <w:t>Г. Тула                                                                                                       «     »  ____________  202</w:t>
      </w:r>
      <w:r>
        <w:rPr/>
        <w:t>6</w:t>
      </w:r>
      <w:r>
        <w:rPr/>
        <w:t>г.</w:t>
      </w:r>
    </w:p>
    <w:p>
      <w:pPr>
        <w:pStyle w:val="Normal"/>
        <w:rPr>
          <w:lang w:eastAsia="en-US"/>
        </w:rPr>
      </w:pPr>
      <w:r>
        <w:rPr>
          <w:lang w:eastAsia="en-US"/>
        </w:rPr>
      </w:r>
    </w:p>
    <w:p>
      <w:pPr>
        <w:pStyle w:val="Normal"/>
        <w:rPr>
          <w:lang w:eastAsia="en-US"/>
        </w:rPr>
      </w:pPr>
      <w:r>
        <w:rPr>
          <w:rStyle w:val="Style21"/>
          <w:rFonts w:eastAsia="Calibri"/>
          <w:b w:val="false"/>
          <w:color w:val="000000"/>
          <w:spacing w:val="-5"/>
          <w:sz w:val="24"/>
        </w:rPr>
        <w:t xml:space="preserve">Управление   Федеральной   службы судебных приставов по Тульской области (сокращенное наименование УФССП России по Тульской области), именуемое в дальнейшем "Заказчик", </w:t>
      </w:r>
      <w:r>
        <w:rPr>
          <w:rStyle w:val="Style21"/>
          <w:b w:val="false"/>
          <w:color w:val="000000"/>
          <w:spacing w:val="-5"/>
          <w:sz w:val="24"/>
        </w:rPr>
        <w:t xml:space="preserve">в лице Заместителя  руководителя Управления Федеральной службы судебных приставов по Тульской области – заместителя главного судебного пристава Тульской области, </w:t>
      </w:r>
      <w:r>
        <w:rPr>
          <w:rStyle w:val="Style21"/>
          <w:b w:val="false"/>
          <w:color w:val="000000"/>
          <w:spacing w:val="-5"/>
          <w:sz w:val="24"/>
        </w:rPr>
        <w:t>__________-</w:t>
      </w:r>
      <w:r>
        <w:rPr>
          <w:rStyle w:val="Style21"/>
          <w:rFonts w:eastAsia="Calibri"/>
          <w:b w:val="false"/>
          <w:color w:val="000000"/>
          <w:spacing w:val="-5"/>
          <w:sz w:val="24"/>
        </w:rPr>
        <w:t xml:space="preserve">, </w:t>
      </w:r>
      <w:r>
        <w:rPr>
          <w:rStyle w:val="Style21"/>
          <w:b w:val="false"/>
          <w:color w:val="000000"/>
          <w:spacing w:val="-5"/>
          <w:sz w:val="24"/>
        </w:rPr>
        <w:t xml:space="preserve">действующей на основании доверенности № </w:t>
      </w:r>
      <w:r>
        <w:rPr>
          <w:rStyle w:val="Style21"/>
          <w:b w:val="false"/>
          <w:color w:val="000000"/>
          <w:spacing w:val="-5"/>
          <w:sz w:val="24"/>
        </w:rPr>
        <w:t>_______</w:t>
      </w:r>
      <w:r>
        <w:rPr>
          <w:rStyle w:val="Style21"/>
          <w:b w:val="false"/>
          <w:color w:val="000000"/>
          <w:spacing w:val="-5"/>
          <w:sz w:val="24"/>
        </w:rPr>
        <w:t xml:space="preserve"> от </w:t>
      </w:r>
      <w:r>
        <w:rPr>
          <w:rStyle w:val="Style21"/>
          <w:b w:val="false"/>
          <w:color w:val="000000"/>
          <w:spacing w:val="-5"/>
          <w:sz w:val="24"/>
        </w:rPr>
        <w:t>___________</w:t>
      </w:r>
      <w:r>
        <w:rPr>
          <w:rStyle w:val="Style21"/>
          <w:b w:val="false"/>
          <w:color w:val="000000"/>
          <w:spacing w:val="-5"/>
          <w:sz w:val="24"/>
        </w:rPr>
        <w:t xml:space="preserve"> г.</w:t>
      </w:r>
      <w:r>
        <w:rPr>
          <w:rStyle w:val="Style21"/>
          <w:rFonts w:eastAsia="Calibri"/>
          <w:b w:val="false"/>
          <w:color w:val="000000"/>
          <w:spacing w:val="-5"/>
          <w:sz w:val="24"/>
        </w:rPr>
        <w:t>, с одной стороны и ________________________</w:t>
      </w:r>
      <w:r>
        <w:rPr>
          <w:rStyle w:val="Style21"/>
          <w:b w:val="false"/>
          <w:color w:val="000000"/>
          <w:spacing w:val="-4"/>
          <w:sz w:val="24"/>
          <w:lang w:eastAsia="ru-RU"/>
        </w:rPr>
        <w:t>,</w:t>
      </w:r>
      <w:r>
        <w:rPr>
          <w:rStyle w:val="Style21"/>
          <w:rFonts w:eastAsia="Calibri"/>
          <w:b w:val="false"/>
          <w:color w:val="000000"/>
          <w:spacing w:val="-5"/>
          <w:sz w:val="24"/>
        </w:rPr>
        <w:t xml:space="preserve">  именуемый в дальнейшем «Подрядчик», в лице ____________________, действующая на основании ______________________, с другой стороны, вместе именуемые в дальнейшем "Стороны", </w:t>
      </w:r>
      <w:r>
        <w:rPr>
          <w:rStyle w:val="Style21"/>
          <w:rFonts w:eastAsia="Calibri" w:cs="Times New Roman"/>
          <w:b w:val="false"/>
          <w:bCs w:val="false"/>
          <w:color w:val="000000"/>
          <w:spacing w:val="-5"/>
          <w:sz w:val="24"/>
          <w:szCs w:val="24"/>
          <w:lang w:eastAsia="en-US"/>
        </w:rPr>
        <w:t>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и на основании протокола         №</w:t>
      </w:r>
      <w:r>
        <w:rPr>
          <w:rStyle w:val="Style21"/>
          <w:rFonts w:eastAsia="Calibri" w:cs="Times New Roman"/>
          <w:b w:val="false"/>
          <w:bCs w:val="false"/>
          <w:color w:val="000000"/>
          <w:spacing w:val="-5"/>
          <w:sz w:val="24"/>
          <w:szCs w:val="24"/>
          <w:lang w:val="en-US" w:eastAsia="en-US"/>
        </w:rPr>
        <w:t xml:space="preserve"> </w:t>
      </w:r>
      <w:r>
        <w:rPr>
          <w:rStyle w:val="Style21"/>
          <w:rFonts w:eastAsia="Calibri" w:cs="Times New Roman"/>
          <w:b w:val="false"/>
          <w:bCs w:val="false"/>
          <w:i w:val="false"/>
          <w:caps w:val="false"/>
          <w:smallCaps w:val="false"/>
          <w:color w:val="000000"/>
          <w:spacing w:val="0"/>
          <w:sz w:val="24"/>
          <w:szCs w:val="24"/>
          <w:lang w:val="ru-RU" w:eastAsia="en-US"/>
        </w:rPr>
        <w:t>__________________</w:t>
      </w:r>
      <w:r>
        <w:rPr>
          <w:rStyle w:val="Style21"/>
          <w:rFonts w:eastAsia="Calibri" w:cs="Times New Roman"/>
          <w:b w:val="false"/>
          <w:bCs w:val="false"/>
          <w:color w:val="000000"/>
          <w:spacing w:val="-5"/>
          <w:sz w:val="24"/>
          <w:szCs w:val="24"/>
          <w:lang w:eastAsia="en-US"/>
        </w:rPr>
        <w:t xml:space="preserve"> от </w:t>
      </w:r>
      <w:r>
        <w:rPr>
          <w:rStyle w:val="Style21"/>
          <w:rFonts w:eastAsia="Calibri" w:cs="Times New Roman"/>
          <w:b w:val="false"/>
          <w:bCs w:val="false"/>
          <w:color w:val="000000"/>
          <w:spacing w:val="-5"/>
          <w:sz w:val="24"/>
          <w:szCs w:val="24"/>
          <w:lang w:val="ru-RU" w:eastAsia="en-US"/>
        </w:rPr>
        <w:t>__</w:t>
      </w:r>
      <w:r>
        <w:rPr>
          <w:rStyle w:val="Style21"/>
          <w:rFonts w:eastAsia="Calibri" w:cs="Times New Roman"/>
          <w:b w:val="false"/>
          <w:bCs w:val="false"/>
          <w:color w:val="000000"/>
          <w:spacing w:val="-5"/>
          <w:sz w:val="24"/>
          <w:szCs w:val="24"/>
          <w:lang w:eastAsia="en-US"/>
        </w:rPr>
        <w:t>.</w:t>
      </w:r>
      <w:r>
        <w:rPr>
          <w:rStyle w:val="Style21"/>
          <w:rFonts w:eastAsia="Calibri" w:cs="Times New Roman"/>
          <w:b w:val="false"/>
          <w:bCs w:val="false"/>
          <w:color w:val="000000"/>
          <w:spacing w:val="-5"/>
          <w:sz w:val="24"/>
          <w:szCs w:val="24"/>
          <w:lang w:val="ru-RU" w:eastAsia="en-US"/>
        </w:rPr>
        <w:t>__</w:t>
      </w:r>
      <w:r>
        <w:rPr>
          <w:rStyle w:val="Style21"/>
          <w:rFonts w:eastAsia="Calibri" w:cs="Times New Roman"/>
          <w:b w:val="false"/>
          <w:bCs w:val="false"/>
          <w:color w:val="000000"/>
          <w:spacing w:val="-5"/>
          <w:sz w:val="24"/>
          <w:szCs w:val="24"/>
          <w:lang w:eastAsia="en-US"/>
        </w:rPr>
        <w:t>.202</w:t>
      </w:r>
      <w:r>
        <w:rPr>
          <w:rStyle w:val="Style21"/>
          <w:rFonts w:eastAsia="Calibri" w:cs="Times New Roman"/>
          <w:b w:val="false"/>
          <w:bCs w:val="false"/>
          <w:color w:val="000000"/>
          <w:spacing w:val="-5"/>
          <w:sz w:val="24"/>
          <w:szCs w:val="24"/>
          <w:lang w:val="en-US" w:eastAsia="en-US"/>
        </w:rPr>
        <w:t>6</w:t>
      </w:r>
      <w:r>
        <w:rPr>
          <w:rStyle w:val="Style21"/>
          <w:rFonts w:eastAsia="Calibri" w:cs="Times New Roman"/>
          <w:b w:val="false"/>
          <w:bCs w:val="false"/>
          <w:color w:val="000000"/>
          <w:spacing w:val="-5"/>
          <w:sz w:val="24"/>
          <w:szCs w:val="24"/>
          <w:lang w:eastAsia="en-US"/>
        </w:rPr>
        <w:t xml:space="preserve"> г. заключили настоящий государственный контракт (далее — контракт) о нижеследующем:</w:t>
      </w:r>
    </w:p>
    <w:p>
      <w:pPr>
        <w:pStyle w:val="Style26"/>
        <w:numPr>
          <w:ilvl w:val="0"/>
          <w:numId w:val="1"/>
        </w:numPr>
        <w:ind w:firstLine="709" w:left="0"/>
        <w:rPr/>
      </w:pPr>
      <w:r>
        <w:rPr>
          <w:szCs w:val="24"/>
        </w:rPr>
        <w:t>Предмет Контракта</w:t>
      </w:r>
    </w:p>
    <w:p>
      <w:pPr>
        <w:pStyle w:val="Style27"/>
        <w:numPr>
          <w:ilvl w:val="1"/>
          <w:numId w:val="1"/>
        </w:numPr>
        <w:ind w:firstLine="709"/>
        <w:rPr>
          <w:bCs/>
        </w:rPr>
      </w:pPr>
      <w:r>
        <w:rPr/>
        <w:t xml:space="preserve">Предмет Контракта - </w:t>
      </w:r>
      <w:r>
        <w:rPr>
          <w:rStyle w:val="FontStyle12"/>
          <w:rFonts w:eastAsia="Calibri" w:ascii="Times New Roman" w:hAnsi="Times New Roman"/>
          <w:b w:val="false"/>
          <w:bCs w:val="false"/>
          <w:i w:val="false"/>
          <w:iCs w:val="false"/>
          <w:color w:val="000000"/>
          <w:spacing w:val="1"/>
          <w:sz w:val="24"/>
          <w:szCs w:val="24"/>
          <w:lang w:eastAsia="en-US"/>
        </w:rPr>
        <w:t>в</w:t>
      </w:r>
      <w:r>
        <w:rPr>
          <w:rStyle w:val="FontStyle12"/>
          <w:rFonts w:eastAsia="Times New Roman CYR" w:cs="Times New Roman" w:ascii="Times New Roman" w:hAnsi="Times New Roman"/>
          <w:b w:val="false"/>
          <w:bCs w:val="false"/>
          <w:i w:val="false"/>
          <w:iCs w:val="false"/>
          <w:color w:val="000000"/>
          <w:spacing w:val="1"/>
          <w:sz w:val="24"/>
          <w:szCs w:val="24"/>
          <w:lang w:eastAsia="en-US"/>
        </w:rPr>
        <w:t>ыполнение</w:t>
      </w:r>
      <w:r>
        <w:rPr>
          <w:rStyle w:val="Style21"/>
          <w:rFonts w:eastAsia="Times New Roman CYR" w:cs="Times New Roman" w:ascii="Times New Roman" w:hAnsi="Times New Roman"/>
          <w:b w:val="false"/>
          <w:bCs w:val="false"/>
          <w:i w:val="false"/>
          <w:iCs w:val="false"/>
          <w:color w:val="000000"/>
          <w:spacing w:val="1"/>
          <w:sz w:val="24"/>
          <w:szCs w:val="24"/>
          <w:lang w:eastAsia="en-US"/>
        </w:rPr>
        <w:t xml:space="preserve"> работ по замене системы отопления в</w:t>
      </w:r>
      <w:r>
        <w:rPr>
          <w:rStyle w:val="Style21"/>
          <w:rFonts w:eastAsia="Times New Roman CYR" w:cs="Times New Roman" w:ascii="Times New Roman" w:hAnsi="Times New Roman"/>
          <w:b w:val="false"/>
          <w:bCs w:val="false"/>
          <w:i w:val="false"/>
          <w:iCs w:val="false"/>
          <w:strike w:val="false"/>
          <w:dstrike w:val="false"/>
          <w:outline w:val="false"/>
          <w:shadow w:val="false"/>
          <w:color w:val="000000"/>
          <w:spacing w:val="1"/>
          <w:sz w:val="24"/>
          <w:szCs w:val="24"/>
          <w:u w:val="none"/>
          <w:em w:val="none"/>
          <w:lang w:eastAsia="en-US"/>
        </w:rPr>
        <w:t xml:space="preserve"> ОСП Веневского района</w:t>
      </w:r>
      <w:r>
        <w:rPr>
          <w:rStyle w:val="FontStyle12"/>
          <w:rFonts w:eastAsia="Calibri" w:cs="Times New Roman" w:ascii="Times New Roman" w:hAnsi="Times New Roman"/>
          <w:b w:val="false"/>
          <w:bCs w:val="false"/>
          <w:i w:val="false"/>
          <w:iCs w:val="false"/>
          <w:color w:val="000000"/>
          <w:spacing w:val="1"/>
          <w:sz w:val="24"/>
          <w:szCs w:val="24"/>
          <w:lang w:eastAsia="en-US"/>
        </w:rPr>
        <w:t xml:space="preserve"> УФССП России по тульской области по адресу: 301320, Россия, </w:t>
      </w:r>
      <w:r>
        <w:rPr>
          <w:rStyle w:val="FontStyle12"/>
          <w:rFonts w:eastAsia="Calibri" w:cs="Times New Roman" w:ascii="Times New Roman" w:hAnsi="Times New Roman"/>
          <w:b w:val="false"/>
          <w:bCs w:val="false"/>
          <w:i w:val="false"/>
          <w:iCs w:val="false"/>
          <w:strike w:val="false"/>
          <w:dstrike w:val="false"/>
          <w:outline w:val="false"/>
          <w:shadow w:val="false"/>
          <w:color w:val="000000"/>
          <w:spacing w:val="1"/>
          <w:sz w:val="24"/>
          <w:szCs w:val="24"/>
          <w:u w:val="none"/>
          <w:em w:val="none"/>
          <w:lang w:eastAsia="en-US"/>
        </w:rPr>
        <w:t>Тульская область, г. Венев, пл. Ильича. д. 4В</w:t>
      </w:r>
    </w:p>
    <w:p>
      <w:pPr>
        <w:pStyle w:val="Style27"/>
        <w:numPr>
          <w:ilvl w:val="1"/>
          <w:numId w:val="1"/>
        </w:numPr>
        <w:ind w:firstLine="709"/>
        <w:rPr/>
      </w:pPr>
      <w:r>
        <w:rPr/>
        <w:t>Подрядчик обязуется выполнить работы, перечисленные в приложении 1 к Контракту, в соответствии с Контрактом и сдать их результат Заказчику в обусловленные Контрактом сроки, а Заказчик обязуется принять и оплатить работы, в порядке и на условиях, предусмотренных Контрактом.</w:t>
      </w:r>
    </w:p>
    <w:p>
      <w:pPr>
        <w:pStyle w:val="Style27"/>
        <w:numPr>
          <w:ilvl w:val="1"/>
          <w:numId w:val="1"/>
        </w:numPr>
        <w:ind w:firstLine="709"/>
        <w:rPr/>
      </w:pPr>
      <w:r>
        <w:rPr/>
        <w:t>Перечень и объем работ, подлежащих выполнению, требования к качеству выполняемых Подрядчиком работ, а также требования к порядку и способу их выполнения Подрядчиком, определяются Контрактом</w:t>
      </w:r>
      <w:r>
        <w:rPr>
          <w:szCs w:val="24"/>
        </w:rPr>
        <w:t>.</w:t>
      </w:r>
    </w:p>
    <w:p>
      <w:pPr>
        <w:pStyle w:val="Style26"/>
        <w:numPr>
          <w:ilvl w:val="0"/>
          <w:numId w:val="1"/>
        </w:numPr>
        <w:ind w:firstLine="709" w:left="0"/>
        <w:rPr/>
      </w:pPr>
      <w:r>
        <w:rPr/>
        <w:t>Цена Контракта, порядок и сроки оплаты работ</w:t>
      </w:r>
    </w:p>
    <w:p>
      <w:pPr>
        <w:pStyle w:val="Style27"/>
        <w:numPr>
          <w:ilvl w:val="1"/>
          <w:numId w:val="1"/>
        </w:numPr>
        <w:ind w:firstLine="709"/>
        <w:rPr/>
      </w:pPr>
      <w:r>
        <w:rPr/>
        <w:t xml:space="preserve">Цена Контракта составляет ___________ (_______________) рублей __ копеек, в том числе НДС ________ / НДС не облагается УСН (далее – Цена Контракта). </w:t>
      </w:r>
    </w:p>
    <w:p>
      <w:pPr>
        <w:pStyle w:val="Standard"/>
        <w:widowControl w:val="false"/>
        <w:numPr>
          <w:ilvl w:val="0"/>
          <w:numId w:val="0"/>
        </w:numPr>
        <w:tabs>
          <w:tab w:val="clear" w:pos="708"/>
          <w:tab w:val="left" w:pos="567" w:leader="none"/>
        </w:tabs>
        <w:suppressAutoHyphens w:val="true"/>
        <w:bidi w:val="0"/>
        <w:spacing w:before="0" w:after="0"/>
        <w:ind w:hanging="0" w:left="0" w:right="0"/>
        <w:jc w:val="left"/>
        <w:rPr/>
      </w:pPr>
      <w:r>
        <w:rPr>
          <w:rFonts w:cs="Times New Roman" w:ascii="Times New Roman" w:hAnsi="Times New Roman"/>
          <w:b/>
          <w:bCs/>
          <w:sz w:val="22"/>
          <w:szCs w:val="22"/>
        </w:rPr>
        <w:t xml:space="preserve">Оплата по Контракту производится </w:t>
      </w:r>
      <w:r>
        <w:rPr>
          <w:rFonts w:cs="Times New Roman" w:ascii="Times New Roman" w:hAnsi="Times New Roman"/>
          <w:b/>
          <w:sz w:val="22"/>
          <w:szCs w:val="22"/>
        </w:rPr>
        <w:t>за счёт лимитов 2026 года.</w:t>
      </w:r>
    </w:p>
    <w:p>
      <w:pPr>
        <w:pStyle w:val="Style27"/>
        <w:numPr>
          <w:ilvl w:val="1"/>
          <w:numId w:val="1"/>
        </w:numPr>
        <w:ind w:firstLine="709"/>
        <w:rPr/>
      </w:pPr>
      <w:r>
        <w:rPr/>
        <w:t>Цена Контракта включает в себя компенсацию всех расходов Подрядчика, связанных с выполнением работ, в том числе расходов на уплату налогов, сборов и других обязательных платежей, а также иных расходов Подрядчика, связанных с выполнением обязательств по Контракту.</w:t>
      </w:r>
    </w:p>
    <w:p>
      <w:pPr>
        <w:pStyle w:val="Style27"/>
        <w:numPr>
          <w:ilvl w:val="1"/>
          <w:numId w:val="1"/>
        </w:numPr>
        <w:ind w:firstLine="709"/>
        <w:rPr/>
      </w:pPr>
      <w:r>
        <w:rPr/>
        <w:t xml:space="preserve">Заказчик оплачивает выполненные работы в соответствии с условиями Контракта путем перечисления денежных средств на счет Подрядчика, реквизиты которого приведены в разделе 13 Контракта, </w:t>
      </w:r>
    </w:p>
    <w:p>
      <w:pPr>
        <w:pStyle w:val="Style27"/>
        <w:numPr>
          <w:ilvl w:val="1"/>
          <w:numId w:val="1"/>
        </w:numPr>
        <w:ind w:firstLine="709"/>
        <w:rPr/>
      </w:pPr>
      <w:r>
        <w:rPr/>
        <w:t>Обязательства Заказчика по оплате работ считаются исполненными с момента списания денежных средств со счетов Заказчика.</w:t>
      </w:r>
    </w:p>
    <w:p>
      <w:pPr>
        <w:pStyle w:val="Style27"/>
        <w:numPr>
          <w:ilvl w:val="1"/>
          <w:numId w:val="1"/>
        </w:numPr>
        <w:ind w:firstLine="709"/>
        <w:rPr/>
      </w:pPr>
      <w:r>
        <w:rPr/>
        <w:t>Заказчик вправе удерживать суммы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 (если в разделе «Порядок и сроки оплаты» приложения 2 к Контракту предусмотрен порядок оплаты за вычетом неустоек (штрафов, пеней)). Заказчик перечисляет за Подрядчика удержанную сумму неустоек (штрафов, пеней) в установленном порядке в доход соответствующего бюджета бюджетной системы Российской Федерации.</w:t>
      </w:r>
    </w:p>
    <w:p>
      <w:pPr>
        <w:pStyle w:val="Normal"/>
        <w:rPr/>
      </w:pPr>
      <w:r>
        <w:rPr/>
        <w:t>2.6. Выплата аванса не предусмотрена.</w:t>
      </w:r>
    </w:p>
    <w:p>
      <w:pPr>
        <w:pStyle w:val="Normal"/>
        <w:ind w:hanging="0"/>
        <w:rPr/>
      </w:pPr>
      <w:r>
        <w:rPr/>
      </w:r>
    </w:p>
    <w:p>
      <w:pPr>
        <w:pStyle w:val="Style26"/>
        <w:numPr>
          <w:ilvl w:val="0"/>
          <w:numId w:val="1"/>
        </w:numPr>
        <w:ind w:firstLine="709" w:left="0"/>
        <w:rPr/>
      </w:pPr>
      <w:r>
        <w:rPr/>
        <w:t>Сроки, порядок и место выполнения работ</w:t>
      </w:r>
    </w:p>
    <w:p>
      <w:pPr>
        <w:pStyle w:val="Style27"/>
        <w:numPr>
          <w:ilvl w:val="1"/>
          <w:numId w:val="1"/>
        </w:numPr>
        <w:ind w:firstLine="709"/>
        <w:rPr/>
      </w:pPr>
      <w:r>
        <w:rPr/>
        <w:t>Начало работ :        С момента подписания контракта.</w:t>
      </w:r>
    </w:p>
    <w:p>
      <w:pPr>
        <w:pStyle w:val="Style27"/>
        <w:numPr>
          <w:ilvl w:val="1"/>
          <w:numId w:val="1"/>
        </w:numPr>
        <w:ind w:firstLine="709"/>
        <w:rPr/>
      </w:pPr>
      <w:r>
        <w:rPr/>
        <w:t xml:space="preserve">Окончание работ :  </w:t>
      </w:r>
      <w:r>
        <w:rPr/>
        <w:t>11</w:t>
      </w:r>
      <w:r>
        <w:rPr/>
        <w:t>.</w:t>
      </w:r>
      <w:r>
        <w:rPr/>
        <w:t>09</w:t>
      </w:r>
      <w:r>
        <w:rPr/>
        <w:t>.202</w:t>
      </w:r>
      <w:r>
        <w:rPr/>
        <w:t>6</w:t>
      </w:r>
      <w:r>
        <w:rPr/>
        <w:t xml:space="preserve"> г.</w:t>
      </w:r>
    </w:p>
    <w:p>
      <w:pPr>
        <w:pStyle w:val="Style27"/>
        <w:numPr>
          <w:ilvl w:val="1"/>
          <w:numId w:val="1"/>
        </w:numPr>
        <w:rPr/>
      </w:pPr>
      <w:r>
        <w:rPr/>
        <w:t xml:space="preserve">Место выполнения работ: </w:t>
      </w:r>
      <w:r>
        <w:rPr>
          <w:rStyle w:val="FontStyle12"/>
          <w:rFonts w:eastAsia="Calibri" w:cs="Times New Roman" w:ascii="Times New Roman" w:hAnsi="Times New Roman"/>
          <w:b w:val="false"/>
          <w:bCs w:val="false"/>
          <w:i w:val="false"/>
          <w:iCs w:val="false"/>
          <w:color w:val="000000"/>
          <w:spacing w:val="1"/>
          <w:sz w:val="24"/>
          <w:szCs w:val="24"/>
          <w:lang w:eastAsia="en-US"/>
        </w:rPr>
        <w:t xml:space="preserve">301320, Россия, </w:t>
      </w:r>
      <w:r>
        <w:rPr>
          <w:rStyle w:val="FontStyle12"/>
          <w:rFonts w:eastAsia="Calibri" w:cs="Times New Roman" w:ascii="Times New Roman" w:hAnsi="Times New Roman"/>
          <w:b w:val="false"/>
          <w:bCs w:val="false"/>
          <w:i w:val="false"/>
          <w:iCs w:val="false"/>
          <w:strike w:val="false"/>
          <w:dstrike w:val="false"/>
          <w:outline w:val="false"/>
          <w:shadow w:val="false"/>
          <w:color w:val="000000"/>
          <w:spacing w:val="1"/>
          <w:sz w:val="24"/>
          <w:szCs w:val="24"/>
          <w:u w:val="none"/>
          <w:em w:val="none"/>
          <w:lang w:eastAsia="en-US"/>
        </w:rPr>
        <w:t>Тульская область, г. Венев, пл. Ильича. д. 4В</w:t>
      </w:r>
    </w:p>
    <w:p>
      <w:pPr>
        <w:pStyle w:val="Style27"/>
        <w:numPr>
          <w:ilvl w:val="1"/>
          <w:numId w:val="1"/>
        </w:numPr>
        <w:rPr/>
      </w:pPr>
      <w:r>
        <w:rPr/>
        <w:t>Подрядчик выполняет работы в соответствии со сметным расчетом (приложение №1) к Контракту и  с  иными условиями, предусмотренными Контрактом.</w:t>
      </w:r>
    </w:p>
    <w:p>
      <w:pPr>
        <w:pStyle w:val="Style27"/>
        <w:numPr>
          <w:ilvl w:val="1"/>
          <w:numId w:val="1"/>
        </w:numPr>
        <w:ind w:firstLine="709"/>
        <w:rPr/>
      </w:pPr>
      <w:r>
        <w:rPr/>
        <w:t>Подрядчик выполняет работы с использованием материалов и (или) изделий и (или) конструкций и (или) оборудования Подрядчика.</w:t>
      </w:r>
    </w:p>
    <w:p>
      <w:pPr>
        <w:pStyle w:val="Style27"/>
        <w:numPr>
          <w:ilvl w:val="0"/>
          <w:numId w:val="0"/>
        </w:numPr>
        <w:ind w:hanging="0" w:left="0"/>
        <w:rPr/>
      </w:pPr>
      <w:r>
        <w:rPr/>
      </w:r>
    </w:p>
    <w:p>
      <w:pPr>
        <w:pStyle w:val="Style26"/>
        <w:numPr>
          <w:ilvl w:val="0"/>
          <w:numId w:val="1"/>
        </w:numPr>
        <w:ind w:firstLine="709" w:left="0"/>
        <w:rPr/>
      </w:pPr>
      <w:r>
        <w:rPr/>
        <w:t>Порядок и сроки осуществления приемки выполненных работ</w:t>
        <w:br/>
        <w:t xml:space="preserve"> и оформления ее результатов</w:t>
      </w:r>
    </w:p>
    <w:p>
      <w:pPr>
        <w:pStyle w:val="Style27"/>
        <w:numPr>
          <w:ilvl w:val="1"/>
          <w:numId w:val="1"/>
        </w:numPr>
        <w:ind w:firstLine="709"/>
        <w:rPr/>
      </w:pPr>
      <w:r>
        <w:rPr/>
        <w:t xml:space="preserve">Заказчик осуществляет приемку работ после получения от Подрядчика документов, о выполнении работ: (Акт выполненных работ (Форма КС-2), справка о стоимость выполненных работ (Форма КС-3), счет.   </w:t>
      </w:r>
    </w:p>
    <w:p>
      <w:pPr>
        <w:pStyle w:val="Style27"/>
        <w:numPr>
          <w:ilvl w:val="1"/>
          <w:numId w:val="1"/>
        </w:numPr>
        <w:ind w:firstLine="709"/>
        <w:rPr/>
      </w:pPr>
      <w:r>
        <w:rPr/>
        <w:t xml:space="preserve">Заказчик в течении </w:t>
      </w:r>
      <w:r>
        <w:rPr/>
        <w:t>5 (пяти)</w:t>
      </w:r>
      <w:r>
        <w:rPr/>
        <w:t xml:space="preserve"> рабочих дней осуществляет приемку выполненных работ и подписывает или утверждает подписанный всеми членами приемочной комиссии (в случае создания Заказчиком приемочной комиссии)</w:t>
      </w:r>
      <w:r>
        <w:rPr>
          <w:b/>
        </w:rPr>
        <w:t xml:space="preserve"> </w:t>
      </w:r>
      <w:r>
        <w:rPr/>
        <w:t xml:space="preserve">документ о приемке, либо в те же сроки направляет Подрядчику мотивированный отказ от подписания документа о приемке, содержащий перечень выявленных недостатков (далее – Мотивированный отказ). </w:t>
      </w:r>
    </w:p>
    <w:p>
      <w:pPr>
        <w:pStyle w:val="Style27"/>
        <w:numPr>
          <w:ilvl w:val="1"/>
          <w:numId w:val="1"/>
        </w:numPr>
        <w:ind w:firstLine="709"/>
        <w:rPr/>
      </w:pPr>
      <w:r>
        <w:rPr/>
        <w:t xml:space="preserve">В случае получения Мотивированного отказа Подрядчик обязан устранить выявленные недостатки за свой счет  в течении 5 </w:t>
      </w:r>
      <w:r>
        <w:rPr/>
        <w:t>(пяти)</w:t>
      </w:r>
      <w:r>
        <w:rPr/>
        <w:t xml:space="preserve"> рабочих дней и направить Заказчику документы, указанные в п. 4.1. Контракта. Со дня получения от Подрядчика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p>
      <w:pPr>
        <w:pStyle w:val="Style27"/>
        <w:numPr>
          <w:ilvl w:val="1"/>
          <w:numId w:val="1"/>
        </w:numPr>
        <w:ind w:firstLine="709"/>
        <w:rPr/>
      </w:pPr>
      <w:r>
        <w:rPr/>
        <w:t>В случае, если выявленные недостатки, указанные в Мотивированном отказе, не устранены Подрядчиком, Заказчик вправе принять решение об одностороннем отказе от исполнения Контракта в соответствии с условиями Контракта.</w:t>
      </w:r>
    </w:p>
    <w:p>
      <w:pPr>
        <w:pStyle w:val="Style27"/>
        <w:numPr>
          <w:ilvl w:val="1"/>
          <w:numId w:val="1"/>
        </w:numPr>
        <w:ind w:firstLine="709"/>
        <w:rPr/>
      </w:pPr>
      <w:r>
        <w:rPr/>
        <w:t>Заказчик оплачивает выполненные работ в течении пяти рабочих дней после подписания акта выполненных работ(форма КС-2).</w:t>
      </w:r>
    </w:p>
    <w:p>
      <w:pPr>
        <w:pStyle w:val="Style27"/>
        <w:numPr>
          <w:ilvl w:val="0"/>
          <w:numId w:val="0"/>
        </w:numPr>
        <w:ind w:hanging="0" w:left="0"/>
        <w:rPr/>
      </w:pPr>
      <w:r>
        <w:rPr/>
      </w:r>
      <w:bookmarkStart w:id="0" w:name="_GoBack"/>
      <w:bookmarkStart w:id="1" w:name="_GoBack"/>
      <w:bookmarkEnd w:id="1"/>
    </w:p>
    <w:p>
      <w:pPr>
        <w:pStyle w:val="Style26"/>
        <w:numPr>
          <w:ilvl w:val="0"/>
          <w:numId w:val="1"/>
        </w:numPr>
        <w:ind w:firstLine="709" w:left="0"/>
        <w:rPr/>
      </w:pPr>
      <w:r>
        <w:rPr/>
        <w:t>Права и обязанности Сторон</w:t>
      </w:r>
    </w:p>
    <w:p>
      <w:pPr>
        <w:pStyle w:val="Style27"/>
        <w:numPr>
          <w:ilvl w:val="1"/>
          <w:numId w:val="1"/>
        </w:numPr>
        <w:ind w:firstLine="709"/>
        <w:rPr/>
      </w:pPr>
      <w:r>
        <w:rPr/>
        <w:t>Заказчик вправе:</w:t>
      </w:r>
    </w:p>
    <w:p>
      <w:pPr>
        <w:pStyle w:val="Style28"/>
        <w:numPr>
          <w:ilvl w:val="2"/>
          <w:numId w:val="1"/>
        </w:numPr>
        <w:ind w:firstLine="709"/>
        <w:rPr>
          <w:lang w:eastAsia="en-US"/>
        </w:rPr>
      </w:pPr>
      <w:r>
        <w:rPr>
          <w:lang w:eastAsia="en-US"/>
        </w:rPr>
        <w:t>Требовать от Подрядчика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p>
      <w:pPr>
        <w:pStyle w:val="Style28"/>
        <w:numPr>
          <w:ilvl w:val="2"/>
          <w:numId w:val="1"/>
        </w:numPr>
        <w:ind w:firstLine="709"/>
        <w:rPr>
          <w:lang w:eastAsia="en-US"/>
        </w:rPr>
      </w:pPr>
      <w:r>
        <w:rPr>
          <w:lang w:eastAsia="en-US"/>
        </w:rPr>
        <w:t>Требовать от Подрядчика представления надлежащим образом оформленных документов, подтверждающих исполнение обязательств в соответствии с условиями Контракта.</w:t>
      </w:r>
    </w:p>
    <w:p>
      <w:pPr>
        <w:pStyle w:val="Style28"/>
        <w:numPr>
          <w:ilvl w:val="2"/>
          <w:numId w:val="1"/>
        </w:numPr>
        <w:ind w:firstLine="709"/>
        <w:rPr>
          <w:lang w:eastAsia="en-US"/>
        </w:rPr>
      </w:pPr>
      <w:r>
        <w:rPr>
          <w:lang w:eastAsia="en-US"/>
        </w:rPr>
        <w:t>Запрашивать у Подрядчика информацию об исполнении им обязательств по Контракту.</w:t>
      </w:r>
    </w:p>
    <w:p>
      <w:pPr>
        <w:pStyle w:val="Style28"/>
        <w:numPr>
          <w:ilvl w:val="2"/>
          <w:numId w:val="1"/>
        </w:numPr>
        <w:ind w:firstLine="709"/>
        <w:rPr>
          <w:lang w:eastAsia="en-US"/>
        </w:rPr>
      </w:pPr>
      <w:r>
        <w:rPr>
          <w:lang w:eastAsia="en-US"/>
        </w:rPr>
        <w:t xml:space="preserve">Провести экспертизу </w:t>
      </w:r>
      <w:r>
        <w:rPr/>
        <w:t>выполненных работ</w:t>
      </w:r>
      <w:r>
        <w:rPr>
          <w:lang w:eastAsia="en-US"/>
        </w:rPr>
        <w:t xml:space="preserve"> с привлечением экспертов, экспертных организаций до принятия решения об одностороннем отказе от исполнения Контракта.</w:t>
      </w:r>
    </w:p>
    <w:p>
      <w:pPr>
        <w:pStyle w:val="Style28"/>
        <w:numPr>
          <w:ilvl w:val="2"/>
          <w:numId w:val="1"/>
        </w:numPr>
        <w:ind w:firstLine="709"/>
        <w:rPr>
          <w:lang w:eastAsia="en-US"/>
        </w:rPr>
      </w:pPr>
      <w:r>
        <w:rPr>
          <w:lang w:eastAsia="en-US"/>
        </w:rPr>
        <w:t>Требовать возмещения убытков, причиненных в связи с неисполнением и (или) нарушением установленных сроков исполнения Подрядчиком обязательств, предусмотренных Контрактом.</w:t>
      </w:r>
    </w:p>
    <w:p>
      <w:pPr>
        <w:pStyle w:val="Style28"/>
        <w:numPr>
          <w:ilvl w:val="2"/>
          <w:numId w:val="1"/>
        </w:numPr>
        <w:ind w:firstLine="709"/>
        <w:rPr>
          <w:lang w:eastAsia="en-US"/>
        </w:rPr>
      </w:pPr>
      <w:r>
        <w:rPr>
          <w:lang w:eastAsia="en-US"/>
        </w:rPr>
        <w:t>Во всякое время проверять ход и качество работ, выполняемых Подрядчиком</w:t>
      </w:r>
      <w:r>
        <w:rPr/>
        <w:t>, не вмешиваясь в его деятельность.</w:t>
      </w:r>
    </w:p>
    <w:p>
      <w:pPr>
        <w:pStyle w:val="Style28"/>
        <w:numPr>
          <w:ilvl w:val="2"/>
          <w:numId w:val="1"/>
        </w:numPr>
        <w:ind w:firstLine="709"/>
        <w:rPr>
          <w:lang w:eastAsia="en-US"/>
        </w:rPr>
      </w:pPr>
      <w:r>
        <w:rPr/>
        <w:t xml:space="preserve">Ссылаться на обнаруженные им недостатки в ходе выполнения </w:t>
      </w:r>
      <w:r>
        <w:rPr>
          <w:lang w:eastAsia="en-US"/>
        </w:rPr>
        <w:t>работ</w:t>
      </w:r>
      <w:r>
        <w:rPr/>
        <w:t xml:space="preserve"> и при их приемке, которые не были оговорены в документе о приемке, но фактически отражены в документе, оформленном по результатам экспертизы, и требовать устранения таких недостатков.</w:t>
      </w:r>
    </w:p>
    <w:p>
      <w:pPr>
        <w:pStyle w:val="Style28"/>
        <w:numPr>
          <w:ilvl w:val="2"/>
          <w:numId w:val="1"/>
        </w:numPr>
        <w:ind w:firstLine="709"/>
        <w:rPr>
          <w:lang w:eastAsia="en-US"/>
        </w:rPr>
      </w:pPr>
      <w:r>
        <w:rPr>
          <w:lang w:eastAsia="en-US"/>
        </w:rPr>
        <w:t xml:space="preserve">Привлечь </w:t>
      </w:r>
      <w:r>
        <w:rPr/>
        <w:t>Подрядчика</w:t>
      </w:r>
      <w:r>
        <w:rPr>
          <w:lang w:eastAsia="en-US"/>
        </w:rPr>
        <w:t xml:space="preserve"> к участию в деле по иску, предъявленному к Заказчику третьим лицом в связи с недостатками, выявленными при выполнении работ в соответствии с условиями Контракта.</w:t>
      </w:r>
    </w:p>
    <w:p>
      <w:pPr>
        <w:pStyle w:val="Style28"/>
        <w:numPr>
          <w:ilvl w:val="2"/>
          <w:numId w:val="1"/>
        </w:numPr>
        <w:ind w:firstLine="709"/>
        <w:rPr>
          <w:lang w:eastAsia="en-US"/>
        </w:rPr>
      </w:pPr>
      <w:r>
        <w:rPr>
          <w:lang w:eastAsia="en-US"/>
        </w:rPr>
        <w:t>Осуществлять иные права, предусмотренные законодательством Российской Федерации и Контрактом.</w:t>
      </w:r>
    </w:p>
    <w:p>
      <w:pPr>
        <w:pStyle w:val="Style27"/>
        <w:numPr>
          <w:ilvl w:val="1"/>
          <w:numId w:val="1"/>
        </w:numPr>
        <w:ind w:firstLine="709"/>
        <w:rPr/>
      </w:pPr>
      <w:r>
        <w:rPr/>
        <w:t>Заказчик обязан:</w:t>
      </w:r>
    </w:p>
    <w:p>
      <w:pPr>
        <w:pStyle w:val="Style28"/>
        <w:numPr>
          <w:ilvl w:val="2"/>
          <w:numId w:val="1"/>
        </w:numPr>
        <w:ind w:firstLine="709"/>
        <w:rPr>
          <w:lang w:eastAsia="en-US"/>
        </w:rPr>
      </w:pPr>
      <w:r>
        <w:rPr>
          <w:lang w:eastAsia="en-US"/>
        </w:rPr>
        <w:t>Осуществлять приемку работ и производить их оплату в порядке и сроки, установленные Контрактом.</w:t>
      </w:r>
    </w:p>
    <w:p>
      <w:pPr>
        <w:pStyle w:val="Style28"/>
        <w:numPr>
          <w:ilvl w:val="2"/>
          <w:numId w:val="1"/>
        </w:numPr>
        <w:ind w:firstLine="709"/>
        <w:rPr>
          <w:lang w:eastAsia="en-US"/>
        </w:rPr>
      </w:pPr>
      <w:r>
        <w:rPr>
          <w:lang w:eastAsia="en-US"/>
        </w:rPr>
        <w:t xml:space="preserve">Сообщать в письменной форме </w:t>
      </w:r>
      <w:r>
        <w:rPr/>
        <w:t>Подрядчику</w:t>
      </w:r>
      <w:r>
        <w:rPr>
          <w:lang w:eastAsia="en-US"/>
        </w:rPr>
        <w:t xml:space="preserve"> о недостатках, </w:t>
      </w:r>
      <w:r>
        <w:rPr/>
        <w:t>обнаруженных в ходе исполнения Подрядчиком своих обязательств по Контракту</w:t>
      </w:r>
      <w:r>
        <w:rPr>
          <w:lang w:eastAsia="en-US"/>
        </w:rPr>
        <w:t>, в течение 5 (пяти) рабочих дней со дня обнаружения таких недостатков.</w:t>
      </w:r>
    </w:p>
    <w:p>
      <w:pPr>
        <w:pStyle w:val="Style28"/>
        <w:numPr>
          <w:ilvl w:val="2"/>
          <w:numId w:val="1"/>
        </w:numPr>
        <w:ind w:firstLine="709"/>
        <w:rPr>
          <w:lang w:eastAsia="en-US"/>
        </w:rPr>
      </w:pPr>
      <w:r>
        <w:rPr>
          <w:lang w:eastAsia="en-US"/>
        </w:rPr>
        <w:t>Требовать уплаты неустойки (штрафов, пеней) в соответствии с условиями Контракта.</w:t>
      </w:r>
    </w:p>
    <w:p>
      <w:pPr>
        <w:pStyle w:val="Style28"/>
        <w:numPr>
          <w:ilvl w:val="2"/>
          <w:numId w:val="1"/>
        </w:numPr>
        <w:ind w:firstLine="709"/>
        <w:rPr>
          <w:lang w:eastAsia="en-US"/>
        </w:rPr>
      </w:pPr>
      <w:r>
        <w:rPr>
          <w:lang w:eastAsia="en-US"/>
        </w:rPr>
        <w:t>Осуществлять контроль за исполнением</w:t>
      </w:r>
      <w:r>
        <w:rPr>
          <w:b/>
          <w:lang w:eastAsia="en-US"/>
        </w:rPr>
        <w:t xml:space="preserve"> </w:t>
      </w:r>
      <w:r>
        <w:rPr>
          <w:lang w:eastAsia="en-US"/>
        </w:rPr>
        <w:t>Подрядчиком</w:t>
      </w:r>
      <w:r>
        <w:rPr>
          <w:b/>
        </w:rPr>
        <w:t xml:space="preserve"> </w:t>
      </w:r>
      <w:r>
        <w:rPr>
          <w:lang w:eastAsia="en-US"/>
        </w:rPr>
        <w:t>условий Контракта в соответствии с законодательством Российской Федерации.</w:t>
      </w:r>
    </w:p>
    <w:p>
      <w:pPr>
        <w:pStyle w:val="Style28"/>
        <w:numPr>
          <w:ilvl w:val="2"/>
          <w:numId w:val="1"/>
        </w:numPr>
        <w:ind w:firstLine="709"/>
        <w:rPr>
          <w:lang w:eastAsia="en-US"/>
        </w:rPr>
      </w:pPr>
      <w:r>
        <w:rPr>
          <w:lang w:eastAsia="en-US"/>
        </w:rPr>
        <w:t xml:space="preserve">Представлять </w:t>
      </w:r>
      <w:r>
        <w:rPr/>
        <w:t>Подрядчику</w:t>
      </w:r>
      <w:r>
        <w:rPr>
          <w:lang w:eastAsia="en-US"/>
        </w:rPr>
        <w:t xml:space="preserve">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pPr>
        <w:pStyle w:val="Style28"/>
        <w:numPr>
          <w:ilvl w:val="2"/>
          <w:numId w:val="1"/>
        </w:numPr>
        <w:ind w:firstLine="709"/>
        <w:rPr>
          <w:lang w:eastAsia="en-US"/>
        </w:rPr>
      </w:pPr>
      <w:r>
        <w:rPr>
          <w:lang w:eastAsia="en-US"/>
        </w:rPr>
        <w:t xml:space="preserve">В течение 5 (пяти) рабочих дней со дня получения от </w:t>
      </w:r>
      <w:r>
        <w:rPr/>
        <w:t>Подрядчика</w:t>
      </w:r>
      <w:r>
        <w:rPr>
          <w:lang w:eastAsia="en-US"/>
        </w:rPr>
        <w:t xml:space="preserve"> информации об изменении реквизитов </w:t>
      </w:r>
      <w:r>
        <w:rPr/>
        <w:t>Подрядчика</w:t>
      </w:r>
      <w:r>
        <w:rPr>
          <w:lang w:eastAsia="en-US"/>
        </w:rPr>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pPr>
        <w:pStyle w:val="Style28"/>
        <w:numPr>
          <w:ilvl w:val="2"/>
          <w:numId w:val="1"/>
        </w:numPr>
        <w:ind w:firstLine="709"/>
        <w:rPr>
          <w:lang w:eastAsia="en-US"/>
        </w:rPr>
      </w:pPr>
      <w:r>
        <w:rPr>
          <w:lang w:eastAsia="en-US"/>
        </w:rPr>
        <w:t xml:space="preserve">Представлять </w:t>
      </w:r>
      <w:r>
        <w:rPr/>
        <w:t>Подрядчику</w:t>
      </w:r>
      <w:r>
        <w:rPr>
          <w:lang w:eastAsia="en-US"/>
        </w:rPr>
        <w:t xml:space="preserve"> разъяснения и уточнения относительно исполнения обязательств в рамках Контракта в течение 2 (двух) рабочих дней со дня получения запроса согласно подпункту 5.3.2 пункта 5.3 Контракта.</w:t>
      </w:r>
    </w:p>
    <w:p>
      <w:pPr>
        <w:pStyle w:val="Style28"/>
        <w:numPr>
          <w:ilvl w:val="2"/>
          <w:numId w:val="1"/>
        </w:numPr>
        <w:ind w:firstLine="709"/>
        <w:rPr>
          <w:lang w:eastAsia="en-US"/>
        </w:rPr>
      </w:pPr>
      <w:r>
        <w:rPr>
          <w:lang w:eastAsia="en-US"/>
        </w:rPr>
        <w:t xml:space="preserve">В срок, не превышающий 3 (трех) рабочих дней со дня получения от </w:t>
      </w:r>
      <w:r>
        <w:rPr/>
        <w:t>Подрядчика</w:t>
      </w:r>
      <w:r>
        <w:rPr>
          <w:lang w:eastAsia="en-US"/>
        </w:rPr>
        <w:t xml:space="preserve"> предупреждения об обстоятельствах, о которых </w:t>
      </w:r>
      <w:r>
        <w:rPr/>
        <w:t>Подрядчик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Подрядчика.</w:t>
      </w:r>
    </w:p>
    <w:p>
      <w:pPr>
        <w:pStyle w:val="Style28"/>
        <w:numPr>
          <w:ilvl w:val="2"/>
          <w:numId w:val="1"/>
        </w:numPr>
        <w:ind w:firstLine="709"/>
        <w:rPr>
          <w:lang w:eastAsia="en-US"/>
        </w:rPr>
      </w:pPr>
      <w:r>
        <w:rPr>
          <w:lang w:eastAsia="en-US"/>
        </w:rPr>
        <w:t>Исполнять иные обязанности в соответствии с законодательством Российской Федерации и Контрактом.</w:t>
      </w:r>
    </w:p>
    <w:p>
      <w:pPr>
        <w:pStyle w:val="Style28"/>
        <w:numPr>
          <w:ilvl w:val="2"/>
          <w:numId w:val="1"/>
        </w:numPr>
        <w:ind w:firstLine="709"/>
        <w:rPr>
          <w:lang w:eastAsia="en-US"/>
        </w:rPr>
      </w:pPr>
      <w:r>
        <w:rPr>
          <w:lang w:eastAsia="en-US"/>
        </w:rPr>
        <w:t>Выполнить обязательства в соответствии с разделом «Иные обязательства» приложения 2 к Контракту (при наличии таких обязательств).</w:t>
      </w:r>
    </w:p>
    <w:p>
      <w:pPr>
        <w:pStyle w:val="Normal"/>
        <w:rPr>
          <w:lang w:eastAsia="en-US"/>
        </w:rPr>
      </w:pPr>
      <w:r>
        <w:rPr>
          <w:lang w:eastAsia="en-US"/>
        </w:rPr>
      </w:r>
    </w:p>
    <w:p>
      <w:pPr>
        <w:pStyle w:val="Style27"/>
        <w:numPr>
          <w:ilvl w:val="1"/>
          <w:numId w:val="1"/>
        </w:numPr>
        <w:ind w:firstLine="709"/>
        <w:rPr>
          <w:lang w:val="en-US"/>
        </w:rPr>
      </w:pPr>
      <w:r>
        <w:rPr>
          <w:lang w:val="en-US"/>
        </w:rPr>
        <w:t xml:space="preserve">Подрядчик </w:t>
      </w:r>
      <w:r>
        <w:rPr/>
        <w:t>вправе:</w:t>
      </w:r>
    </w:p>
    <w:p>
      <w:pPr>
        <w:pStyle w:val="Style28"/>
        <w:numPr>
          <w:ilvl w:val="2"/>
          <w:numId w:val="1"/>
        </w:numPr>
        <w:ind w:firstLine="709"/>
        <w:rPr>
          <w:lang w:eastAsia="en-US"/>
        </w:rPr>
      </w:pPr>
      <w:r>
        <w:rPr>
          <w:lang w:eastAsia="en-US"/>
        </w:rPr>
        <w:t>Требовать от Заказчика надлежащего исполнения обязательств в соответствии с Контрактом.</w:t>
      </w:r>
    </w:p>
    <w:p>
      <w:pPr>
        <w:pStyle w:val="Style28"/>
        <w:numPr>
          <w:ilvl w:val="2"/>
          <w:numId w:val="1"/>
        </w:numPr>
        <w:ind w:firstLine="709"/>
        <w:rPr>
          <w:lang w:eastAsia="en-US"/>
        </w:rPr>
      </w:pPr>
      <w:r>
        <w:rPr>
          <w:lang w:eastAsia="en-US"/>
        </w:rPr>
        <w:t>Запрашивать у Заказчика разъяснения и уточнения относительно исполнения обязательств в рамках Контракта.</w:t>
      </w:r>
    </w:p>
    <w:p>
      <w:pPr>
        <w:pStyle w:val="Style28"/>
        <w:numPr>
          <w:ilvl w:val="2"/>
          <w:numId w:val="1"/>
        </w:numPr>
        <w:ind w:firstLine="709"/>
        <w:rPr>
          <w:lang w:eastAsia="en-US"/>
        </w:rPr>
      </w:pPr>
      <w:r>
        <w:rPr>
          <w:lang w:eastAsia="en-US"/>
        </w:rPr>
        <w:t>Осуществлять иные права, предусмотренные законодательством Российской Федерации и Контрактом.</w:t>
      </w:r>
    </w:p>
    <w:p>
      <w:pPr>
        <w:pStyle w:val="Style28"/>
        <w:numPr>
          <w:ilvl w:val="0"/>
          <w:numId w:val="0"/>
        </w:numPr>
        <w:ind w:firstLine="709" w:left="0"/>
        <w:rPr>
          <w:lang w:eastAsia="en-US"/>
        </w:rPr>
      </w:pPr>
      <w:r>
        <w:rPr>
          <w:lang w:eastAsia="en-US"/>
        </w:rPr>
      </w:r>
    </w:p>
    <w:p>
      <w:pPr>
        <w:pStyle w:val="Style27"/>
        <w:numPr>
          <w:ilvl w:val="1"/>
          <w:numId w:val="1"/>
        </w:numPr>
        <w:ind w:firstLine="709"/>
        <w:rPr>
          <w:lang w:val="en-US"/>
        </w:rPr>
      </w:pPr>
      <w:bookmarkStart w:id="2" w:name="_Ref41935872"/>
      <w:r>
        <w:rPr>
          <w:lang w:val="en-US"/>
        </w:rPr>
        <w:t xml:space="preserve">Подрядчик </w:t>
      </w:r>
      <w:r>
        <w:rPr/>
        <w:t>обязан</w:t>
      </w:r>
      <w:r>
        <w:rPr>
          <w:lang w:val="en-US"/>
        </w:rPr>
        <w:t>:</w:t>
      </w:r>
      <w:bookmarkEnd w:id="2"/>
    </w:p>
    <w:p>
      <w:pPr>
        <w:pStyle w:val="Normal"/>
        <w:rPr/>
      </w:pPr>
      <w:r>
        <w:rPr/>
        <w:t>5.4.1. В соответствии с условиями Контракта выполнить работы в полном объеме, надлежащего качества и в установленные сроки, а также передать Заказчику результат работ в порядке и сроки, установленные условиями Контракта.</w:t>
      </w:r>
    </w:p>
    <w:p>
      <w:pPr>
        <w:pStyle w:val="Normal"/>
        <w:rPr/>
      </w:pPr>
      <w:r>
        <w:rPr/>
        <w:t>5.4.2. Предоставлять в течение 2 (двух) рабочих дней со дня получения запроса от Заказчика согласно подпункту 5.1.3 пункта 5.1 Контракта достоверную информацию о ходе исполнения своих обязательств по Контракту.</w:t>
      </w:r>
    </w:p>
    <w:p>
      <w:pPr>
        <w:pStyle w:val="Normal"/>
        <w:rPr/>
      </w:pPr>
      <w:r>
        <w:rPr/>
        <w:t>5.4.3. Представлять Заказчику информацию обо всех обстоятельствах, препятствующих исполнению Контракта, в течение 1 (одного) рабочего дня со дня обнаружения Подрядчиком таких обстоятельств.</w:t>
      </w:r>
    </w:p>
    <w:p>
      <w:pPr>
        <w:pStyle w:val="Normal"/>
        <w:rPr/>
      </w:pPr>
      <w:r>
        <w:rPr/>
        <w:t>5.4.4. Представлять Заказчику информацию об изменении реквизитов Подрядчика,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pPr>
        <w:pStyle w:val="Normal"/>
        <w:rPr/>
      </w:pPr>
      <w:r>
        <w:rPr/>
        <w:t>5.4.5.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pPr>
        <w:pStyle w:val="Normal"/>
        <w:rPr/>
      </w:pPr>
      <w:r>
        <w:rPr/>
        <w:t>5.4.6. Обеспечить соответствие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p>
    <w:p>
      <w:pPr>
        <w:pStyle w:val="Normal"/>
        <w:rPr/>
      </w:pPr>
      <w:r>
        <w:rPr/>
        <w:t>5.4.7. Передать Заказчику вместе с результатом работ информацию, касающуюся эксплуатации или иного использования предмета Контракта.</w:t>
      </w:r>
    </w:p>
    <w:p>
      <w:pPr>
        <w:pStyle w:val="Normal"/>
        <w:rPr/>
      </w:pPr>
      <w:r>
        <w:rPr/>
        <w:t>5.4.8. Устранять за свой счет выявленные в процессе выполнения работ, при приемке выполненных работ и в течение гарантийного срока недостатки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pPr>
        <w:pStyle w:val="Normal"/>
        <w:rPr/>
      </w:pPr>
      <w:r>
        <w:rPr/>
        <w:t>5.4.9. Исполнять иные обязанности в соответствии с законодательством Российской Федерации и настоящим Контрактом.</w:t>
      </w:r>
    </w:p>
    <w:p>
      <w:pPr>
        <w:pStyle w:val="Normal"/>
        <w:rPr/>
      </w:pPr>
      <w:r>
        <w:rPr/>
      </w:r>
    </w:p>
    <w:p>
      <w:pPr>
        <w:pStyle w:val="Style26"/>
        <w:numPr>
          <w:ilvl w:val="0"/>
          <w:numId w:val="1"/>
        </w:numPr>
        <w:ind w:firstLine="709" w:left="0"/>
        <w:rPr/>
      </w:pPr>
      <w:r>
        <w:rPr/>
        <w:t>Гарантии</w:t>
      </w:r>
    </w:p>
    <w:p>
      <w:pPr>
        <w:pStyle w:val="Normal"/>
        <w:rPr/>
      </w:pPr>
      <w:r>
        <w:rPr/>
        <w:t>6.1. Подрядчик гарантирует качество и безопасность работ в соответствии с действующим законодательством Российской Федерации, а также соответствие работ требованиям Контракта.</w:t>
      </w:r>
    </w:p>
    <w:p>
      <w:pPr>
        <w:pStyle w:val="Normal"/>
        <w:rPr/>
      </w:pPr>
      <w:r>
        <w:rPr/>
        <w:t>6.2. Гарантийный срок на все выполненные работы, примененные материалы и оборудование Подрядчика: составляет 12 месяцев.</w:t>
      </w:r>
    </w:p>
    <w:p>
      <w:pPr>
        <w:pStyle w:val="Normal"/>
        <w:rPr/>
      </w:pPr>
      <w:r>
        <w:rPr/>
        <w:t xml:space="preserve">6.3.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w:t>
      </w:r>
    </w:p>
    <w:p>
      <w:pPr>
        <w:pStyle w:val="Normal"/>
        <w:rPr/>
      </w:pPr>
      <w:r>
        <w:rPr/>
        <w:t>6.4. В ходе исполнения гарантийных обязательств Подрядчик обязуется за свой счет устранять недостатки выполненных работ в соответствии с требованиями законодательства Российской Федерации.</w:t>
      </w:r>
    </w:p>
    <w:p>
      <w:pPr>
        <w:pStyle w:val="Normal"/>
        <w:rPr/>
      </w:pPr>
      <w:r>
        <w:rPr/>
        <w:t>6.5. Не позднее двух рабочих дней с даты обнаружения недостатков работ Заказчик направляет Подрядчику уведомление с указанием выявленных недостатков и сроков их устранения. Подрядчик обязан устранить недостатки в срок, установленный в уведомлении.</w:t>
      </w:r>
    </w:p>
    <w:p>
      <w:pPr>
        <w:pStyle w:val="Style27"/>
        <w:numPr>
          <w:ilvl w:val="0"/>
          <w:numId w:val="0"/>
        </w:numPr>
        <w:ind w:firstLine="709" w:left="0"/>
        <w:rPr/>
      </w:pPr>
      <w:r>
        <w:rPr/>
      </w:r>
    </w:p>
    <w:p>
      <w:pPr>
        <w:pStyle w:val="Style26"/>
        <w:numPr>
          <w:ilvl w:val="0"/>
          <w:numId w:val="1"/>
        </w:numPr>
        <w:ind w:firstLine="709" w:left="0"/>
        <w:rPr/>
      </w:pPr>
      <w:r>
        <w:rPr/>
        <w:t>Ответственность Сторон</w:t>
      </w:r>
    </w:p>
    <w:p>
      <w:pPr>
        <w:pStyle w:val="Style27"/>
        <w:numPr>
          <w:ilvl w:val="1"/>
          <w:numId w:val="1"/>
        </w:numPr>
        <w:ind w:firstLine="709"/>
        <w:rPr/>
      </w:pPr>
      <w:r>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pPr>
        <w:pStyle w:val="Normal"/>
        <w:rPr/>
      </w:pPr>
      <w:r>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pPr>
        <w:pStyle w:val="Style27"/>
        <w:numPr>
          <w:ilvl w:val="1"/>
          <w:numId w:val="1"/>
        </w:numPr>
        <w:ind w:firstLine="709"/>
        <w:rPr/>
      </w:pPr>
      <w:r>
        <w:rPr/>
        <w:t>Ответственность Заказчика:</w:t>
      </w:r>
    </w:p>
    <w:p>
      <w:pPr>
        <w:pStyle w:val="Style28"/>
        <w:numPr>
          <w:ilvl w:val="2"/>
          <w:numId w:val="1"/>
        </w:numPr>
        <w:ind w:firstLine="709"/>
        <w:rPr>
          <w:lang w:eastAsia="en-US"/>
        </w:rPr>
      </w:pPr>
      <w:r>
        <w:rPr>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t>Подрядчик</w:t>
      </w:r>
      <w:r>
        <w:rPr>
          <w:lang w:eastAsia="en-US"/>
        </w:rPr>
        <w:t xml:space="preserve"> вправе потребовать уплаты неустоек (штрафов, пеней).</w:t>
      </w:r>
    </w:p>
    <w:p>
      <w:pPr>
        <w:pStyle w:val="Style28"/>
        <w:numPr>
          <w:ilvl w:val="2"/>
          <w:numId w:val="1"/>
        </w:numPr>
        <w:ind w:firstLine="709"/>
        <w:rPr>
          <w:lang w:eastAsia="en-US"/>
        </w:rPr>
      </w:pPr>
      <w:r>
        <w:rPr>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yle28"/>
        <w:numPr>
          <w:ilvl w:val="2"/>
          <w:numId w:val="1"/>
        </w:numPr>
        <w:ind w:firstLine="709"/>
        <w:rPr>
          <w:lang w:eastAsia="en-US"/>
        </w:rPr>
      </w:pPr>
      <w:r>
        <w:rPr>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Normal"/>
        <w:rPr>
          <w:lang w:eastAsia="en-US"/>
        </w:rPr>
      </w:pPr>
      <w:r>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Pr>
          <w:u w:val="single"/>
          <w:lang w:eastAsia="en-US"/>
        </w:rPr>
        <w:t xml:space="preserve">  1 000  </w:t>
      </w:r>
      <w:r>
        <w:rPr>
          <w:lang w:eastAsia="en-US"/>
        </w:rPr>
        <w:t xml:space="preserve"> рублей.</w:t>
      </w:r>
    </w:p>
    <w:p>
      <w:pPr>
        <w:pStyle w:val="Style28"/>
        <w:numPr>
          <w:ilvl w:val="2"/>
          <w:numId w:val="1"/>
        </w:numPr>
        <w:ind w:firstLine="709"/>
        <w:rPr>
          <w:lang w:eastAsia="en-US"/>
        </w:rPr>
      </w:pPr>
      <w:r>
        <w:rPr>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yle27"/>
        <w:numPr>
          <w:ilvl w:val="1"/>
          <w:numId w:val="1"/>
        </w:numPr>
        <w:ind w:firstLine="709"/>
        <w:rPr/>
      </w:pPr>
      <w:bookmarkStart w:id="3" w:name="_Ref41935941"/>
      <w:r>
        <w:rPr/>
        <w:t>Ответственность Подрядчика:</w:t>
      </w:r>
      <w:bookmarkEnd w:id="3"/>
    </w:p>
    <w:p>
      <w:pPr>
        <w:pStyle w:val="Style28"/>
        <w:numPr>
          <w:ilvl w:val="2"/>
          <w:numId w:val="1"/>
        </w:numPr>
        <w:ind w:firstLine="709"/>
        <w:rPr>
          <w:lang w:eastAsia="en-US"/>
        </w:rPr>
      </w:pPr>
      <w:r>
        <w:rPr>
          <w:lang w:eastAsia="en-US"/>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Style28"/>
        <w:numPr>
          <w:ilvl w:val="2"/>
          <w:numId w:val="1"/>
        </w:numPr>
        <w:ind w:firstLine="709"/>
        <w:rPr>
          <w:lang w:eastAsia="en-US"/>
        </w:rPr>
      </w:pPr>
      <w:bookmarkStart w:id="4" w:name="_Ref41935932"/>
      <w:r>
        <w:rPr>
          <w:lang w:eastAsia="en-US"/>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w:t>
      </w:r>
      <w:bookmarkEnd w:id="4"/>
    </w:p>
    <w:p>
      <w:pPr>
        <w:pStyle w:val="Style28"/>
        <w:numPr>
          <w:ilvl w:val="2"/>
          <w:numId w:val="1"/>
        </w:numPr>
        <w:ind w:firstLine="709"/>
        <w:rPr>
          <w:lang w:eastAsia="en-US"/>
        </w:rPr>
      </w:pPr>
      <w:r>
        <w:rPr>
          <w:lang w:eastAsia="en-US"/>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pPr>
        <w:pStyle w:val="Style28"/>
        <w:numPr>
          <w:ilvl w:val="2"/>
          <w:numId w:val="1"/>
        </w:numPr>
        <w:ind w:firstLine="709"/>
        <w:rPr>
          <w:lang w:eastAsia="en-US"/>
        </w:rPr>
      </w:pPr>
      <w:r>
        <w:rPr>
          <w:lang w:eastAsia="en-US"/>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Pr>
          <w:u w:val="single"/>
          <w:lang w:eastAsia="en-US"/>
        </w:rPr>
        <w:t xml:space="preserve">  _1000 рублей</w:t>
      </w:r>
      <w:r>
        <w:rPr>
          <w:lang w:eastAsia="en-US"/>
        </w:rPr>
        <w:t>.</w:t>
      </w:r>
    </w:p>
    <w:p>
      <w:pPr>
        <w:pStyle w:val="Style28"/>
        <w:numPr>
          <w:ilvl w:val="2"/>
          <w:numId w:val="1"/>
        </w:numPr>
        <w:ind w:firstLine="709"/>
        <w:rPr>
          <w:lang w:eastAsia="en-US"/>
        </w:rPr>
      </w:pPr>
      <w:r>
        <w:rPr>
          <w:lang w:eastAsia="en-US"/>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штраф устанавливается в размере </w:t>
      </w:r>
      <w:r>
        <w:rPr>
          <w:u w:val="single"/>
          <w:lang w:eastAsia="en-US"/>
        </w:rPr>
        <w:t xml:space="preserve">  1 000  </w:t>
      </w:r>
      <w:r>
        <w:rPr>
          <w:lang w:eastAsia="en-US"/>
        </w:rPr>
        <w:t xml:space="preserve"> рублей.</w:t>
      </w:r>
    </w:p>
    <w:p>
      <w:pPr>
        <w:pStyle w:val="Style28"/>
        <w:numPr>
          <w:ilvl w:val="2"/>
          <w:numId w:val="1"/>
        </w:numPr>
        <w:ind w:firstLine="709"/>
        <w:rPr>
          <w:lang w:eastAsia="en-US"/>
        </w:rPr>
      </w:pPr>
      <w:r>
        <w:rPr>
          <w:lang w:eastAsia="en-US"/>
        </w:rPr>
        <w:t>За каждый день просрочки исполнения Подрядчиком обязательства, предусмотренного подпунктом 5.4.6 пункта 5.4 Контракта, начисляется пеня в размере, определенном в порядке, установленном в соответствии с подпунктом 7.3.2 пункта 7.3 Контракта.</w:t>
      </w:r>
    </w:p>
    <w:p>
      <w:pPr>
        <w:pStyle w:val="Style28"/>
        <w:numPr>
          <w:ilvl w:val="2"/>
          <w:numId w:val="1"/>
        </w:numPr>
        <w:ind w:firstLine="709"/>
        <w:rPr>
          <w:lang w:eastAsia="en-US"/>
        </w:rPr>
      </w:pPr>
      <w:r>
        <w:rPr>
          <w:lang w:eastAsia="en-US"/>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Style27"/>
        <w:numPr>
          <w:ilvl w:val="1"/>
          <w:numId w:val="1"/>
        </w:numPr>
        <w:ind w:firstLine="709"/>
        <w:rPr/>
      </w:pPr>
      <w: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27"/>
        <w:numPr>
          <w:ilvl w:val="0"/>
          <w:numId w:val="0"/>
        </w:numPr>
        <w:ind w:hanging="0" w:left="0"/>
        <w:rPr/>
      </w:pPr>
      <w:r>
        <w:rPr/>
      </w:r>
    </w:p>
    <w:p>
      <w:pPr>
        <w:pStyle w:val="Style26"/>
        <w:numPr>
          <w:ilvl w:val="0"/>
          <w:numId w:val="1"/>
        </w:numPr>
        <w:ind w:firstLine="709" w:left="0"/>
        <w:rPr/>
      </w:pPr>
      <w:r>
        <w:rPr/>
        <w:t>Порядок расторжения Контракта</w:t>
      </w:r>
    </w:p>
    <w:p>
      <w:pPr>
        <w:pStyle w:val="Style27"/>
        <w:numPr>
          <w:ilvl w:val="1"/>
          <w:numId w:val="1"/>
        </w:numPr>
        <w:ind w:firstLine="709"/>
        <w:rPr/>
      </w:pPr>
      <w:r>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Style27"/>
        <w:numPr>
          <w:ilvl w:val="1"/>
          <w:numId w:val="1"/>
        </w:numPr>
        <w:ind w:firstLine="709"/>
        <w:rPr/>
      </w:pPr>
      <w:r>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pPr>
        <w:pStyle w:val="Style27"/>
        <w:numPr>
          <w:ilvl w:val="1"/>
          <w:numId w:val="1"/>
        </w:numPr>
        <w:ind w:firstLine="709"/>
        <w:rPr/>
      </w:pPr>
      <w:r>
        <w:rPr/>
        <w:t>Подрядчик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pPr>
        <w:pStyle w:val="Normal"/>
        <w:rPr>
          <w:lang w:eastAsia="en-US"/>
        </w:rPr>
      </w:pPr>
      <w:r>
        <w:rPr/>
        <w:t>Подрядчик</w:t>
      </w:r>
      <w:r>
        <w:rPr>
          <w:lang w:eastAsia="en-US"/>
        </w:rPr>
        <w:t xml:space="preserve"> не вправе отказаться от исполнения Контракта и потребовать возмещения убытков при наличии обстоятельств, указанных в пункте 1 статьи 719 Гражданского кодекса.</w:t>
      </w:r>
    </w:p>
    <w:p>
      <w:pPr>
        <w:pStyle w:val="Style27"/>
        <w:numPr>
          <w:ilvl w:val="1"/>
          <w:numId w:val="1"/>
        </w:numPr>
        <w:ind w:firstLine="709"/>
        <w:rPr/>
      </w:pPr>
      <w:r>
        <w:rPr/>
        <w:t>Заказчик обязан принять решение об одностороннем отказе от исполнения Контракта в случаях, установленных статьей 95 Федерального закона № 44-ФЗ.</w:t>
      </w:r>
    </w:p>
    <w:p>
      <w:pPr>
        <w:pStyle w:val="Style27"/>
        <w:numPr>
          <w:ilvl w:val="1"/>
          <w:numId w:val="1"/>
        </w:numPr>
        <w:ind w:firstLine="709"/>
        <w:rPr/>
      </w:pPr>
      <w:r>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работ, выполненных Подрядчиком и принятых Заказчиком, а также размер суммы, перечисленной Заказчиком Подрядчику за выполненные работы.</w:t>
      </w:r>
    </w:p>
    <w:p>
      <w:pPr>
        <w:pStyle w:val="Normal"/>
        <w:rPr>
          <w:lang w:eastAsia="en-US"/>
        </w:rPr>
      </w:pPr>
      <w:r>
        <w:rPr>
          <w:lang w:eastAsia="en-US"/>
        </w:rPr>
        <w:t>Сторона, которой направлено предложение о расторжении Контракта по соглашению Сторон, должна направить ответ по существу в срок не позднее 5 (пяти) календарных дней с даты его получения.</w:t>
      </w:r>
    </w:p>
    <w:p>
      <w:pPr>
        <w:pStyle w:val="Style26"/>
        <w:numPr>
          <w:ilvl w:val="0"/>
          <w:numId w:val="1"/>
        </w:numPr>
        <w:ind w:firstLine="709" w:left="0"/>
        <w:rPr/>
      </w:pPr>
      <w:r>
        <w:rPr/>
        <w:t>Обстоятельства непреодолимой силы</w:t>
      </w:r>
    </w:p>
    <w:p>
      <w:pPr>
        <w:pStyle w:val="Style27"/>
        <w:numPr>
          <w:ilvl w:val="1"/>
          <w:numId w:val="1"/>
        </w:numPr>
        <w:ind w:firstLine="709"/>
        <w:rPr/>
      </w:pPr>
      <w:r>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Style27"/>
        <w:numPr>
          <w:ilvl w:val="1"/>
          <w:numId w:val="1"/>
        </w:numPr>
        <w:ind w:firstLine="709"/>
        <w:rPr/>
      </w:pPr>
      <w:r>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pPr>
        <w:pStyle w:val="Style26"/>
        <w:numPr>
          <w:ilvl w:val="0"/>
          <w:numId w:val="1"/>
        </w:numPr>
        <w:ind w:firstLine="709" w:left="0"/>
        <w:rPr/>
      </w:pPr>
      <w:r>
        <w:rPr/>
        <w:t>Порядок урегулирования споров</w:t>
      </w:r>
    </w:p>
    <w:p>
      <w:pPr>
        <w:pStyle w:val="Style27"/>
        <w:numPr>
          <w:ilvl w:val="1"/>
          <w:numId w:val="1"/>
        </w:numPr>
        <w:ind w:firstLine="709"/>
        <w:rPr/>
      </w:pPr>
      <w:r>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pPr>
        <w:pStyle w:val="Style27"/>
        <w:numPr>
          <w:ilvl w:val="1"/>
          <w:numId w:val="1"/>
        </w:numPr>
        <w:ind w:firstLine="709"/>
        <w:rPr/>
      </w:pPr>
      <w:r>
        <w:rPr/>
        <w:t>До передачи спора на разрешение в судебном порядке Стороны принимают меры к его урегулированию в претензионном порядке.</w:t>
      </w:r>
    </w:p>
    <w:p>
      <w:pPr>
        <w:pStyle w:val="Normal"/>
        <w:rPr/>
      </w:pPr>
      <w:r>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pPr>
        <w:pStyle w:val="Normal"/>
        <w:rPr/>
      </w:pPr>
      <w:r>
        <w:rPr/>
        <w:t>Срок направления письменного ответа по существу Стороной, получившей претензию, составляет 5 рабочих дней  с даты ее получения.</w:t>
      </w:r>
    </w:p>
    <w:p>
      <w:pPr>
        <w:pStyle w:val="Normal"/>
        <w:rPr/>
      </w:pPr>
      <w:r>
        <w:rPr/>
        <w:t>Оставление претензии без ответа в установленный срок означает признание Стороной, ее получившей, требований претензии.</w:t>
      </w:r>
    </w:p>
    <w:p>
      <w:pPr>
        <w:pStyle w:val="Style27"/>
        <w:numPr>
          <w:ilvl w:val="1"/>
          <w:numId w:val="1"/>
        </w:numPr>
        <w:ind w:firstLine="709"/>
        <w:rPr/>
      </w:pPr>
      <w:r>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Тульской области.</w:t>
      </w:r>
    </w:p>
    <w:p>
      <w:pPr>
        <w:pStyle w:val="Style26"/>
        <w:numPr>
          <w:ilvl w:val="0"/>
          <w:numId w:val="1"/>
        </w:numPr>
        <w:ind w:firstLine="709" w:left="0"/>
        <w:rPr/>
      </w:pPr>
      <w:r>
        <w:rPr/>
        <w:t>Срок действия, порядок изменения Контракта</w:t>
      </w:r>
    </w:p>
    <w:p>
      <w:pPr>
        <w:pStyle w:val="Style27"/>
        <w:numPr>
          <w:ilvl w:val="1"/>
          <w:numId w:val="1"/>
        </w:numPr>
        <w:ind w:firstLine="709"/>
        <w:rPr/>
      </w:pPr>
      <w:r>
        <w:rPr/>
        <w:t>Контракт вступает в силу с момента его заключения Сторонами и действует до полного исполнения Сторонами своих обязательств по Контракту.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pPr>
        <w:pStyle w:val="Style26"/>
        <w:numPr>
          <w:ilvl w:val="0"/>
          <w:numId w:val="1"/>
        </w:numPr>
        <w:ind w:firstLine="709" w:left="0"/>
        <w:rPr/>
      </w:pPr>
      <w:r>
        <w:rPr/>
        <w:t>Прочие условия</w:t>
      </w:r>
    </w:p>
    <w:p>
      <w:pPr>
        <w:pStyle w:val="Style27"/>
        <w:numPr>
          <w:ilvl w:val="1"/>
          <w:numId w:val="1"/>
        </w:numPr>
        <w:ind w:firstLine="709"/>
        <w:rPr/>
      </w:pPr>
      <w:r>
        <w:rPr/>
        <w:t xml:space="preserve">Если иное не предусмотрено Контрактом или законодательством Российской Федерации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электронной почты с последующим представлением оригинала в течение 10 (десяти) рабочих дней с даты отправки. </w:t>
      </w:r>
    </w:p>
    <w:p>
      <w:pPr>
        <w:pStyle w:val="Normal"/>
        <w:rPr>
          <w:lang w:eastAsia="en-US"/>
        </w:rPr>
      </w:pPr>
      <w:r>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электронной почты, сообщения считаются полученными Стороной в день их отправки. </w:t>
      </w:r>
    </w:p>
    <w:p>
      <w:pPr>
        <w:pStyle w:val="Normal"/>
        <w:rPr>
          <w:lang w:eastAsia="en-US"/>
        </w:rPr>
      </w:pPr>
      <w:r>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pPr>
        <w:pStyle w:val="Style27"/>
        <w:numPr>
          <w:ilvl w:val="1"/>
          <w:numId w:val="1"/>
        </w:numPr>
        <w:ind w:firstLine="709"/>
        <w:rPr/>
      </w:pPr>
      <w:r>
        <w:rPr/>
        <w:t>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p>
      <w:pPr>
        <w:pStyle w:val="Style27"/>
        <w:numPr>
          <w:ilvl w:val="1"/>
          <w:numId w:val="1"/>
        </w:numPr>
        <w:ind w:firstLine="709"/>
        <w:rPr/>
      </w:pPr>
      <w:r>
        <w:rPr>
          <w:rFonts w:eastAsia="Calibri"/>
          <w:color w:val="000000"/>
          <w:sz w:val="22"/>
          <w:szCs w:val="22"/>
        </w:rPr>
        <w:t>Настоящий Контракт составлен в форме электронного документа, подписанного усиленными электронными подписями Сторон.</w:t>
      </w:r>
    </w:p>
    <w:p>
      <w:pPr>
        <w:pStyle w:val="Style27"/>
        <w:numPr>
          <w:ilvl w:val="1"/>
          <w:numId w:val="1"/>
        </w:numPr>
        <w:ind w:firstLine="709"/>
        <w:rPr/>
      </w:pPr>
      <w:r>
        <w:rPr/>
        <w:t>Во всем, что не предусмотрено Контрактом, Стороны руководствуются законодательством Российской Федерации.</w:t>
      </w:r>
    </w:p>
    <w:p>
      <w:pPr>
        <w:pStyle w:val="Style27"/>
        <w:numPr>
          <w:ilvl w:val="1"/>
          <w:numId w:val="1"/>
        </w:numPr>
        <w:ind w:firstLine="709"/>
        <w:rPr/>
      </w:pPr>
      <w:r>
        <w:rPr/>
        <w:t xml:space="preserve">Неотъемлемыми частями Контракта являются следующие приложения (прилагаются отдельными файлами): </w:t>
      </w:r>
    </w:p>
    <w:p>
      <w:pPr>
        <w:pStyle w:val="Normal"/>
        <w:rPr/>
      </w:pPr>
      <w:r>
        <w:rPr/>
        <w:t>приложение 1 : "Локальный сметный расчет"</w:t>
      </w:r>
    </w:p>
    <w:p>
      <w:pPr>
        <w:pStyle w:val="Normal"/>
        <w:rPr/>
      </w:pPr>
      <w:r>
        <w:rPr/>
      </w:r>
    </w:p>
    <w:p>
      <w:pPr>
        <w:pStyle w:val="Normal"/>
        <w:jc w:val="center"/>
        <w:rPr/>
      </w:pPr>
      <w:r>
        <w:rPr/>
      </w:r>
    </w:p>
    <w:p>
      <w:pPr>
        <w:pStyle w:val="Normal"/>
        <w:jc w:val="center"/>
        <w:rPr/>
      </w:pPr>
      <w:r>
        <w:rPr/>
        <w:t>13. Адреса, реквизиты и подписи Сторон</w:t>
      </w:r>
    </w:p>
    <w:p>
      <w:pPr>
        <w:pStyle w:val="Normal"/>
        <w:jc w:val="center"/>
        <w:rPr/>
      </w:pPr>
      <w:r>
        <w:rPr/>
      </w:r>
    </w:p>
    <w:tbl>
      <w:tblPr>
        <w:tblW w:w="10191" w:type="dxa"/>
        <w:jc w:val="left"/>
        <w:tblInd w:w="109" w:type="dxa"/>
        <w:tblLayout w:type="fixed"/>
        <w:tblCellMar>
          <w:top w:w="0" w:type="dxa"/>
          <w:left w:w="108" w:type="dxa"/>
          <w:bottom w:w="0" w:type="dxa"/>
          <w:right w:w="57" w:type="dxa"/>
        </w:tblCellMar>
        <w:tblLook w:val="0000" w:noHBand="0" w:noVBand="0" w:firstColumn="0" w:lastRow="0" w:lastColumn="0" w:firstRow="0"/>
      </w:tblPr>
      <w:tblGrid>
        <w:gridCol w:w="4928"/>
        <w:gridCol w:w="5262"/>
      </w:tblGrid>
      <w:tr>
        <w:trPr/>
        <w:tc>
          <w:tcPr>
            <w:tcW w:w="4928" w:type="dxa"/>
            <w:tcBorders/>
            <w:shd w:color="auto" w:fill="auto" w:val="clear"/>
          </w:tcPr>
          <w:p>
            <w:pPr>
              <w:pStyle w:val="Normal"/>
              <w:widowControl w:val="false"/>
              <w:rPr>
                <w:sz w:val="20"/>
                <w:szCs w:val="20"/>
              </w:rPr>
            </w:pPr>
            <w:r>
              <w:rPr>
                <w:sz w:val="20"/>
                <w:szCs w:val="20"/>
              </w:rPr>
              <w:t>РЕКВИЗИТЫ ЗАКАЗЧИКА</w:t>
            </w:r>
          </w:p>
          <w:p>
            <w:pPr>
              <w:pStyle w:val="Normal"/>
              <w:widowControl w:val="false"/>
              <w:rPr>
                <w:sz w:val="20"/>
                <w:szCs w:val="20"/>
              </w:rPr>
            </w:pPr>
            <w:r>
              <w:rPr>
                <w:sz w:val="20"/>
                <w:szCs w:val="20"/>
              </w:rPr>
            </w:r>
          </w:p>
          <w:p>
            <w:pPr>
              <w:pStyle w:val="Normal"/>
              <w:widowControl w:val="false"/>
              <w:rPr>
                <w:sz w:val="20"/>
                <w:szCs w:val="20"/>
              </w:rPr>
            </w:pPr>
            <w:r>
              <w:rPr>
                <w:sz w:val="20"/>
                <w:szCs w:val="20"/>
              </w:rPr>
              <w:t>УФССП ПО ТУЛЬСКОЙ ОБЛАСТИ</w:t>
            </w:r>
          </w:p>
          <w:p>
            <w:pPr>
              <w:pStyle w:val="Normal"/>
              <w:widowControl w:val="false"/>
              <w:ind w:hanging="34" w:left="743"/>
              <w:rPr>
                <w:sz w:val="20"/>
                <w:szCs w:val="20"/>
              </w:rPr>
            </w:pPr>
            <w:r>
              <w:rPr>
                <w:sz w:val="20"/>
                <w:szCs w:val="20"/>
              </w:rPr>
              <w:t xml:space="preserve">Адрес: 300025, Тульская обл, </w:t>
            </w:r>
            <w:r>
              <w:rPr>
                <w:sz w:val="20"/>
                <w:szCs w:val="20"/>
              </w:rPr>
              <w:t>г.</w:t>
            </w:r>
            <w:r>
              <w:rPr>
                <w:sz w:val="20"/>
                <w:szCs w:val="20"/>
              </w:rPr>
              <w:t xml:space="preserve"> Тула,</w:t>
            </w:r>
          </w:p>
          <w:p>
            <w:pPr>
              <w:pStyle w:val="Normal"/>
              <w:widowControl w:val="false"/>
              <w:ind w:hanging="34" w:left="743"/>
              <w:rPr>
                <w:sz w:val="20"/>
                <w:szCs w:val="20"/>
              </w:rPr>
            </w:pPr>
            <w:r>
              <w:rPr>
                <w:sz w:val="20"/>
                <w:szCs w:val="20"/>
              </w:rPr>
              <w:t>ул.</w:t>
            </w:r>
            <w:r>
              <w:rPr>
                <w:sz w:val="20"/>
                <w:szCs w:val="20"/>
              </w:rPr>
              <w:t xml:space="preserve"> 9 МАЯ, </w:t>
            </w:r>
            <w:r>
              <w:rPr>
                <w:sz w:val="20"/>
                <w:szCs w:val="20"/>
              </w:rPr>
              <w:t>д</w:t>
            </w:r>
            <w:r>
              <w:rPr>
                <w:sz w:val="20"/>
                <w:szCs w:val="20"/>
              </w:rPr>
              <w:t>. 1</w:t>
            </w:r>
          </w:p>
          <w:p>
            <w:pPr>
              <w:pStyle w:val="Normal"/>
              <w:widowControl w:val="false"/>
              <w:rPr>
                <w:sz w:val="20"/>
                <w:szCs w:val="20"/>
              </w:rPr>
            </w:pPr>
            <w:r>
              <w:rPr>
                <w:sz w:val="20"/>
                <w:szCs w:val="20"/>
              </w:rPr>
              <w:t>Телефон: 7-4872-335547</w:t>
            </w:r>
          </w:p>
          <w:p>
            <w:pPr>
              <w:pStyle w:val="Normal"/>
              <w:widowControl w:val="false"/>
              <w:rPr>
                <w:sz w:val="20"/>
                <w:szCs w:val="20"/>
              </w:rPr>
            </w:pPr>
            <w:r>
              <w:rPr>
                <w:sz w:val="20"/>
                <w:szCs w:val="20"/>
              </w:rPr>
              <w:t xml:space="preserve">Email: </w:t>
            </w:r>
            <w:r>
              <w:rPr>
                <w:sz w:val="20"/>
                <w:szCs w:val="20"/>
                <w:lang w:val="en-US"/>
              </w:rPr>
              <w:t>mtoto</w:t>
            </w:r>
            <w:r>
              <w:rPr>
                <w:sz w:val="20"/>
                <w:szCs w:val="20"/>
              </w:rPr>
              <w:t>2014@</w:t>
            </w:r>
            <w:r>
              <w:rPr>
                <w:sz w:val="20"/>
                <w:szCs w:val="20"/>
                <w:lang w:val="en-US"/>
              </w:rPr>
              <w:t>yandex</w:t>
            </w:r>
            <w:r>
              <w:rPr>
                <w:sz w:val="20"/>
                <w:szCs w:val="20"/>
              </w:rPr>
              <w:t>.ru</w:t>
            </w:r>
          </w:p>
          <w:p>
            <w:pPr>
              <w:pStyle w:val="Normal"/>
              <w:widowControl w:val="false"/>
              <w:rPr>
                <w:sz w:val="20"/>
                <w:szCs w:val="20"/>
              </w:rPr>
            </w:pPr>
            <w:r>
              <w:rPr>
                <w:sz w:val="20"/>
                <w:szCs w:val="20"/>
              </w:rPr>
              <w:t>ИНН: 7101006403 / КПП: 710401001</w:t>
            </w:r>
          </w:p>
          <w:p>
            <w:pPr>
              <w:pStyle w:val="Normal"/>
              <w:widowControl w:val="false"/>
              <w:rPr>
                <w:sz w:val="20"/>
                <w:szCs w:val="20"/>
              </w:rPr>
            </w:pPr>
            <w:r>
              <w:rPr>
                <w:sz w:val="20"/>
                <w:szCs w:val="20"/>
              </w:rPr>
              <w:t>ОГРН: 1047100103665</w:t>
            </w:r>
          </w:p>
          <w:p>
            <w:pPr>
              <w:pStyle w:val="Normal"/>
              <w:widowControl w:val="false"/>
              <w:jc w:val="left"/>
              <w:rPr>
                <w:sz w:val="20"/>
                <w:szCs w:val="20"/>
              </w:rPr>
            </w:pPr>
            <w:r>
              <w:rPr>
                <w:sz w:val="20"/>
                <w:szCs w:val="20"/>
              </w:rPr>
              <w:t xml:space="preserve">ОКПО 75201851 / </w:t>
            </w:r>
            <w:r>
              <w:rPr>
                <w:rFonts w:eastAsia="Andale Sans UI"/>
                <w:sz w:val="20"/>
                <w:szCs w:val="20"/>
                <w:shd w:fill="FFFFFF" w:val="clear"/>
                <w:lang w:val="de-DE" w:eastAsia="fa-IR" w:bidi="fa-IR"/>
              </w:rPr>
              <w:t xml:space="preserve">ОКТМО </w:t>
            </w:r>
            <w:r>
              <w:rPr>
                <w:rFonts w:eastAsia="Andale Sans UI"/>
                <w:sz w:val="20"/>
                <w:szCs w:val="20"/>
                <w:shd w:fill="FFFFFF" w:val="clear"/>
                <w:lang w:eastAsia="fa-IR" w:bidi="fa-IR"/>
              </w:rPr>
              <w:t>70701000</w:t>
            </w:r>
          </w:p>
          <w:p>
            <w:pPr>
              <w:pStyle w:val="Normal"/>
              <w:widowControl w:val="false"/>
              <w:jc w:val="left"/>
              <w:rPr>
                <w:sz w:val="20"/>
                <w:szCs w:val="20"/>
              </w:rPr>
            </w:pPr>
            <w:r>
              <w:rPr>
                <w:sz w:val="20"/>
                <w:szCs w:val="20"/>
              </w:rPr>
              <w:t>Банковские реквизиты:</w:t>
            </w:r>
          </w:p>
          <w:p>
            <w:pPr>
              <w:pStyle w:val="Normal"/>
              <w:widowControl w:val="false"/>
              <w:suppressAutoHyphens w:val="true"/>
              <w:spacing w:lineRule="auto" w:line="240" w:before="0" w:after="0"/>
              <w:jc w:val="left"/>
              <w:rPr>
                <w:rFonts w:cs="Times New Roman"/>
                <w:kern w:val="0"/>
                <w:sz w:val="20"/>
                <w:u w:val="none"/>
              </w:rPr>
            </w:pPr>
            <w:r>
              <w:rPr>
                <w:rFonts w:cs="Times New Roman"/>
                <w:kern w:val="0"/>
                <w:sz w:val="20"/>
                <w:u w:val="none"/>
              </w:rPr>
              <w:t xml:space="preserve">ОКЦ №1 ВОЛГО-ВЯТСКОГО ГУ БАНКА РОССИИ / УФК По Нижегородской области, </w:t>
            </w:r>
          </w:p>
          <w:p>
            <w:pPr>
              <w:pStyle w:val="Normal"/>
              <w:widowControl w:val="false"/>
              <w:suppressAutoHyphens w:val="true"/>
              <w:spacing w:lineRule="auto" w:line="240" w:before="0" w:after="0"/>
              <w:jc w:val="left"/>
              <w:rPr>
                <w:rFonts w:cs="Times New Roman"/>
                <w:kern w:val="0"/>
                <w:sz w:val="20"/>
                <w:u w:val="none"/>
              </w:rPr>
            </w:pPr>
            <w:r>
              <w:rPr>
                <w:rFonts w:cs="Times New Roman"/>
                <w:kern w:val="0"/>
                <w:sz w:val="20"/>
                <w:u w:val="none"/>
              </w:rPr>
              <w:t>г. Нижний Новгород.</w:t>
            </w:r>
          </w:p>
          <w:p>
            <w:pPr>
              <w:pStyle w:val="Normal"/>
              <w:widowControl w:val="false"/>
              <w:suppressAutoHyphens w:val="true"/>
              <w:spacing w:lineRule="auto" w:line="240" w:before="0" w:after="0"/>
              <w:jc w:val="left"/>
              <w:rPr>
                <w:rFonts w:cs="Times New Roman"/>
                <w:kern w:val="0"/>
                <w:sz w:val="20"/>
                <w:u w:val="none"/>
              </w:rPr>
            </w:pPr>
            <w:r>
              <w:rPr>
                <w:rFonts w:cs="Times New Roman"/>
                <w:kern w:val="0"/>
                <w:sz w:val="20"/>
                <w:u w:val="none"/>
              </w:rPr>
              <w:t>р/с 03211643000000013256</w:t>
            </w:r>
          </w:p>
          <w:p>
            <w:pPr>
              <w:pStyle w:val="Normal"/>
              <w:widowControl w:val="false"/>
              <w:suppressAutoHyphens w:val="true"/>
              <w:spacing w:lineRule="auto" w:line="240" w:before="0" w:after="0"/>
              <w:jc w:val="left"/>
              <w:rPr>
                <w:rFonts w:cs="Times New Roman"/>
                <w:kern w:val="0"/>
                <w:sz w:val="20"/>
                <w:u w:val="none"/>
              </w:rPr>
            </w:pPr>
            <w:r>
              <w:rPr>
                <w:rFonts w:cs="Times New Roman"/>
                <w:kern w:val="0"/>
                <w:sz w:val="20"/>
                <w:u w:val="none"/>
              </w:rPr>
              <w:t>л/с 03661785650</w:t>
            </w:r>
          </w:p>
          <w:p>
            <w:pPr>
              <w:pStyle w:val="Normal"/>
              <w:widowControl w:val="false"/>
              <w:suppressAutoHyphens w:val="true"/>
              <w:spacing w:lineRule="auto" w:line="240" w:before="0" w:after="0"/>
              <w:jc w:val="left"/>
              <w:rPr>
                <w:rFonts w:cs="Times New Roman"/>
                <w:kern w:val="0"/>
                <w:sz w:val="20"/>
                <w:u w:val="none"/>
              </w:rPr>
            </w:pPr>
            <w:r>
              <w:rPr>
                <w:rFonts w:cs="Times New Roman"/>
                <w:kern w:val="0"/>
                <w:sz w:val="20"/>
                <w:u w:val="none"/>
              </w:rPr>
              <w:t>к/с 40102810745370000024</w:t>
            </w:r>
          </w:p>
          <w:p>
            <w:pPr>
              <w:pStyle w:val="Normal"/>
              <w:widowControl w:val="false"/>
              <w:suppressAutoHyphens w:val="true"/>
              <w:spacing w:lineRule="auto" w:line="240" w:before="0" w:after="0"/>
              <w:jc w:val="left"/>
              <w:rPr>
                <w:rFonts w:cs="Times New Roman"/>
                <w:kern w:val="0"/>
                <w:sz w:val="20"/>
                <w:u w:val="none"/>
              </w:rPr>
            </w:pPr>
            <w:r>
              <w:rPr>
                <w:rFonts w:cs="Times New Roman"/>
                <w:kern w:val="0"/>
                <w:sz w:val="20"/>
                <w:szCs w:val="20"/>
                <w:u w:val="none"/>
              </w:rPr>
              <w:t>БИК: 012202102</w:t>
            </w:r>
          </w:p>
          <w:p>
            <w:pPr>
              <w:pStyle w:val="Normal"/>
              <w:widowControl w:val="false"/>
              <w:jc w:val="left"/>
              <w:rPr>
                <w:sz w:val="20"/>
                <w:szCs w:val="20"/>
              </w:rPr>
            </w:pPr>
            <w:r>
              <w:rPr>
                <w:sz w:val="20"/>
                <w:szCs w:val="20"/>
              </w:rPr>
            </w:r>
          </w:p>
          <w:p>
            <w:pPr>
              <w:pStyle w:val="Normal"/>
              <w:widowControl w:val="false"/>
              <w:jc w:val="left"/>
              <w:rPr>
                <w:sz w:val="20"/>
                <w:szCs w:val="20"/>
              </w:rPr>
            </w:pPr>
            <w:r>
              <w:rPr>
                <w:sz w:val="20"/>
                <w:szCs w:val="20"/>
              </w:rPr>
            </w:r>
          </w:p>
          <w:p>
            <w:pPr>
              <w:pStyle w:val="Normal"/>
              <w:widowControl w:val="false"/>
              <w:jc w:val="left"/>
              <w:rPr>
                <w:sz w:val="20"/>
                <w:szCs w:val="20"/>
              </w:rPr>
            </w:pPr>
            <w:r>
              <w:rPr>
                <w:sz w:val="20"/>
                <w:szCs w:val="20"/>
              </w:rPr>
              <w:t>Заместитель руководителя</w:t>
            </w:r>
          </w:p>
          <w:p>
            <w:pPr>
              <w:pStyle w:val="Normal"/>
              <w:widowControl w:val="false"/>
              <w:jc w:val="left"/>
              <w:rPr>
                <w:sz w:val="20"/>
                <w:szCs w:val="20"/>
              </w:rPr>
            </w:pPr>
            <w:r>
              <w:rPr>
                <w:sz w:val="20"/>
                <w:szCs w:val="20"/>
              </w:rPr>
            </w:r>
          </w:p>
          <w:p>
            <w:pPr>
              <w:pStyle w:val="Normal"/>
              <w:widowControl w:val="false"/>
              <w:jc w:val="left"/>
              <w:rPr>
                <w:sz w:val="20"/>
                <w:szCs w:val="20"/>
              </w:rPr>
            </w:pPr>
            <w:r>
              <w:rPr>
                <w:b/>
                <w:sz w:val="20"/>
                <w:szCs w:val="20"/>
              </w:rPr>
              <w:t xml:space="preserve">____________________ </w:t>
            </w:r>
            <w:r>
              <w:rPr>
                <w:b/>
                <w:i/>
                <w:sz w:val="20"/>
                <w:szCs w:val="20"/>
              </w:rPr>
              <w:t>И.В. Криволапова</w:t>
            </w:r>
          </w:p>
          <w:p>
            <w:pPr>
              <w:pStyle w:val="Normal"/>
              <w:widowControl w:val="false"/>
              <w:jc w:val="left"/>
              <w:rPr/>
            </w:pPr>
            <w:r>
              <w:rPr>
                <w:sz w:val="20"/>
                <w:szCs w:val="20"/>
              </w:rPr>
              <w:t>Э</w:t>
            </w:r>
            <w:r>
              <w:rPr>
                <w:sz w:val="20"/>
                <w:szCs w:val="20"/>
              </w:rPr>
              <w:t>.П.</w:t>
            </w:r>
          </w:p>
        </w:tc>
        <w:tc>
          <w:tcPr>
            <w:tcW w:w="5262" w:type="dxa"/>
            <w:tcBorders/>
            <w:shd w:color="auto" w:fill="auto" w:val="clear"/>
          </w:tcPr>
          <w:p>
            <w:pPr>
              <w:pStyle w:val="Normal"/>
              <w:widowControl w:val="false"/>
              <w:rPr>
                <w:sz w:val="20"/>
                <w:szCs w:val="20"/>
              </w:rPr>
            </w:pPr>
            <w:r>
              <w:rPr>
                <w:sz w:val="20"/>
                <w:szCs w:val="20"/>
              </w:rPr>
              <w:t>РЕКВИЗИТЫ ПОДРЯДЧИКА</w:t>
            </w:r>
          </w:p>
          <w:p>
            <w:pPr>
              <w:pStyle w:val="Normal"/>
              <w:widowControl w:val="false"/>
              <w:rPr>
                <w:sz w:val="20"/>
                <w:szCs w:val="20"/>
                <w:lang w:eastAsia="en-US"/>
              </w:rPr>
            </w:pPr>
            <w:r>
              <w:rPr>
                <w:sz w:val="20"/>
                <w:szCs w:val="20"/>
                <w:lang w:eastAsia="en-US"/>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lang w:eastAsia="ru-RU" w:bidi="hi-IN"/>
              </w:rPr>
            </w:pPr>
            <w:r>
              <w:rPr>
                <w:sz w:val="20"/>
                <w:szCs w:val="20"/>
                <w:lang w:eastAsia="ru-RU" w:bidi="hi-IN"/>
              </w:rPr>
            </w:r>
          </w:p>
          <w:p>
            <w:pPr>
              <w:pStyle w:val="Normal"/>
              <w:widowControl w:val="false"/>
              <w:rPr>
                <w:sz w:val="20"/>
                <w:szCs w:val="20"/>
              </w:rPr>
            </w:pPr>
            <w:r>
              <w:rPr>
                <w:sz w:val="20"/>
                <w:szCs w:val="20"/>
              </w:rPr>
            </w:r>
          </w:p>
          <w:p>
            <w:pPr>
              <w:pStyle w:val="Normal"/>
              <w:widowControl w:val="false"/>
              <w:rPr>
                <w:sz w:val="20"/>
                <w:szCs w:val="20"/>
              </w:rPr>
            </w:pPr>
            <w:r>
              <w:rPr>
                <w:sz w:val="20"/>
                <w:szCs w:val="20"/>
              </w:rPr>
            </w:r>
          </w:p>
          <w:p>
            <w:pPr>
              <w:pStyle w:val="Normal"/>
              <w:widowControl w:val="false"/>
              <w:rPr>
                <w:sz w:val="20"/>
                <w:szCs w:val="20"/>
              </w:rPr>
            </w:pPr>
            <w:r>
              <w:rPr>
                <w:sz w:val="20"/>
                <w:szCs w:val="20"/>
              </w:rPr>
            </w:r>
          </w:p>
          <w:p>
            <w:pPr>
              <w:pStyle w:val="Normal"/>
              <w:widowControl w:val="false"/>
              <w:rPr>
                <w:sz w:val="20"/>
                <w:szCs w:val="20"/>
              </w:rPr>
            </w:pPr>
            <w:r>
              <w:rPr>
                <w:sz w:val="20"/>
                <w:szCs w:val="20"/>
                <w:lang w:eastAsia="en-US"/>
              </w:rPr>
              <w:t>Директор</w:t>
            </w:r>
          </w:p>
          <w:p>
            <w:pPr>
              <w:pStyle w:val="Normal"/>
              <w:widowControl w:val="false"/>
              <w:rPr>
                <w:sz w:val="20"/>
                <w:szCs w:val="20"/>
              </w:rPr>
            </w:pPr>
            <w:r>
              <w:rPr>
                <w:sz w:val="20"/>
                <w:szCs w:val="20"/>
              </w:rPr>
            </w:r>
          </w:p>
          <w:p>
            <w:pPr>
              <w:pStyle w:val="Normal"/>
              <w:widowControl w:val="false"/>
              <w:rPr>
                <w:b/>
                <w:bCs/>
                <w:i/>
                <w:i/>
                <w:iCs/>
                <w:sz w:val="20"/>
                <w:szCs w:val="20"/>
                <w:lang w:eastAsia="en-US"/>
              </w:rPr>
            </w:pPr>
            <w:r>
              <w:rPr>
                <w:b/>
                <w:bCs/>
                <w:i/>
                <w:iCs/>
                <w:sz w:val="20"/>
                <w:szCs w:val="20"/>
                <w:lang w:eastAsia="en-US"/>
              </w:rPr>
              <w:t>___________________ / _______________</w:t>
            </w:r>
          </w:p>
          <w:p>
            <w:pPr>
              <w:pStyle w:val="Normal"/>
              <w:widowControl w:val="false"/>
              <w:rPr/>
            </w:pPr>
            <w:r>
              <w:rPr/>
              <w:t>Э</w:t>
            </w:r>
            <w:r>
              <w:rPr/>
              <w:t>.П.</w:t>
            </w:r>
          </w:p>
        </w:tc>
      </w:tr>
    </w:tbl>
    <w:p>
      <w:pPr>
        <w:pStyle w:val="Normal"/>
        <w:ind w:hanging="142"/>
        <w:rPr>
          <w:lang w:eastAsia="en-US"/>
        </w:rPr>
      </w:pPr>
      <w:r>
        <w:rPr>
          <w:lang w:eastAsia="en-US"/>
        </w:rPr>
      </w:r>
    </w:p>
    <w:p>
      <w:pPr>
        <w:pStyle w:val="Normal"/>
        <w:ind w:hanging="142"/>
        <w:rPr>
          <w:lang w:eastAsia="en-US"/>
        </w:rPr>
      </w:pPr>
      <w:r>
        <w:rPr>
          <w:lang w:eastAsia="en-US"/>
        </w:rPr>
      </w:r>
    </w:p>
    <w:p>
      <w:pPr>
        <w:pStyle w:val="Normal"/>
        <w:ind w:hanging="142"/>
        <w:rPr/>
      </w:pPr>
      <w:r>
        <w:rPr/>
      </w:r>
    </w:p>
    <w:sectPr>
      <w:headerReference w:type="default" r:id="rId2"/>
      <w:type w:val="nextPage"/>
      <w:pgSz w:w="11906" w:h="16838"/>
      <w:pgMar w:left="993" w:right="567" w:gutter="0" w:header="709" w:top="766" w:footer="0" w:bottom="42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Arial">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37631820"/>
    </w:sdtPr>
    <w:sdtContent>
      <w:p>
        <w:pPr>
          <w:pStyle w:val="Header"/>
          <w:jc w:val="center"/>
          <w:rPr/>
        </w:pPr>
        <w:r>
          <w:rPr/>
          <w:fldChar w:fldCharType="begin"/>
        </w:r>
        <w:r>
          <w:rPr/>
          <w:instrText xml:space="preserve"> PAGE </w:instrText>
        </w:r>
        <w:r>
          <w:rPr/>
          <w:fldChar w:fldCharType="separate"/>
        </w:r>
        <w:r>
          <w:rPr/>
          <w:t>6</w:t>
        </w:r>
        <w:r>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3885" w:hanging="340"/>
      </w:pPr>
      <w:rPr/>
    </w:lvl>
    <w:lvl w:ilvl="1">
      <w:start w:val="1"/>
      <w:numFmt w:val="decimal"/>
      <w:suff w:val="space"/>
      <w:lvlText w:val="%1.%2."/>
      <w:lvlJc w:val="left"/>
      <w:pPr>
        <w:tabs>
          <w:tab w:val="num" w:pos="0"/>
        </w:tabs>
        <w:ind w:left="0" w:hanging="0"/>
      </w:pPr>
      <w:rPr/>
    </w:lvl>
    <w:lvl w:ilvl="2">
      <w:start w:val="1"/>
      <w:numFmt w:val="decimal"/>
      <w:suff w:val="space"/>
      <w:lvlText w:val="%1.%2.%3."/>
      <w:lvlJc w:val="left"/>
      <w:pPr>
        <w:tabs>
          <w:tab w:val="num" w:pos="0"/>
        </w:tabs>
        <w:ind w:left="0" w:hanging="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b3aa7"/>
    <w:pPr>
      <w:widowControl/>
      <w:suppressAutoHyphens w:val="true"/>
      <w:bidi w:val="0"/>
      <w:spacing w:lineRule="auto" w:line="240" w:before="0" w:after="0"/>
      <w:ind w:firstLine="709"/>
      <w:jc w:val="both"/>
    </w:pPr>
    <w:rPr>
      <w:rFonts w:ascii="Times New Roman" w:hAnsi="Times New Roman" w:eastAsia="Times New Roman" w:cs="Times New Roman"/>
      <w:color w:val="auto"/>
      <w:kern w:val="0"/>
      <w:sz w:val="24"/>
      <w:szCs w:val="24"/>
      <w:lang w:val="ru-RU" w:eastAsia="ar-SA" w:bidi="ar-SA"/>
    </w:rPr>
  </w:style>
  <w:style w:type="paragraph" w:styleId="Heading1">
    <w:name w:val="Heading 1"/>
    <w:basedOn w:val="Normal"/>
    <w:next w:val="Normal"/>
    <w:link w:val="11"/>
    <w:uiPriority w:val="9"/>
    <w:qFormat/>
    <w:rsid w:val="00fb3aa7"/>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2"/>
    <w:uiPriority w:val="9"/>
    <w:semiHidden/>
    <w:unhideWhenUsed/>
    <w:qFormat/>
    <w:rsid w:val="00fb3aa7"/>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3"/>
    <w:uiPriority w:val="9"/>
    <w:semiHidden/>
    <w:unhideWhenUsed/>
    <w:qFormat/>
    <w:rsid w:val="00a41294"/>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rPr>
  </w:style>
  <w:style w:type="character" w:styleId="DefaultParagraphFont" w:default="1">
    <w:name w:val="Default Paragraph Font"/>
    <w:uiPriority w:val="1"/>
    <w:unhideWhenUsed/>
    <w:qFormat/>
    <w:rPr/>
  </w:style>
  <w:style w:type="character" w:styleId="Hyperlink">
    <w:name w:val="Hyperlink"/>
    <w:rsid w:val="00e9521a"/>
    <w:rPr>
      <w:color w:val="000080"/>
      <w:u w:val="single"/>
    </w:rPr>
  </w:style>
  <w:style w:type="character" w:styleId="1" w:customStyle="1">
    <w:name w:val="Заголовок таблицы1 Знак"/>
    <w:basedOn w:val="DefaultParagraphFont"/>
    <w:link w:val="12"/>
    <w:qFormat/>
    <w:rsid w:val="00e24908"/>
    <w:rPr>
      <w:rFonts w:ascii="Times New Roman" w:hAnsi="Times New Roman" w:eastAsia="Times New Roman" w:cs="Times New Roman"/>
      <w:b/>
      <w:sz w:val="24"/>
      <w:szCs w:val="24"/>
      <w:lang w:eastAsia="ar-SA"/>
    </w:rPr>
  </w:style>
  <w:style w:type="character" w:styleId="Style11" w:customStyle="1">
    <w:name w:val="Тест таблицы Знак"/>
    <w:basedOn w:val="DefaultParagraphFont"/>
    <w:link w:val="Style24"/>
    <w:qFormat/>
    <w:rsid w:val="00e24908"/>
    <w:rPr>
      <w:rFonts w:ascii="Times New Roman" w:hAnsi="Times New Roman" w:eastAsia="Times New Roman" w:cs="Times New Roman"/>
      <w:sz w:val="24"/>
      <w:szCs w:val="24"/>
      <w:lang w:eastAsia="ar-SA"/>
    </w:rPr>
  </w:style>
  <w:style w:type="character" w:styleId="Style12" w:customStyle="1">
    <w:name w:val="Текст выноски Знак"/>
    <w:basedOn w:val="DefaultParagraphFont"/>
    <w:link w:val="BalloonText"/>
    <w:uiPriority w:val="99"/>
    <w:semiHidden/>
    <w:qFormat/>
    <w:rsid w:val="00be53e0"/>
    <w:rPr>
      <w:rFonts w:ascii="Segoe UI" w:hAnsi="Segoe UI" w:eastAsia="Times New Roman" w:cs="Segoe UI"/>
      <w:sz w:val="18"/>
      <w:szCs w:val="18"/>
      <w:lang w:eastAsia="ar-SA"/>
    </w:rPr>
  </w:style>
  <w:style w:type="character" w:styleId="Annotationreference">
    <w:name w:val="annotation reference"/>
    <w:basedOn w:val="DefaultParagraphFont"/>
    <w:uiPriority w:val="99"/>
    <w:semiHidden/>
    <w:unhideWhenUsed/>
    <w:qFormat/>
    <w:rsid w:val="000c7337"/>
    <w:rPr>
      <w:sz w:val="16"/>
      <w:szCs w:val="16"/>
    </w:rPr>
  </w:style>
  <w:style w:type="character" w:styleId="Style13" w:customStyle="1">
    <w:name w:val="Текст примечания Знак"/>
    <w:basedOn w:val="DefaultParagraphFont"/>
    <w:link w:val="Annotationtext"/>
    <w:uiPriority w:val="99"/>
    <w:qFormat/>
    <w:rsid w:val="000c7337"/>
    <w:rPr>
      <w:rFonts w:ascii="Times New Roman" w:hAnsi="Times New Roman" w:eastAsia="Times New Roman" w:cs="Times New Roman"/>
      <w:sz w:val="20"/>
      <w:szCs w:val="20"/>
      <w:lang w:eastAsia="ar-SA"/>
    </w:rPr>
  </w:style>
  <w:style w:type="character" w:styleId="Style14" w:customStyle="1">
    <w:name w:val="Тема примечания Знак"/>
    <w:basedOn w:val="Style13"/>
    <w:link w:val="Annotationsubject"/>
    <w:uiPriority w:val="99"/>
    <w:semiHidden/>
    <w:qFormat/>
    <w:rsid w:val="000c7337"/>
    <w:rPr>
      <w:rFonts w:ascii="Times New Roman" w:hAnsi="Times New Roman" w:eastAsia="Times New Roman" w:cs="Times New Roman"/>
      <w:b/>
      <w:bCs/>
      <w:sz w:val="20"/>
      <w:szCs w:val="20"/>
      <w:lang w:eastAsia="ar-SA"/>
    </w:rPr>
  </w:style>
  <w:style w:type="character" w:styleId="Style15" w:customStyle="1">
    <w:name w:val="Символ сноски"/>
    <w:qFormat/>
    <w:rsid w:val="00561548"/>
    <w:rPr>
      <w:vertAlign w:val="superscript"/>
    </w:rPr>
  </w:style>
  <w:style w:type="character" w:styleId="FootnoteReference">
    <w:name w:val="Footnote Reference"/>
    <w:rPr>
      <w:vertAlign w:val="superscript"/>
    </w:rPr>
  </w:style>
  <w:style w:type="character" w:styleId="Style16" w:customStyle="1">
    <w:name w:val="Текст сноски Знак"/>
    <w:basedOn w:val="DefaultParagraphFont"/>
    <w:uiPriority w:val="99"/>
    <w:qFormat/>
    <w:rsid w:val="000c7337"/>
    <w:rPr>
      <w:rFonts w:ascii="Times New Roman" w:hAnsi="Times New Roman" w:eastAsia="Times New Roman" w:cs="Times New Roman"/>
      <w:sz w:val="20"/>
      <w:szCs w:val="20"/>
      <w:lang w:eastAsia="ar-SA"/>
    </w:rPr>
  </w:style>
  <w:style w:type="character" w:styleId="FollowedHyperlink">
    <w:name w:val="FollowedHyperlink"/>
    <w:basedOn w:val="DefaultParagraphFont"/>
    <w:uiPriority w:val="99"/>
    <w:semiHidden/>
    <w:unhideWhenUsed/>
    <w:rsid w:val="005f3f8d"/>
    <w:rPr>
      <w:color w:themeColor="followedHyperlink" w:val="954F72"/>
      <w:u w:val="single"/>
    </w:rPr>
  </w:style>
  <w:style w:type="character" w:styleId="Style17" w:customStyle="1">
    <w:name w:val="Верхний колонтитул Знак"/>
    <w:basedOn w:val="DefaultParagraphFont"/>
    <w:uiPriority w:val="99"/>
    <w:qFormat/>
    <w:rsid w:val="009444b9"/>
    <w:rPr>
      <w:rFonts w:ascii="Times New Roman" w:hAnsi="Times New Roman" w:eastAsia="Times New Roman" w:cs="Times New Roman"/>
      <w:sz w:val="24"/>
      <w:szCs w:val="24"/>
      <w:lang w:eastAsia="ar-SA"/>
    </w:rPr>
  </w:style>
  <w:style w:type="character" w:styleId="Style18" w:customStyle="1">
    <w:name w:val="Нижний колонтитул Знак"/>
    <w:basedOn w:val="DefaultParagraphFont"/>
    <w:uiPriority w:val="99"/>
    <w:qFormat/>
    <w:rsid w:val="009444b9"/>
    <w:rPr>
      <w:rFonts w:ascii="Times New Roman" w:hAnsi="Times New Roman" w:eastAsia="Times New Roman" w:cs="Times New Roman"/>
      <w:sz w:val="24"/>
      <w:szCs w:val="24"/>
      <w:lang w:eastAsia="ar-SA"/>
    </w:rPr>
  </w:style>
  <w:style w:type="character" w:styleId="11" w:customStyle="1">
    <w:name w:val="Заголовок 1 Знак"/>
    <w:basedOn w:val="DefaultParagraphFont"/>
    <w:uiPriority w:val="9"/>
    <w:qFormat/>
    <w:rsid w:val="00fb3aa7"/>
    <w:rPr>
      <w:rFonts w:ascii="Calibri Light" w:hAnsi="Calibri Light" w:eastAsia="" w:cs="" w:asciiTheme="majorHAnsi" w:cstheme="majorBidi" w:eastAsiaTheme="majorEastAsia" w:hAnsiTheme="majorHAnsi"/>
      <w:color w:themeColor="accent1" w:themeShade="bf" w:val="2F5496"/>
      <w:sz w:val="32"/>
      <w:szCs w:val="32"/>
      <w:lang w:eastAsia="ar-SA"/>
    </w:rPr>
  </w:style>
  <w:style w:type="character" w:styleId="2" w:customStyle="1">
    <w:name w:val="Заголовок 2 Знак"/>
    <w:basedOn w:val="DefaultParagraphFont"/>
    <w:uiPriority w:val="9"/>
    <w:semiHidden/>
    <w:qFormat/>
    <w:rsid w:val="00fb3aa7"/>
    <w:rPr>
      <w:rFonts w:ascii="Calibri Light" w:hAnsi="Calibri Light" w:eastAsia="" w:cs="" w:asciiTheme="majorHAnsi" w:cstheme="majorBidi" w:eastAsiaTheme="majorEastAsia" w:hAnsiTheme="majorHAnsi"/>
      <w:color w:themeColor="accent1" w:themeShade="bf" w:val="2F5496"/>
      <w:sz w:val="26"/>
      <w:szCs w:val="26"/>
      <w:lang w:eastAsia="ar-SA"/>
    </w:rPr>
  </w:style>
  <w:style w:type="character" w:styleId="3" w:customStyle="1">
    <w:name w:val="Заголовок 3 Знак"/>
    <w:basedOn w:val="DefaultParagraphFont"/>
    <w:uiPriority w:val="9"/>
    <w:semiHidden/>
    <w:qFormat/>
    <w:rsid w:val="00a41294"/>
    <w:rPr>
      <w:rFonts w:ascii="Calibri Light" w:hAnsi="Calibri Light" w:eastAsia="" w:cs="" w:asciiTheme="majorHAnsi" w:cstheme="majorBidi" w:eastAsiaTheme="majorEastAsia" w:hAnsiTheme="majorHAnsi"/>
      <w:color w:themeColor="accent1" w:themeShade="7f" w:val="1F3763"/>
      <w:sz w:val="24"/>
      <w:szCs w:val="24"/>
      <w:lang w:eastAsia="ar-SA"/>
    </w:rPr>
  </w:style>
  <w:style w:type="character" w:styleId="Style19" w:customStyle="1">
    <w:name w:val="Текст концевой сноски Знак"/>
    <w:basedOn w:val="DefaultParagraphFont"/>
    <w:uiPriority w:val="99"/>
    <w:semiHidden/>
    <w:qFormat/>
    <w:rsid w:val="00d20c6c"/>
    <w:rPr>
      <w:rFonts w:ascii="Times New Roman" w:hAnsi="Times New Roman" w:eastAsia="Times New Roman" w:cs="Times New Roman"/>
      <w:sz w:val="20"/>
      <w:szCs w:val="20"/>
      <w:lang w:eastAsia="ar-SA"/>
    </w:rPr>
  </w:style>
  <w:style w:type="character" w:styleId="Style20">
    <w:name w:val="Символ концевой сноски"/>
    <w:uiPriority w:val="99"/>
    <w:semiHidden/>
    <w:unhideWhenUsed/>
    <w:qFormat/>
    <w:rsid w:val="00d20c6c"/>
    <w:rPr>
      <w:vertAlign w:val="superscript"/>
    </w:rPr>
  </w:style>
  <w:style w:type="character" w:styleId="EndnoteReference">
    <w:name w:val="Endnote Reference"/>
    <w:rPr>
      <w:vertAlign w:val="superscript"/>
    </w:rPr>
  </w:style>
  <w:style w:type="character" w:styleId="Style21" w:customStyle="1">
    <w:name w:val="Цветовое выделение"/>
    <w:qFormat/>
    <w:rsid w:val="00561548"/>
    <w:rPr>
      <w:b/>
      <w:color w:val="000080"/>
      <w:sz w:val="20"/>
    </w:rPr>
  </w:style>
  <w:style w:type="character" w:styleId="FontStyle12" w:customStyle="1">
    <w:name w:val="Font Style12"/>
    <w:qFormat/>
    <w:rsid w:val="00561548"/>
    <w:rPr>
      <w:rFonts w:ascii="Times New Roman" w:hAnsi="Times New Roman" w:cs="Times New Roman"/>
      <w:sz w:val="28"/>
      <w:szCs w:val="28"/>
    </w:rPr>
  </w:style>
  <w:style w:type="character" w:styleId="21" w:customStyle="1">
    <w:name w:val="Знак сноски2"/>
    <w:qFormat/>
    <w:rsid w:val="00561548"/>
    <w:rPr>
      <w:vertAlign w:val="superscript"/>
    </w:rPr>
  </w:style>
  <w:style w:type="paragraph" w:styleId="Style2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12" w:customStyle="1">
    <w:name w:val="Заголовок таблицы1"/>
    <w:basedOn w:val="Normal"/>
    <w:link w:val="1"/>
    <w:qFormat/>
    <w:rsid w:val="00e24908"/>
    <w:pPr/>
    <w:rPr>
      <w:b/>
    </w:rPr>
  </w:style>
  <w:style w:type="paragraph" w:styleId="Style24" w:customStyle="1">
    <w:name w:val="Тест таблицы"/>
    <w:basedOn w:val="Normal"/>
    <w:link w:val="Style11"/>
    <w:qFormat/>
    <w:rsid w:val="00e24908"/>
    <w:pPr/>
    <w:rPr/>
  </w:style>
  <w:style w:type="paragraph" w:styleId="Revision">
    <w:name w:val="Revision"/>
    <w:uiPriority w:val="99"/>
    <w:semiHidden/>
    <w:qFormat/>
    <w:rsid w:val="00be53e0"/>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ar-SA" w:bidi="ar-SA"/>
    </w:rPr>
  </w:style>
  <w:style w:type="paragraph" w:styleId="BalloonText">
    <w:name w:val="Balloon Text"/>
    <w:basedOn w:val="Normal"/>
    <w:link w:val="Style12"/>
    <w:uiPriority w:val="99"/>
    <w:semiHidden/>
    <w:unhideWhenUsed/>
    <w:qFormat/>
    <w:rsid w:val="00be53e0"/>
    <w:pPr/>
    <w:rPr>
      <w:rFonts w:ascii="Segoe UI" w:hAnsi="Segoe UI" w:cs="Segoe UI"/>
      <w:sz w:val="18"/>
      <w:szCs w:val="18"/>
    </w:rPr>
  </w:style>
  <w:style w:type="paragraph" w:styleId="Annotationtext">
    <w:name w:val="annotation text"/>
    <w:basedOn w:val="Normal"/>
    <w:link w:val="Style13"/>
    <w:uiPriority w:val="99"/>
    <w:unhideWhenUsed/>
    <w:qFormat/>
    <w:rsid w:val="000c7337"/>
    <w:pPr/>
    <w:rPr>
      <w:sz w:val="20"/>
      <w:szCs w:val="20"/>
    </w:rPr>
  </w:style>
  <w:style w:type="paragraph" w:styleId="Annotationsubject">
    <w:name w:val="annotation subject"/>
    <w:basedOn w:val="Annotationtext"/>
    <w:next w:val="Annotationtext"/>
    <w:link w:val="Style14"/>
    <w:uiPriority w:val="99"/>
    <w:semiHidden/>
    <w:unhideWhenUsed/>
    <w:qFormat/>
    <w:rsid w:val="000c7337"/>
    <w:pPr/>
    <w:rPr>
      <w:b/>
      <w:bCs/>
    </w:rPr>
  </w:style>
  <w:style w:type="paragraph" w:styleId="FootnoteText">
    <w:name w:val="Footnote Text"/>
    <w:basedOn w:val="Normal"/>
    <w:link w:val="Style16"/>
    <w:qFormat/>
    <w:rsid w:val="000c7337"/>
    <w:pPr/>
    <w:rPr>
      <w:sz w:val="20"/>
      <w:szCs w:val="20"/>
    </w:rPr>
  </w:style>
  <w:style w:type="paragraph" w:styleId="Style25">
    <w:name w:val="Колонтитул"/>
    <w:basedOn w:val="Normal"/>
    <w:qFormat/>
    <w:pPr/>
    <w:rPr/>
  </w:style>
  <w:style w:type="paragraph" w:styleId="Header">
    <w:name w:val="Header"/>
    <w:basedOn w:val="Normal"/>
    <w:link w:val="Style17"/>
    <w:uiPriority w:val="99"/>
    <w:unhideWhenUsed/>
    <w:rsid w:val="009444b9"/>
    <w:pPr>
      <w:tabs>
        <w:tab w:val="clear" w:pos="708"/>
        <w:tab w:val="center" w:pos="4677" w:leader="none"/>
        <w:tab w:val="right" w:pos="9355" w:leader="none"/>
      </w:tabs>
    </w:pPr>
    <w:rPr/>
  </w:style>
  <w:style w:type="paragraph" w:styleId="Footer">
    <w:name w:val="Footer"/>
    <w:basedOn w:val="Normal"/>
    <w:link w:val="Style18"/>
    <w:uiPriority w:val="99"/>
    <w:unhideWhenUsed/>
    <w:rsid w:val="009444b9"/>
    <w:pPr>
      <w:tabs>
        <w:tab w:val="clear" w:pos="708"/>
        <w:tab w:val="center" w:pos="4677" w:leader="none"/>
        <w:tab w:val="right" w:pos="9355" w:leader="none"/>
      </w:tabs>
    </w:pPr>
    <w:rPr/>
  </w:style>
  <w:style w:type="paragraph" w:styleId="ListParagraph">
    <w:name w:val="List Paragraph"/>
    <w:basedOn w:val="Normal"/>
    <w:uiPriority w:val="34"/>
    <w:qFormat/>
    <w:rsid w:val="00c15c0e"/>
    <w:pPr>
      <w:spacing w:before="0" w:after="0"/>
      <w:ind w:firstLine="709" w:left="720"/>
      <w:contextualSpacing/>
    </w:pPr>
    <w:rPr/>
  </w:style>
  <w:style w:type="paragraph" w:styleId="Style26" w:customStyle="1">
    <w:name w:val="Раздел контракта"/>
    <w:basedOn w:val="Heading1"/>
    <w:qFormat/>
    <w:rsid w:val="00fb3aa7"/>
    <w:pPr>
      <w:keepNext w:val="false"/>
      <w:keepLines w:val="false"/>
      <w:numPr>
        <w:ilvl w:val="0"/>
        <w:numId w:val="1"/>
      </w:numPr>
      <w:spacing w:before="120" w:after="120"/>
      <w:jc w:val="center"/>
    </w:pPr>
    <w:rPr>
      <w:rFonts w:ascii="Times New Roman" w:hAnsi="Times New Roman"/>
      <w:color w:themeColor="accent1" w:themeShade="bf" w:val="auto"/>
      <w:sz w:val="24"/>
      <w:lang w:eastAsia="en-US"/>
    </w:rPr>
  </w:style>
  <w:style w:type="paragraph" w:styleId="Style27" w:customStyle="1">
    <w:name w:val="Пункт контракта"/>
    <w:basedOn w:val="Heading2"/>
    <w:qFormat/>
    <w:rsid w:val="00f87a33"/>
    <w:pPr>
      <w:keepNext w:val="false"/>
      <w:keepLines w:val="false"/>
      <w:numPr>
        <w:ilvl w:val="1"/>
        <w:numId w:val="1"/>
      </w:numPr>
      <w:spacing w:before="0" w:after="0"/>
    </w:pPr>
    <w:rPr>
      <w:rFonts w:ascii="Times New Roman" w:hAnsi="Times New Roman"/>
      <w:color w:themeColor="accent1" w:themeShade="bf" w:val="auto"/>
      <w:sz w:val="24"/>
      <w:lang w:eastAsia="en-US"/>
    </w:rPr>
  </w:style>
  <w:style w:type="paragraph" w:styleId="Style28" w:customStyle="1">
    <w:name w:val="Подпункт контракта"/>
    <w:basedOn w:val="Heading3"/>
    <w:qFormat/>
    <w:rsid w:val="00f87a33"/>
    <w:pPr>
      <w:keepNext w:val="false"/>
      <w:keepLines w:val="false"/>
      <w:numPr>
        <w:ilvl w:val="2"/>
        <w:numId w:val="1"/>
      </w:numPr>
      <w:spacing w:before="0" w:after="0"/>
    </w:pPr>
    <w:rPr>
      <w:rFonts w:ascii="Times New Roman" w:hAnsi="Times New Roman"/>
      <w:color w:themeColor="accent1" w:themeShade="7f" w:val="auto"/>
    </w:rPr>
  </w:style>
  <w:style w:type="paragraph" w:styleId="EndnoteText">
    <w:name w:val="Endnote Text"/>
    <w:basedOn w:val="Normal"/>
    <w:link w:val="Style19"/>
    <w:uiPriority w:val="99"/>
    <w:semiHidden/>
    <w:unhideWhenUsed/>
    <w:rsid w:val="00d20c6c"/>
    <w:pPr/>
    <w:rPr>
      <w:sz w:val="20"/>
      <w:szCs w:val="20"/>
    </w:rPr>
  </w:style>
  <w:style w:type="paragraph" w:styleId="Standard">
    <w:name w:val="Standard"/>
    <w:qFormat/>
    <w:pPr>
      <w:widowControl w:val="false"/>
      <w:suppressAutoHyphens w:val="true"/>
      <w:bidi w:val="0"/>
      <w:spacing w:before="0" w:after="0"/>
      <w:jc w:val="left"/>
    </w:pPr>
    <w:rPr>
      <w:rFonts w:ascii="Arial" w:hAnsi="Arial" w:eastAsia="Times New Roman" w:cs="Arial"/>
      <w:color w:val="auto"/>
      <w:kern w:val="2"/>
      <w:sz w:val="21"/>
      <w:szCs w:val="24"/>
      <w:lang w:val="ru-RU" w:eastAsia="zh-CN"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9">
    <w:name w:val="Table Grid"/>
    <w:basedOn w:val="a4"/>
    <w:uiPriority w:val="39"/>
    <w:rsid w:val="009e0809"/>
    <w:pPr>
      <w:spacing w:after="0" w:line="240" w:lineRule="auto"/>
    </w:pPr>
    <w:rPr>
      <w:lang w:val="en-US"/>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E10B-0517-471C-9E07-EDFB9701C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Application>LibreOffice/7.6.7.2$Linux_X86_64 LibreOffice_project/60$Build-2</Application>
  <AppVersion>15.0000</AppVersion>
  <Pages>7</Pages>
  <Words>2825</Words>
  <Characters>20136</Characters>
  <CharactersWithSpaces>22898</CharactersWithSpaces>
  <Paragraphs>142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2025-03-07T12:51:00Z</dcterms:created>
  <dc:creator>slnk slnk</dc:creator>
  <dc:description/>
  <dc:language>ru-RU</dc:language>
  <cp:lastModifiedBy/>
  <cp:lastPrinted>2025-04-30T12:37:17Z</cp:lastPrinted>
  <dcterms:modified xsi:type="dcterms:W3CDTF">2026-07-30T13:31:02Z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