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"/>
        <w:gridCol w:w="227"/>
        <w:gridCol w:w="1559"/>
        <w:gridCol w:w="567"/>
        <w:gridCol w:w="567"/>
        <w:gridCol w:w="992"/>
        <w:gridCol w:w="992"/>
        <w:gridCol w:w="992"/>
        <w:gridCol w:w="992"/>
        <w:gridCol w:w="992"/>
        <w:gridCol w:w="992"/>
        <w:gridCol w:w="567"/>
        <w:gridCol w:w="992"/>
        <w:gridCol w:w="1418"/>
        <w:gridCol w:w="1559"/>
        <w:gridCol w:w="851"/>
        <w:gridCol w:w="213"/>
        <w:gridCol w:w="1403"/>
      </w:tblGrid>
      <w:tr>
        <w:trPr>
          <w:trHeight w:hRule="exact" w:val="277.83"/>
        </w:trPr>
        <w:tc>
          <w:tcPr>
            <w:tcW w:w="198" w:type="dxa"/>
          </w:tcPr>
          <w:p/>
        </w:tc>
        <w:tc>
          <w:tcPr>
            <w:tcW w:w="15876" w:type="dxa"/>
            <w:gridSpan w:val="1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  <w:color w:val="#000000"/>
                <w:sz w:val="20"/>
                <w:szCs w:val="20"/>
              </w:rPr>
              <w:t> Обоснование начальной(максимальной) цены.</w:t>
            </w:r>
          </w:p>
        </w:tc>
      </w:tr>
      <w:tr>
        <w:trPr>
          <w:trHeight w:hRule="exact" w:val="416.745"/>
        </w:trPr>
        <w:tc>
          <w:tcPr>
            <w:tcW w:w="198" w:type="dxa"/>
          </w:tcPr>
          <w:p/>
        </w:tc>
        <w:tc>
          <w:tcPr>
            <w:tcW w:w="16017.75" w:type="dxa"/>
            <w:gridSpan w:val="1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Предмет контракта: Поставка реагентов  и расходных материалов</w:t>
            </w:r>
          </w:p>
        </w:tc>
      </w:tr>
      <w:tr>
        <w:trPr>
          <w:trHeight w:hRule="exact" w:val="416.745"/>
        </w:trPr>
        <w:tc>
          <w:tcPr>
            <w:tcW w:w="198" w:type="dxa"/>
          </w:tcPr>
          <w:p/>
        </w:tc>
        <w:tc>
          <w:tcPr>
            <w:tcW w:w="227" w:type="dxa"/>
          </w:tcPr>
          <w:p/>
        </w:tc>
        <w:tc>
          <w:tcPr>
            <w:tcW w:w="155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1418" w:type="dxa"/>
          </w:tcPr>
          <w:p/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213" w:type="dxa"/>
          </w:tcPr>
          <w:p/>
        </w:tc>
        <w:tc>
          <w:tcPr>
            <w:tcW w:w="1403" w:type="dxa"/>
          </w:tcPr>
          <w:p/>
        </w:tc>
      </w:tr>
      <w:tr>
        <w:trPr>
          <w:trHeight w:hRule="exact" w:val="972.404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№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Наименование предмета контракта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Ед. изм.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Кол-во</w:t>
            </w:r>
          </w:p>
        </w:tc>
        <w:tc>
          <w:tcPr>
            <w:tcW w:w="4961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Коммерческие предложения (руб./ед.изм.)</w:t>
            </w:r>
          </w:p>
        </w:tc>
        <w:tc>
          <w:tcPr>
            <w:tcW w:w="396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Однородность совокупности значений выявленных цен, используемых в расчете Н(М)ЦК</w:t>
            </w:r>
          </w:p>
        </w:tc>
        <w:tc>
          <w:tcPr>
            <w:tcW w:w="4110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Н(М)ЦК, определяемая методом сопоставимых рыночных цен (анализа рынка)*</w:t>
            </w:r>
          </w:p>
        </w:tc>
      </w:tr>
      <w:tr>
        <w:trPr>
          <w:trHeight w:hRule="exact" w:val="877.590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НДС,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Приме няемы й коэфф ициен 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Средняя арифметиче ская цена за единицу &lt;ц&gt;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Среднее квадратичное отклонение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Коэффициент вариации цен V (%)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(не должен превышать 33%)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Цена за единицу изм. (руб.) (вкл. НДС)</w:t>
            </w:r>
          </w:p>
        </w:tc>
        <w:tc>
          <w:tcPr>
            <w:tcW w:w="1615.95" w:type="dxa"/>
            <w:gridSpan w:val="2"/>
            <w:tcBorders>
              <w:top w:val="single" w:sz="8" w:space="0" w:color="#000000"/>
              <w:lef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Н(М)ЦК по формуле, где v - количество (объем) закупаемого товара (работы, услуги) (вкл. НДС)</w:t>
            </w:r>
          </w:p>
        </w:tc>
      </w:tr>
      <w:tr>
        <w:trPr>
          <w:trHeight w:hRule="exact" w:val="168.315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27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615.95" w:type="dxa"/>
            <w:gridSpan w:val="2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48.430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12.5497" w:type="dxa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27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33.729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12.5497" w:type="dxa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</w:tr>
      <w:tr>
        <w:trPr>
          <w:trHeight w:hRule="exact" w:val="935.802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Кальцитонин ИВД, набор, иммунохемилюмин есцентный анализ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наб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19 159,09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19 168,18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19 163,64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19 163,64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4,55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21 080,00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21 080,00</w:t>
            </w:r>
          </w:p>
        </w:tc>
      </w:tr>
      <w:tr>
        <w:trPr>
          <w:trHeight w:hRule="exact" w:val="555.6598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Кальцитонин ИВД, калибратор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уп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6 545,45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6 561,82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6 554,55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6 553,94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8,20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7 209,33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7 209,33</w:t>
            </w:r>
          </w:p>
        </w:tc>
      </w:tr>
      <w:tr>
        <w:trPr>
          <w:trHeight w:hRule="exact" w:val="755.579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Кассета для определения паратиреоидного гормона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наб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26 362,73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26 381,82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26 363,64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26 369,40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10,77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29 006,34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29 006,34</w:t>
            </w:r>
          </w:p>
        </w:tc>
      </w:tr>
      <w:tr>
        <w:trPr>
          <w:trHeight w:hRule="exact" w:val="755.579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Калибратор для определения паратиреоидного гормона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наб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5 818,18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5 833,64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5 827,27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5 826,36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7,77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6 409,00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6 409,00</w:t>
            </w:r>
          </w:p>
        </w:tc>
      </w:tr>
      <w:tr>
        <w:trPr>
          <w:trHeight w:hRule="exact" w:val="1116.17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Множественные аналиты связанные с анемией ИВД, контрольный материал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наб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9 293,64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9 299,09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9 295,45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9 296,06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2,78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10 225,67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10 225,67</w:t>
            </w:r>
          </w:p>
        </w:tc>
      </w:tr>
      <w:tr>
        <w:trPr>
          <w:trHeight w:hRule="exact" w:val="1116.17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Множественные аналиты связанные с анемией ИВД, контрольный материал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наб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9 293,64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9 299,09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9 295,45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9 296,06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2,78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10 225,67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10 225,67</w:t>
            </w:r>
          </w:p>
        </w:tc>
      </w:tr>
      <w:tr>
        <w:trPr>
          <w:trHeight w:hRule="exact" w:val="555.6598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Электрод pH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шт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48 695,45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48 713,64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48 700,00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48 703,03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9,47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53 573,33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53 573,33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10915"/>
      </w:tblGrid>
      <w:tr>
        <w:trPr>
          <w:trHeight w:hRule="exact" w:val="1111.32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 результате проведенного расчета Н(М)ЦК контракта составила:</w:t>
            </w:r>
          </w:p>
        </w:tc>
        <w:tc>
          <w:tcPr>
            <w:tcW w:w="10914.75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137 729,34</w:t>
            </w:r>
          </w:p>
        </w:tc>
      </w:tr>
      <w:tr>
        <w:trPr>
          <w:trHeight w:hRule="exact" w:val="694.575"/>
        </w:trPr>
        <w:tc>
          <w:tcPr>
            <w:tcW w:w="16159.5" w:type="dxa"/>
            <w:gridSpan w:val="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*В соответствии с частью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обязательств, за исключением случаев, установленных пунктом 3 указанной статьи.  В соответствии со статьей 34 Бюджетного кодекса Российской Федерации начальная (максимальная) цена Контракта установлена исходя из наименьшей цены коммерческого предложения.</w:t>
            </w:r>
          </w:p>
        </w:tc>
      </w:tr>
      <w:tr>
        <w:trPr>
          <w:trHeight w:hRule="exact" w:val="416.745"/>
        </w:trPr>
        <w:tc>
          <w:tcPr>
            <w:tcW w:w="16159.5" w:type="dxa"/>
            <w:gridSpan w:val="2"/>
            <w:tcBorders>
              <w:left w:val="single" w:sz="8" w:space="0" w:color="#000000"/>
              <w:right w:val="single" w:sz="8" w:space="0" w:color="#000000"/>
            </w:tcBorders>
            <w:shd w:val="clear" w:color="#FF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FF0000"/>
                <w:sz w:val="16"/>
                <w:szCs w:val="16"/>
              </w:rPr>
              <w:t> В результате НМЦК составляет   137 685,00  руб.</w:t>
            </w:r>
          </w:p>
        </w:tc>
      </w:tr>
      <w:tr>
        <w:trPr>
          <w:trHeight w:hRule="exact" w:val="555.66"/>
        </w:trPr>
        <w:tc>
          <w:tcPr>
            <w:tcW w:w="1615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Источник формирования начальной (максимальной) цены: цена контракта определена в соответствии со статьей 22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Методическими рекомендациями Министерства экономического развития РФ от 2 октября 2013 г. N 567.</w:t>
            </w:r>
          </w:p>
        </w:tc>
      </w:tr>
      <w:tr>
        <w:trPr>
          <w:trHeight w:hRule="exact" w:val="1111.32"/>
        </w:trPr>
        <w:tc>
          <w:tcPr>
            <w:tcW w:w="1615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НМЦК произвел:    Васильева Е.А.  / _____________________          Дата:     «_____»_____________________ 2026 г.</w:t>
            </w:r>
          </w:p>
        </w:tc>
      </w:tr>
    </w:tbl>
    <w:p/>
    <w:sectPr>
      <w:pgSz w:w="16840" w:h="11907" w:orient="landscape"/>
      <w:pgMar w:top="283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НМЦК2</dc:title>
  <dc:creator>FastReport.NET</dc:creator>
</cp:coreProperties>
</file>