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firstLine="709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КОНТРАКТ РГМУ 33152</w:t>
      </w:r>
    </w:p>
    <w:p w14:paraId="02000000">
      <w:pPr>
        <w:ind w:firstLine="709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на проведение </w:t>
      </w:r>
      <w:r>
        <w:rPr>
          <w:rFonts w:ascii="Times New Roman" w:hAnsi="Times New Roman"/>
          <w:b w:val="1"/>
        </w:rPr>
        <w:t>патолого-анатомических вскрытий</w:t>
      </w:r>
    </w:p>
    <w:p w14:paraId="03000000">
      <w:pPr>
        <w:ind w:firstLine="709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ИКЗ:</w:t>
      </w:r>
      <w:r>
        <w:rPr>
          <w:rFonts w:ascii="Times New Roman" w:hAnsi="Times New Roman"/>
          <w:b w:val="1"/>
        </w:rPr>
        <w:t>261616303285061630100100130000000244</w:t>
      </w:r>
    </w:p>
    <w:p w14:paraId="04000000">
      <w:pPr>
        <w:ind w:firstLine="709" w:left="0"/>
        <w:jc w:val="center"/>
        <w:rPr>
          <w:rFonts w:ascii="Times New Roman" w:hAnsi="Times New Roman"/>
        </w:rPr>
      </w:pPr>
    </w:p>
    <w:p w14:paraId="05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Ростов-на-Дону </w:t>
      </w:r>
      <w:r>
        <w:rPr>
          <w:rFonts w:ascii="Times New Roman" w:hAnsi="Times New Roman"/>
        </w:rPr>
        <w:t xml:space="preserve">                                                      </w:t>
      </w:r>
      <w:r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   «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_____________2026г.</w:t>
      </w:r>
      <w:r>
        <w:rPr>
          <w:rFonts w:ascii="Times New Roman" w:hAnsi="Times New Roman"/>
        </w:rPr>
        <w:t xml:space="preserve"> </w:t>
      </w:r>
    </w:p>
    <w:p w14:paraId="06000000">
      <w:pPr>
        <w:ind w:firstLine="709" w:left="0"/>
        <w:rPr>
          <w:rFonts w:ascii="Times New Roman" w:hAnsi="Times New Roman"/>
        </w:rPr>
      </w:pPr>
    </w:p>
    <w:p w14:paraId="07000000">
      <w:pPr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Федерации» </w:t>
      </w:r>
      <w:r>
        <w:rPr>
          <w:rFonts w:ascii="Times New Roman" w:hAnsi="Times New Roman"/>
        </w:rPr>
        <w:t>именуемое в дальнейшем «Заказчик»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в лице и.о. ректора Шишова Михаила Алексеевича,</w:t>
      </w:r>
      <w:r>
        <w:rPr>
          <w:rFonts w:ascii="Times New Roman" w:hAnsi="Times New Roman"/>
        </w:rPr>
        <w:t xml:space="preserve"> действующего на основании </w:t>
      </w:r>
      <w:r>
        <w:rPr>
          <w:rFonts w:ascii="Times New Roman" w:hAnsi="Times New Roman"/>
        </w:rPr>
        <w:t>Устава</w:t>
      </w:r>
      <w:r>
        <w:rPr>
          <w:rFonts w:ascii="Times New Roman" w:hAnsi="Times New Roman"/>
        </w:rPr>
        <w:t xml:space="preserve">, с одной стороны и  </w:t>
      </w:r>
      <w:r>
        <w:rPr>
          <w:rFonts w:ascii="Times New Roman" w:hAnsi="Times New Roman"/>
          <w:b w:val="1"/>
        </w:rPr>
        <w:t>_______________,</w:t>
      </w:r>
      <w:r>
        <w:rPr>
          <w:rFonts w:ascii="Times New Roman" w:hAnsi="Times New Roman"/>
        </w:rPr>
        <w:t xml:space="preserve"> имеющее </w:t>
      </w:r>
      <w:r>
        <w:rPr>
          <w:rFonts w:ascii="Times New Roman" w:hAnsi="Times New Roman"/>
          <w:spacing w:val="-3"/>
        </w:rPr>
        <w:t xml:space="preserve">лицензию на осуществление медицинской деятельности </w:t>
      </w:r>
      <w:r>
        <w:rPr>
          <w:rFonts w:ascii="Times New Roman" w:hAnsi="Times New Roman"/>
        </w:rPr>
        <w:t>от ________________________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spacing w:val="-3"/>
        </w:rPr>
        <w:t>выданную __________________________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именуемое в дальнейшем «Исполнитель»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лице ___________________, действующей на основании_____________,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</w:rPr>
        <w:t xml:space="preserve">с другой стороны, </w:t>
      </w:r>
      <w:r>
        <w:rPr>
          <w:rFonts w:ascii="Times New Roman" w:hAnsi="Times New Roman"/>
        </w:rPr>
        <w:t>в соответствии с п. 4 ч. 1 ст. 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заключили Контракт о нижеследующем.</w:t>
      </w:r>
    </w:p>
    <w:p w14:paraId="08000000">
      <w:pPr>
        <w:ind w:firstLine="709" w:left="0"/>
        <w:jc w:val="center"/>
        <w:rPr>
          <w:rFonts w:ascii="Times New Roman" w:hAnsi="Times New Roman"/>
          <w:b w:val="1"/>
        </w:rPr>
      </w:pPr>
    </w:p>
    <w:p w14:paraId="09000000">
      <w:pPr>
        <w:ind w:firstLine="709"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1. Предмет Контракта</w:t>
      </w:r>
    </w:p>
    <w:p w14:paraId="0A000000">
      <w:pPr>
        <w:ind w:firstLine="709" w:lef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1.1. Заказчик поручает, а Исполнитель берет на себя обязательст</w:t>
      </w:r>
      <w:r>
        <w:rPr>
          <w:rFonts w:ascii="Times New Roman" w:hAnsi="Times New Roman"/>
        </w:rPr>
        <w:t xml:space="preserve">во оказывать медицинские услуги, в соответствии  с лицензией </w:t>
      </w:r>
      <w:r>
        <w:rPr>
          <w:rFonts w:ascii="Times New Roman" w:hAnsi="Times New Roman"/>
        </w:rPr>
        <w:t>от ___________________</w:t>
      </w:r>
      <w:r>
        <w:rPr>
          <w:rFonts w:ascii="Times New Roman" w:hAnsi="Times New Roman"/>
        </w:rPr>
        <w:t xml:space="preserve">, выданной ____________________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проведение патолого-анатомических вскрытий (посмертное патолого-анатомические исследование внутренних органов и тканей умершего человека, новорожденных, а также мертворожденных и плодов) в патолого-анатомических отделениях медицинских организаций, имеющих лицензии на осуществление медицинской деятельности, предусматривающие выполнение работ (услуг) по патологической анатомии, в случае смерти застрахованного лица при получении медицинской помощи в стационарных условиях (результат госпитализации) по поводу заболеваний и (или) состояний, включённых в базовую программу обязательного медицинского страхования, в указанных медицинских организациях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в порядке и на условиях, предусмотренных настоящим Контрактом</w:t>
      </w:r>
      <w:r>
        <w:rPr>
          <w:rFonts w:ascii="Times New Roman" w:hAnsi="Times New Roman"/>
          <w:color w:val="000000"/>
        </w:rPr>
        <w:t>.</w:t>
      </w:r>
    </w:p>
    <w:p w14:paraId="0B000000">
      <w:pPr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 Основанием для оказания услуги является направление на патолого-анатомическое вскрытие </w:t>
      </w:r>
      <w:r>
        <w:rPr>
          <w:rFonts w:ascii="Times New Roman" w:hAnsi="Times New Roman"/>
        </w:rPr>
        <w:t xml:space="preserve">с </w:t>
      </w:r>
      <w:r>
        <w:rPr>
          <w:rFonts w:ascii="Times New Roman" w:hAnsi="Times New Roman"/>
        </w:rPr>
        <w:t>подписью лица, выдавшего напр</w:t>
      </w:r>
      <w:r>
        <w:rPr>
          <w:rFonts w:ascii="Times New Roman" w:hAnsi="Times New Roman"/>
        </w:rPr>
        <w:t xml:space="preserve">авление, заверенное печатью, с </w:t>
      </w:r>
      <w:r>
        <w:rPr>
          <w:rFonts w:ascii="Times New Roman" w:hAnsi="Times New Roman"/>
        </w:rPr>
        <w:t>обязательным указанием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Ф.И.О. умершего, серии и номера паспорта, места регистрации, </w:t>
      </w:r>
      <w:r>
        <w:rPr>
          <w:rFonts w:ascii="Times New Roman" w:hAnsi="Times New Roman"/>
        </w:rPr>
        <w:t>номера полиса обязательного медицинского страхования с реестровым номером и наимен</w:t>
      </w:r>
      <w:r>
        <w:rPr>
          <w:rFonts w:ascii="Times New Roman" w:hAnsi="Times New Roman"/>
        </w:rPr>
        <w:t>ованием страхов</w:t>
      </w:r>
      <w:r>
        <w:rPr>
          <w:rFonts w:ascii="Times New Roman" w:hAnsi="Times New Roman"/>
        </w:rPr>
        <w:t xml:space="preserve">ой компании. Направление на патолого-анатомическое вскрытие </w:t>
      </w:r>
      <w:r>
        <w:rPr>
          <w:rFonts w:ascii="Times New Roman" w:hAnsi="Times New Roman"/>
        </w:rPr>
        <w:t xml:space="preserve">умершего новорожденного, мертворожденного или плода происходит на основании полиса ОМС и </w:t>
      </w:r>
      <w:r>
        <w:rPr>
          <w:rFonts w:ascii="Times New Roman" w:hAnsi="Times New Roman"/>
        </w:rPr>
        <w:t xml:space="preserve">личных </w:t>
      </w:r>
      <w:r>
        <w:rPr>
          <w:rFonts w:ascii="Times New Roman" w:hAnsi="Times New Roman"/>
        </w:rPr>
        <w:t>данных</w:t>
      </w:r>
      <w:r>
        <w:rPr>
          <w:rFonts w:ascii="Times New Roman" w:hAnsi="Times New Roman"/>
        </w:rPr>
        <w:t xml:space="preserve"> пациентки</w:t>
      </w:r>
      <w:r>
        <w:rPr>
          <w:rFonts w:ascii="Times New Roman" w:hAnsi="Times New Roman"/>
        </w:rPr>
        <w:t>.</w:t>
      </w:r>
    </w:p>
    <w:p w14:paraId="0C000000">
      <w:pPr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Наименование, количество и иные характеристики оказываемых услуг указаны в спецификации (приложение к Контракту № 1), являющейся неотъемлемой частью Контракт</w:t>
      </w:r>
      <w:r>
        <w:rPr>
          <w:rFonts w:ascii="Times New Roman" w:hAnsi="Times New Roman"/>
        </w:rPr>
        <w:t>а.</w:t>
      </w:r>
    </w:p>
    <w:p w14:paraId="0D000000">
      <w:pPr>
        <w:ind w:firstLine="709" w:left="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Медицинские услуги оказываются по адресу</w:t>
      </w:r>
      <w:r>
        <w:rPr>
          <w:rFonts w:ascii="Times New Roman" w:hAnsi="Times New Roman"/>
        </w:rPr>
        <w:t xml:space="preserve"> Исполнителя</w:t>
      </w:r>
      <w:r>
        <w:rPr>
          <w:rFonts w:ascii="Times New Roman" w:hAnsi="Times New Roman"/>
        </w:rPr>
        <w:t>, согласно маршрутизации, утверждённой приказом Минздрава Ростовской области.</w:t>
      </w:r>
    </w:p>
    <w:p w14:paraId="0E000000">
      <w:pPr>
        <w:ind w:firstLine="709" w:left="0"/>
        <w:jc w:val="both"/>
        <w:rPr>
          <w:rFonts w:ascii="Times New Roman" w:hAnsi="Times New Roman"/>
          <w:b w:val="1"/>
        </w:rPr>
      </w:pPr>
    </w:p>
    <w:p w14:paraId="0F000000">
      <w:pPr>
        <w:ind w:firstLine="709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2. </w:t>
      </w:r>
      <w:r>
        <w:rPr>
          <w:rFonts w:ascii="Times New Roman" w:hAnsi="Times New Roman"/>
          <w:b w:val="1"/>
        </w:rPr>
        <w:t>О</w:t>
      </w:r>
      <w:r>
        <w:rPr>
          <w:rFonts w:ascii="Times New Roman" w:hAnsi="Times New Roman"/>
          <w:b w:val="1"/>
        </w:rPr>
        <w:t>бязанности сторон</w:t>
      </w:r>
    </w:p>
    <w:p w14:paraId="10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2.</w:t>
      </w:r>
      <w:r>
        <w:rPr>
          <w:rFonts w:ascii="Times New Roman" w:hAnsi="Times New Roman"/>
          <w:b w:val="1"/>
        </w:rPr>
        <w:t>1</w:t>
      </w:r>
      <w:r>
        <w:rPr>
          <w:rFonts w:ascii="Times New Roman" w:hAnsi="Times New Roman"/>
          <w:b w:val="1"/>
        </w:rPr>
        <w:t>. Исполнитель обязуется:</w:t>
      </w:r>
    </w:p>
    <w:p w14:paraId="11000000">
      <w:pPr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.1. </w:t>
      </w:r>
      <w:r>
        <w:rPr>
          <w:rFonts w:ascii="Times New Roman" w:hAnsi="Times New Roman"/>
        </w:rPr>
        <w:t>Обеспечить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проведение патолого-анатомических вскрытий в соответствии с положениями приказа Министерства здравоохранения Российской Федерации </w:t>
      </w:r>
      <w:r>
        <w:rPr>
          <w:rFonts w:ascii="Times New Roman" w:hAnsi="Times New Roman"/>
          <w:color w:val="000000"/>
        </w:rPr>
        <w:t>от 6 июня 2013 г. № 354н «</w:t>
      </w:r>
      <w:r>
        <w:rPr>
          <w:rFonts w:ascii="Times New Roman" w:hAnsi="Times New Roman"/>
          <w:color w:val="000000"/>
        </w:rPr>
        <w:t xml:space="preserve">О порядке проведения </w:t>
      </w:r>
      <w:r>
        <w:rPr>
          <w:rFonts w:ascii="Times New Roman" w:hAnsi="Times New Roman"/>
          <w:color w:val="000000"/>
        </w:rPr>
        <w:t>патолого-анатомических вскрытий»</w:t>
      </w:r>
      <w:r>
        <w:rPr>
          <w:rFonts w:ascii="Times New Roman" w:hAnsi="Times New Roman"/>
          <w:color w:val="000000"/>
        </w:rPr>
        <w:t>;</w:t>
      </w:r>
      <w:r>
        <w:rPr>
          <w:rFonts w:ascii="Times New Roman" w:hAnsi="Times New Roman"/>
        </w:rPr>
        <w:t xml:space="preserve"> </w:t>
      </w:r>
    </w:p>
    <w:p w14:paraId="12000000">
      <w:pPr>
        <w:ind w:firstLine="709" w:left="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color w:val="000000"/>
        </w:rPr>
        <w:t>2.</w:t>
      </w:r>
      <w:r>
        <w:rPr>
          <w:rFonts w:ascii="Times New Roman" w:hAnsi="Times New Roman"/>
          <w:color w:val="000000"/>
        </w:rPr>
        <w:t>1</w:t>
      </w:r>
      <w:r>
        <w:rPr>
          <w:rFonts w:ascii="Times New Roman" w:hAnsi="Times New Roman"/>
          <w:color w:val="000000"/>
        </w:rPr>
        <w:t>.2</w:t>
      </w:r>
      <w:r>
        <w:rPr>
          <w:rFonts w:ascii="Times New Roman" w:hAnsi="Times New Roman"/>
          <w:color w:val="000000"/>
        </w:rPr>
        <w:t xml:space="preserve">. Соблюдать условия обработки персональных данных, </w:t>
      </w:r>
      <w:r>
        <w:rPr>
          <w:rFonts w:ascii="Times New Roman" w:hAnsi="Times New Roman"/>
        </w:rPr>
        <w:t>предусмотренные Федеральным законом «О персональных данных» от 27.07.2006г. № 152-ФЗ (</w:t>
      </w:r>
      <w:r>
        <w:rPr>
          <w:rFonts w:ascii="Times New Roman" w:hAnsi="Times New Roman"/>
        </w:rPr>
        <w:t xml:space="preserve">ч.1. </w:t>
      </w:r>
      <w:r>
        <w:rPr>
          <w:rFonts w:ascii="Times New Roman" w:hAnsi="Times New Roman"/>
        </w:rPr>
        <w:t xml:space="preserve">п.6 ст. 6 </w:t>
      </w:r>
      <w:r>
        <w:rPr>
          <w:rFonts w:ascii="Times New Roman" w:hAnsi="Times New Roman"/>
        </w:rPr>
        <w:t xml:space="preserve">ФЗ </w:t>
      </w:r>
      <w:r>
        <w:rPr>
          <w:rFonts w:ascii="Times New Roman" w:hAnsi="Times New Roman"/>
        </w:rPr>
        <w:t>«О персональных данных</w:t>
      </w:r>
      <w:r>
        <w:rPr>
          <w:rFonts w:ascii="Times New Roman" w:hAnsi="Times New Roman"/>
        </w:rPr>
        <w:t xml:space="preserve"> «обработка персональных допускается, если обработка данных необходима для защиты жизни, здоровья или иных жизненно важных интересов субъекта персональных данных, а получение согласия субъекта п</w:t>
      </w:r>
      <w:r>
        <w:rPr>
          <w:rFonts w:ascii="Times New Roman" w:hAnsi="Times New Roman"/>
        </w:rPr>
        <w:t>ерсональных данных невозможно»);</w:t>
      </w:r>
    </w:p>
    <w:p w14:paraId="13000000">
      <w:pPr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.3. Ежемесячно совместно с Заказчиком производить сверку объемов оказанных услуг;</w:t>
      </w:r>
    </w:p>
    <w:p w14:paraId="14000000">
      <w:pPr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.4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>Немедленно при обнаружении обстоятельств, вл</w:t>
      </w:r>
      <w:r>
        <w:rPr>
          <w:rFonts w:ascii="Times New Roman" w:hAnsi="Times New Roman"/>
        </w:rPr>
        <w:t xml:space="preserve">екущих невозможность исполнения </w:t>
      </w:r>
      <w:r>
        <w:rPr>
          <w:rFonts w:ascii="Times New Roman" w:hAnsi="Times New Roman"/>
        </w:rPr>
        <w:t>настоящего Контракта, сообщить о них Заказчику.</w:t>
      </w:r>
    </w:p>
    <w:p w14:paraId="15000000">
      <w:pPr>
        <w:pStyle w:val="Style_1"/>
        <w:tabs>
          <w:tab w:leader="none" w:pos="281" w:val="left"/>
        </w:tabs>
        <w:spacing w:after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.5</w:t>
      </w:r>
      <w:r>
        <w:rPr>
          <w:rFonts w:ascii="Times New Roman" w:hAnsi="Times New Roman"/>
        </w:rPr>
        <w:t xml:space="preserve">. Ответственные за исполнение Контракта: </w:t>
      </w:r>
    </w:p>
    <w:p w14:paraId="16000000">
      <w:pPr>
        <w:pStyle w:val="Style_1"/>
        <w:tabs>
          <w:tab w:leader="none" w:pos="281" w:val="left"/>
        </w:tabs>
        <w:spacing w:after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</w:t>
      </w:r>
      <w:r>
        <w:rPr>
          <w:rFonts w:ascii="Times New Roman" w:hAnsi="Times New Roman"/>
        </w:rPr>
        <w:t>_______________________________</w:t>
      </w:r>
    </w:p>
    <w:p w14:paraId="17000000">
      <w:pPr>
        <w:ind w:firstLine="709" w:left="0"/>
        <w:jc w:val="both"/>
        <w:rPr>
          <w:rFonts w:ascii="Times New Roman" w:hAnsi="Times New Roman"/>
        </w:rPr>
      </w:pPr>
    </w:p>
    <w:p w14:paraId="18000000">
      <w:pPr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 w:val="1"/>
        </w:rPr>
        <w:t xml:space="preserve">Заказчик </w:t>
      </w:r>
      <w:r>
        <w:rPr>
          <w:rFonts w:ascii="Times New Roman" w:hAnsi="Times New Roman"/>
          <w:b w:val="1"/>
        </w:rPr>
        <w:t xml:space="preserve"> обязуется:</w:t>
      </w:r>
    </w:p>
    <w:p w14:paraId="19000000">
      <w:pPr>
        <w:pStyle w:val="Style_2"/>
        <w:tabs>
          <w:tab w:leader="none" w:pos="720" w:val="left"/>
        </w:tabs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.1. </w:t>
      </w:r>
      <w:r>
        <w:rPr>
          <w:rFonts w:ascii="Times New Roman" w:hAnsi="Times New Roman"/>
        </w:rPr>
        <w:t>Обеспечить транспортировку тел умерших</w:t>
      </w:r>
      <w:r>
        <w:rPr>
          <w:rFonts w:ascii="Times New Roman" w:hAnsi="Times New Roman"/>
        </w:rPr>
        <w:t xml:space="preserve"> (умершего новорожденного, мертворожденного или плода)</w:t>
      </w:r>
      <w:r>
        <w:rPr>
          <w:rFonts w:ascii="Times New Roman" w:hAnsi="Times New Roman"/>
        </w:rPr>
        <w:t>, зарегистрированных в системе ОМС,</w:t>
      </w:r>
      <w:r>
        <w:rPr>
          <w:rFonts w:ascii="Times New Roman" w:hAnsi="Times New Roman"/>
        </w:rPr>
        <w:t xml:space="preserve"> (а также не имеющих полиса ОМС)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вместе с</w:t>
      </w:r>
      <w:r>
        <w:rPr>
          <w:rFonts w:ascii="Times New Roman" w:hAnsi="Times New Roman"/>
        </w:rPr>
        <w:t xml:space="preserve"> сопроводи</w:t>
      </w:r>
      <w:r>
        <w:rPr>
          <w:rFonts w:ascii="Times New Roman" w:hAnsi="Times New Roman"/>
        </w:rPr>
        <w:t>тельной медицинской документацией</w:t>
      </w:r>
      <w:r>
        <w:rPr>
          <w:rFonts w:ascii="Times New Roman" w:hAnsi="Times New Roman"/>
        </w:rPr>
        <w:t>, в соответствии с разделом 3 настоящего Контракта</w:t>
      </w:r>
      <w:r>
        <w:rPr>
          <w:rFonts w:ascii="Times New Roman" w:hAnsi="Times New Roman"/>
        </w:rPr>
        <w:t>;</w:t>
      </w:r>
    </w:p>
    <w:p w14:paraId="1A000000">
      <w:pPr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.2. Ежемесячно совместно с </w:t>
      </w:r>
      <w:r>
        <w:rPr>
          <w:rFonts w:ascii="Times New Roman" w:hAnsi="Times New Roman"/>
        </w:rPr>
        <w:t>Исполнителе</w:t>
      </w:r>
      <w:r>
        <w:rPr>
          <w:rFonts w:ascii="Times New Roman" w:hAnsi="Times New Roman"/>
        </w:rPr>
        <w:t>м производить сверку объемов оказанных услуг;</w:t>
      </w:r>
    </w:p>
    <w:p w14:paraId="1B000000">
      <w:pPr>
        <w:widowControl w:val="1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.3.С</w:t>
      </w:r>
      <w:r>
        <w:rPr>
          <w:rFonts w:ascii="Times New Roman" w:hAnsi="Times New Roman"/>
        </w:rPr>
        <w:t>воевременно и в полном объеме оплачивать</w:t>
      </w:r>
      <w:r>
        <w:rPr>
          <w:rFonts w:ascii="Times New Roman" w:hAnsi="Times New Roman"/>
        </w:rPr>
        <w:t xml:space="preserve"> услуги, оказанные Исполнителем</w:t>
      </w:r>
      <w:r>
        <w:rPr>
          <w:rFonts w:ascii="Times New Roman" w:hAnsi="Times New Roman"/>
        </w:rPr>
        <w:t>, в соответствии с условиями настоящего Контракта</w:t>
      </w:r>
      <w:r>
        <w:rPr>
          <w:rFonts w:ascii="Times New Roman" w:hAnsi="Times New Roman"/>
        </w:rPr>
        <w:t>.</w:t>
      </w:r>
    </w:p>
    <w:p w14:paraId="1C000000">
      <w:pPr>
        <w:widowControl w:val="1"/>
        <w:ind w:firstLine="709" w:left="0"/>
        <w:jc w:val="both"/>
        <w:rPr>
          <w:rFonts w:ascii="Times New Roman" w:hAnsi="Times New Roman"/>
        </w:rPr>
      </w:pPr>
    </w:p>
    <w:p w14:paraId="1D000000">
      <w:pPr>
        <w:widowControl w:val="1"/>
        <w:ind w:firstLine="709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3. Правила направления тел умерших для проведения патолого-анатомического вскрытия</w:t>
      </w:r>
    </w:p>
    <w:p w14:paraId="1E000000">
      <w:pPr>
        <w:widowControl w:val="1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. Доставка тел умерших для производства патологоанатомических вскрытий производится в соответствии с положениями Приказа Минздрава Российской Федерации </w:t>
      </w:r>
      <w:r>
        <w:rPr>
          <w:rFonts w:ascii="Times New Roman" w:hAnsi="Times New Roman"/>
          <w:color w:val="000000"/>
        </w:rPr>
        <w:t>от 29 апреля 2025</w:t>
      </w:r>
      <w:r>
        <w:rPr>
          <w:rFonts w:ascii="Times New Roman" w:hAnsi="Times New Roman"/>
          <w:color w:val="000000"/>
        </w:rPr>
        <w:t xml:space="preserve"> г. </w:t>
      </w:r>
      <w:r>
        <w:rPr>
          <w:rFonts w:ascii="Times New Roman" w:hAnsi="Times New Roman"/>
          <w:color w:val="000000"/>
        </w:rPr>
        <w:t>№ 261</w:t>
      </w:r>
      <w:r>
        <w:rPr>
          <w:rFonts w:ascii="Times New Roman" w:hAnsi="Times New Roman"/>
          <w:color w:val="000000"/>
        </w:rPr>
        <w:t>н</w:t>
      </w:r>
      <w:r>
        <w:rPr>
          <w:rFonts w:ascii="Times New Roman" w:hAnsi="Times New Roman"/>
          <w:b w:val="1"/>
          <w:color w:val="000000"/>
        </w:rPr>
        <w:t>.</w:t>
      </w:r>
    </w:p>
    <w:p w14:paraId="1F000000">
      <w:pPr>
        <w:widowControl w:val="1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Направление тел умерших, а также мертворожденных, на патолого-анатомическое вскрытие осуществляется после констатации биологической смерти человека медицинским работником медицинской организации в порядке, установленном Правилами определения момента смерти человека, в том числе критериями и процедурой установления смерти человека, утвержденными постановлением Правительства Российской Федерации от 20 сентября 2012 г. № 950 (Собрание законодательства Российской Федерации, 2012, № 39, ст. 5289). </w:t>
      </w:r>
    </w:p>
    <w:p w14:paraId="20000000">
      <w:pPr>
        <w:widowControl w:val="1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Направление на патолого-анатомическое вскрытие тел умерших в медицинских организациях, оказывающих медицинскую помощь в стационарных условиях, организует заведующий отделением медицинской организации, в котором находился пациент на момент наступления смерти, а в случае его отсутствия – дежурный врач. </w:t>
      </w:r>
    </w:p>
    <w:p w14:paraId="21000000">
      <w:pPr>
        <w:widowControl w:val="1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 Медицинский работник учреждения «Заказчика» оформляет направление на патолого-анатомическое вскрытие </w:t>
      </w:r>
      <w:r>
        <w:rPr>
          <w:rFonts w:ascii="Times New Roman" w:hAnsi="Times New Roman"/>
        </w:rPr>
        <w:t xml:space="preserve">(Приложение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). </w:t>
      </w:r>
    </w:p>
    <w:p w14:paraId="22000000">
      <w:pPr>
        <w:widowControl w:val="1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>. Для проведения патолого-анатомического вскрытия вместе с телом умершего в патолого-анатомическое бюро (отделение) направляется медицинская документация умершего – медицинская карта стационарного больного (медицинская карта родов, медицинская карта новорожденного, история развития ребенка), содержащие результаты проведенных лабораторных и инструментальных диагностических исследований, карты анестезиологических и реанимационных пособий, протоколы оперативных вмешательств, заключительный клинический диагноз с указанием кода диагноза в соответствии с МКБ-Х и посмертный эпикриз</w:t>
      </w:r>
      <w:r>
        <w:rPr>
          <w:rFonts w:ascii="Times New Roman" w:hAnsi="Times New Roman"/>
        </w:rPr>
        <w:t xml:space="preserve">. </w:t>
      </w:r>
    </w:p>
    <w:p w14:paraId="23000000">
      <w:pPr>
        <w:widowControl w:val="1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3.6</w:t>
      </w:r>
      <w:r>
        <w:rPr>
          <w:rFonts w:ascii="Times New Roman" w:hAnsi="Times New Roman"/>
        </w:rPr>
        <w:t>. При подозрении на наличие признаков насильственной смерти, признаков потребления наркотических средств или психотропных веществ без назначения врача тело умершего направляется на судебно-медицинскую экспертизу в соответствии с порядком проведения судебно-медицинских экспертиз, утвержденным Министерством здравоохранения Российской Федерации в соответствии с частью 2 статьи 62 Федерального закона Российской Федерации от 21 ноября 2011 г. № 323-ФЗ «Об основах охраны здоровья граждан в Российской Федерации</w:t>
      </w:r>
      <w:r>
        <w:rPr>
          <w:rFonts w:ascii="Times New Roman" w:hAnsi="Times New Roman"/>
          <w:i w:val="1"/>
        </w:rPr>
        <w:t xml:space="preserve">» </w:t>
      </w:r>
      <w:r>
        <w:rPr>
          <w:rFonts w:ascii="Times New Roman" w:hAnsi="Times New Roman"/>
        </w:rPr>
        <w:t xml:space="preserve">(Собрание законодательства Российской Федерации, 2011, № 48, ст. 6724; 2012, № 26, ст. 3442, 3446). </w:t>
      </w:r>
    </w:p>
    <w:p w14:paraId="24000000">
      <w:pPr>
        <w:widowControl w:val="1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3.7</w:t>
      </w:r>
      <w:r>
        <w:rPr>
          <w:rFonts w:ascii="Times New Roman" w:hAnsi="Times New Roman"/>
        </w:rPr>
        <w:t xml:space="preserve">. Патолого-анатомическое вскрытие проводится в срок до трех суток после констатации биологической смерти человека. </w:t>
      </w:r>
    </w:p>
    <w:p w14:paraId="25000000">
      <w:pPr>
        <w:widowControl w:val="1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3.8</w:t>
      </w:r>
      <w:r>
        <w:rPr>
          <w:rFonts w:ascii="Times New Roman" w:hAnsi="Times New Roman"/>
        </w:rPr>
        <w:t xml:space="preserve">. На проведение патолого-анатомического вскрытия пациента, умершего в медицинской организации, оказывающей медицинскую помощь в стационарных условиях, приглашается его лечащий врач (врач-акушер-гинеколог, врач-неонатолог, фельдшер, акушерка) или заведующий отделением медицинской организации, в котором находился пациент на момент наступления смерти. </w:t>
      </w:r>
    </w:p>
    <w:p w14:paraId="26000000">
      <w:pPr>
        <w:widowControl w:val="1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3.9</w:t>
      </w:r>
      <w:r>
        <w:rPr>
          <w:rFonts w:ascii="Times New Roman" w:hAnsi="Times New Roman"/>
        </w:rPr>
        <w:t xml:space="preserve">. Патолого-анатомическое вскрытие проводится с соблюдением достойного отношения к телу умершего и сохранением максимально его анатомической формы. </w:t>
      </w:r>
    </w:p>
    <w:p w14:paraId="27000000">
      <w:pPr>
        <w:widowControl w:val="1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3.10</w:t>
      </w:r>
      <w:r>
        <w:rPr>
          <w:rFonts w:ascii="Times New Roman" w:hAnsi="Times New Roman"/>
        </w:rPr>
        <w:t xml:space="preserve">. После проведения патолого-анатомического вскрытия приведение тела в достойный вид осуществляется путем ушивания секционных разрезов и омывания водой. </w:t>
      </w:r>
    </w:p>
    <w:p w14:paraId="28000000">
      <w:pPr>
        <w:widowControl w:val="1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3.11</w:t>
      </w:r>
      <w:r>
        <w:rPr>
          <w:rFonts w:ascii="Times New Roman" w:hAnsi="Times New Roman"/>
        </w:rPr>
        <w:t xml:space="preserve">. Не позднее тридцати суток после завершения проведения патолого-анатомического вскрытия врач-патологоанатом осуществляет окончательное оформление протокола патолого-анатомического вскрытия, а также вносит в медицинскую карту стационарного больного (медицинскую карту родов, медицинскую карту новорожденного, историю развития ребенка медицинскую карту амбулаторного пациента) патолого-анатомический диагноз и клинико-патолого-анатомический эпикриз. </w:t>
      </w:r>
    </w:p>
    <w:p w14:paraId="29000000">
      <w:pPr>
        <w:widowControl w:val="1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3.12</w:t>
      </w:r>
      <w:r>
        <w:rPr>
          <w:rFonts w:ascii="Times New Roman" w:hAnsi="Times New Roman"/>
        </w:rPr>
        <w:t xml:space="preserve">. Копия протокола патолого-анатомического вскрытия вносится в медицинскую документацию умершего – медицинскую карту стационарного больного (медицинскую карту родов, медицинскую карту новорожденного, историю развития ребенка, медицинскую карту амбулаторного пациента), которая возвращается в медицинскую организацию. </w:t>
      </w:r>
    </w:p>
    <w:p w14:paraId="2A000000">
      <w:pPr>
        <w:widowControl w:val="1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3.13</w:t>
      </w:r>
      <w:r>
        <w:rPr>
          <w:rFonts w:ascii="Times New Roman" w:hAnsi="Times New Roman"/>
        </w:rPr>
        <w:t xml:space="preserve">. Заключение о причине смерти и диагнозе заболевания по результатам патолого-анатомического вскрытия отражается в учетной форме № 106/у-08 «Медицинское свидетельство о смерти», которое утверждено приказом Министерства здравоохранения и социального развития Российской Федерации от 26 декабря 2008 г. № 782н (зарегистрирован Министерством юстиции Российской Федерации 30 декабря 2008 г., регистрационный № 13055), с изменениями, внесенными приказом Министерства здравоохранения и социального развития Российской Федерации от 27 декабря 2011 г. № 1687н (зарегистрирован Министерством юстиции Российской Федерации 15 марта 2012 г., регистрационный №23490). </w:t>
      </w:r>
    </w:p>
    <w:p w14:paraId="2B000000">
      <w:pPr>
        <w:widowControl w:val="1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3.14</w:t>
      </w:r>
      <w:r>
        <w:rPr>
          <w:rFonts w:ascii="Times New Roman" w:hAnsi="Times New Roman"/>
        </w:rPr>
        <w:t xml:space="preserve">. Заключение о причине смерти и диагнозе заболевания выдается супругу, близкому родственнику (детям, родителям, усыновленным, усыновителям, родным братьям и родным сестрам, внукам, дедушкам, бабушкам), а при их отсутствии иным родственникам либо законному представителю умершего, правоохранительным органам, органу, осуществляющему государственный контроль качества и безопасности медицинской деятельности, и органу, осуществляющему контроль качества и условий предоставления медицинской помощи, по их требованию. </w:t>
      </w:r>
    </w:p>
    <w:p w14:paraId="2C000000">
      <w:pPr>
        <w:widowControl w:val="1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3.15</w:t>
      </w:r>
      <w:r>
        <w:rPr>
          <w:rFonts w:ascii="Times New Roman" w:hAnsi="Times New Roman"/>
        </w:rPr>
        <w:t xml:space="preserve">. В этом случае заключение о причине смерти и диагнозе заболевания оформляется в виде выписки из протокола патолого-анатомического вскрытия. </w:t>
      </w:r>
    </w:p>
    <w:p w14:paraId="2D000000">
      <w:pPr>
        <w:widowControl w:val="1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3.16</w:t>
      </w:r>
      <w:r>
        <w:rPr>
          <w:rFonts w:ascii="Times New Roman" w:hAnsi="Times New Roman"/>
        </w:rPr>
        <w:t xml:space="preserve">. После завершения патолого-анатомического вскрытия тело умершего выдается для погребения супругу, близким родственникам (детям, родителям, усыновленным, усыновителям, родным братьям и родным сестрам, внукам, дедушкам, бабушкам), иным родственникам либо законному представителю умершего, а при отсутствии таковых – иному лицу, взявшему на себя обязанность осуществить погребение умершего. </w:t>
      </w:r>
    </w:p>
    <w:p w14:paraId="2E000000">
      <w:pPr>
        <w:widowControl w:val="1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3.17</w:t>
      </w:r>
      <w:r>
        <w:rPr>
          <w:rFonts w:ascii="Times New Roman" w:hAnsi="Times New Roman"/>
        </w:rPr>
        <w:t xml:space="preserve">. Сведения о выдаче тела умершего вносятся в Журнал регистрации поступления и выдачи тел умерших. </w:t>
      </w:r>
    </w:p>
    <w:p w14:paraId="2F000000">
      <w:pPr>
        <w:widowControl w:val="1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3.18</w:t>
      </w:r>
      <w:r>
        <w:rPr>
          <w:rFonts w:ascii="Times New Roman" w:hAnsi="Times New Roman"/>
        </w:rPr>
        <w:t xml:space="preserve">. Протокол патолого-анатомического вскрытия хранится в архиве медицинской организации, в которой проводится патолого-анатомическое вскрытие, в течение срока хранения медицинской карты стационарного больного (медицинской карты родов, медицинской карты новорожденного, истории развития ребенка). </w:t>
      </w:r>
    </w:p>
    <w:p w14:paraId="30000000">
      <w:pPr>
        <w:widowControl w:val="1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3.19</w:t>
      </w:r>
      <w:r>
        <w:rPr>
          <w:rFonts w:ascii="Times New Roman" w:hAnsi="Times New Roman"/>
        </w:rPr>
        <w:t xml:space="preserve">. В тех случаях, когда трупы умерших не могут быть похоронены родственниками, их захоронение спустя 14 суток производится </w:t>
      </w:r>
      <w:r>
        <w:rPr>
          <w:rFonts w:ascii="Times New Roman" w:hAnsi="Times New Roman"/>
        </w:rPr>
        <w:t xml:space="preserve">Заказчиком </w:t>
      </w:r>
      <w:r>
        <w:rPr>
          <w:rFonts w:ascii="Times New Roman" w:hAnsi="Times New Roman"/>
        </w:rPr>
        <w:t>в соответствии с законодательством Российской Федерации.</w:t>
      </w:r>
    </w:p>
    <w:p w14:paraId="31000000">
      <w:pPr>
        <w:ind w:firstLine="709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4</w:t>
      </w:r>
      <w:r>
        <w:rPr>
          <w:rFonts w:ascii="Times New Roman" w:hAnsi="Times New Roman"/>
          <w:b w:val="1"/>
        </w:rPr>
        <w:t xml:space="preserve">. </w:t>
      </w:r>
      <w:r>
        <w:rPr>
          <w:rFonts w:ascii="Times New Roman" w:hAnsi="Times New Roman"/>
          <w:b w:val="1"/>
        </w:rPr>
        <w:t>Цена Контракта и порядок оплаты услуг</w:t>
      </w:r>
    </w:p>
    <w:p w14:paraId="32000000">
      <w:pPr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>.1.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Цена Контракта составляет </w:t>
      </w:r>
      <w:r>
        <w:rPr>
          <w:rFonts w:ascii="Times New Roman" w:hAnsi="Times New Roman"/>
        </w:rPr>
        <w:t>________________________</w:t>
      </w:r>
    </w:p>
    <w:p w14:paraId="33000000">
      <w:pPr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Оплата услуг Исполнителя осуществляется Заказчиком за счет средств </w:t>
      </w:r>
      <w:r>
        <w:rPr>
          <w:rFonts w:ascii="Times New Roman" w:hAnsi="Times New Roman"/>
        </w:rPr>
        <w:t xml:space="preserve">бюджетного учреждения, </w:t>
      </w:r>
      <w:r>
        <w:rPr>
          <w:rFonts w:ascii="Times New Roman" w:hAnsi="Times New Roman"/>
        </w:rPr>
        <w:t>путём перечисления денежных средств на расчётный счёт Исполнителя</w:t>
      </w:r>
      <w:r>
        <w:rPr>
          <w:rFonts w:ascii="Times New Roman" w:hAnsi="Times New Roman"/>
        </w:rPr>
        <w:t>.</w:t>
      </w:r>
    </w:p>
    <w:p w14:paraId="34000000">
      <w:pPr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.2. </w:t>
      </w:r>
      <w:r>
        <w:rPr>
          <w:rFonts w:ascii="Times New Roman" w:hAnsi="Times New Roman"/>
        </w:rPr>
        <w:t xml:space="preserve">Расчеты за предоставленные медицинские услуги производятся путем безналичной оплаты Заказчиком счетов, выставляемых Исполнителем, в течение </w:t>
      </w:r>
      <w:r>
        <w:rPr>
          <w:rFonts w:ascii="Times New Roman" w:hAnsi="Times New Roman"/>
        </w:rPr>
        <w:t>7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</w:rPr>
        <w:t>и (</w:t>
      </w:r>
      <w:r>
        <w:rPr>
          <w:rFonts w:ascii="Times New Roman" w:hAnsi="Times New Roman"/>
        </w:rPr>
        <w:t>семи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рабочих дн</w:t>
      </w:r>
      <w:r>
        <w:rPr>
          <w:rFonts w:ascii="Times New Roman" w:hAnsi="Times New Roman"/>
        </w:rPr>
        <w:t>ей с момента выставления счета.</w:t>
      </w:r>
    </w:p>
    <w:p w14:paraId="35000000">
      <w:pPr>
        <w:widowControl w:val="1"/>
        <w:tabs>
          <w:tab w:leader="none" w:pos="0" w:val="left"/>
        </w:tabs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Счета за медицинские ус</w:t>
      </w:r>
      <w:r>
        <w:rPr>
          <w:rFonts w:ascii="Times New Roman" w:hAnsi="Times New Roman"/>
        </w:rPr>
        <w:t xml:space="preserve">луги выставляются Исполнителем </w:t>
      </w:r>
      <w:r>
        <w:rPr>
          <w:rFonts w:ascii="Times New Roman" w:hAnsi="Times New Roman"/>
        </w:rPr>
        <w:t>до 1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числа месяца, следующего за месяцем, в котором были предоставлены эти услуги. К счету прилагаются:</w:t>
      </w:r>
    </w:p>
    <w:p w14:paraId="36000000">
      <w:pPr>
        <w:widowControl w:val="1"/>
        <w:tabs>
          <w:tab w:leader="none" w:pos="0" w:val="left"/>
        </w:tabs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акт </w:t>
      </w:r>
      <w:r>
        <w:rPr>
          <w:rFonts w:ascii="Times New Roman" w:hAnsi="Times New Roman"/>
        </w:rPr>
        <w:t>об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оказании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услуг</w:t>
      </w:r>
      <w:r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</w:t>
      </w:r>
    </w:p>
    <w:p w14:paraId="37000000">
      <w:pPr>
        <w:widowControl w:val="1"/>
        <w:tabs>
          <w:tab w:leader="none" w:pos="0" w:val="left"/>
        </w:tabs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реестр </w:t>
      </w:r>
      <w:r>
        <w:rPr>
          <w:rFonts w:ascii="Times New Roman" w:hAnsi="Times New Roman"/>
        </w:rPr>
        <w:t>умерших (</w:t>
      </w:r>
      <w:r>
        <w:rPr>
          <w:rFonts w:ascii="Times New Roman" w:hAnsi="Times New Roman"/>
        </w:rPr>
        <w:t>умерших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новорожденных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мертворожденных</w:t>
      </w:r>
      <w:r>
        <w:rPr>
          <w:rFonts w:ascii="Times New Roman" w:hAnsi="Times New Roman"/>
        </w:rPr>
        <w:t xml:space="preserve"> или </w:t>
      </w:r>
      <w:r>
        <w:rPr>
          <w:rFonts w:ascii="Times New Roman" w:hAnsi="Times New Roman"/>
        </w:rPr>
        <w:t>плодов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 взаиморасчетам</w:t>
      </w:r>
      <w:r>
        <w:rPr>
          <w:rFonts w:ascii="Times New Roman" w:hAnsi="Times New Roman"/>
        </w:rPr>
        <w:t>;</w:t>
      </w:r>
    </w:p>
    <w:p w14:paraId="38000000">
      <w:pPr>
        <w:widowControl w:val="1"/>
        <w:tabs>
          <w:tab w:leader="none" w:pos="360" w:val="left"/>
          <w:tab w:leader="none" w:pos="567" w:val="left"/>
        </w:tabs>
        <w:ind w:firstLine="709" w:left="0"/>
        <w:jc w:val="both"/>
        <w:rPr>
          <w:rFonts w:ascii="Times New Roman" w:hAnsi="Times New Roman"/>
          <w:strike w:val="1"/>
        </w:rPr>
      </w:pPr>
      <w:r>
        <w:rPr>
          <w:rFonts w:ascii="Times New Roman" w:hAnsi="Times New Roman"/>
        </w:rPr>
        <w:t xml:space="preserve">Пакет документов </w:t>
      </w:r>
      <w:r>
        <w:rPr>
          <w:rFonts w:ascii="Times New Roman" w:hAnsi="Times New Roman"/>
        </w:rPr>
        <w:t>может подписываться</w:t>
      </w:r>
      <w:r>
        <w:rPr>
          <w:rFonts w:ascii="Times New Roman" w:hAnsi="Times New Roman"/>
        </w:rPr>
        <w:t xml:space="preserve"> усиленной квалифицированной электронн</w:t>
      </w:r>
      <w:r>
        <w:rPr>
          <w:rFonts w:ascii="Times New Roman" w:hAnsi="Times New Roman"/>
        </w:rPr>
        <w:t>ой цифровой подписью и направля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</w:rPr>
        <w:t>ь</w:t>
      </w:r>
      <w:r>
        <w:rPr>
          <w:rFonts w:ascii="Times New Roman" w:hAnsi="Times New Roman"/>
        </w:rPr>
        <w:t>ся в адрес Заказчика с использованием средств криптозащиты.</w:t>
      </w:r>
      <w:r>
        <w:rPr>
          <w:rFonts w:ascii="Times New Roman" w:hAnsi="Times New Roman"/>
          <w:color w:val="00B050"/>
        </w:rPr>
        <w:t xml:space="preserve"> </w:t>
      </w:r>
    </w:p>
    <w:p w14:paraId="39000000">
      <w:pPr>
        <w:ind w:firstLine="709"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5</w:t>
      </w:r>
      <w:r>
        <w:rPr>
          <w:rFonts w:ascii="Times New Roman" w:hAnsi="Times New Roman"/>
          <w:b w:val="1"/>
        </w:rPr>
        <w:t>. Срок действия Контракта и порядок его прекращения</w:t>
      </w:r>
    </w:p>
    <w:p w14:paraId="3A000000">
      <w:pPr>
        <w:ind w:firstLine="709" w:lef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>.1. Контракт вступает в силу с момента его подпис</w:t>
      </w:r>
      <w:r>
        <w:rPr>
          <w:rFonts w:ascii="Times New Roman" w:hAnsi="Times New Roman"/>
        </w:rPr>
        <w:t>ания обеими сторонами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и действует до 3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декабря </w:t>
      </w:r>
      <w:r>
        <w:rPr>
          <w:rFonts w:ascii="Times New Roman" w:hAnsi="Times New Roman"/>
        </w:rPr>
        <w:t>20</w:t>
      </w:r>
      <w:r>
        <w:rPr>
          <w:rFonts w:ascii="Times New Roman" w:hAnsi="Times New Roman"/>
        </w:rPr>
        <w:t>26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г.</w:t>
      </w:r>
      <w:r>
        <w:rPr>
          <w:rFonts w:ascii="Times New Roman" w:hAnsi="Times New Roman"/>
          <w:color w:val="000000"/>
        </w:rPr>
        <w:t>, а в части оплаты – до полного исполнения Заказчиком своих обязательств.</w:t>
      </w:r>
    </w:p>
    <w:p w14:paraId="3B000000">
      <w:pPr>
        <w:ind w:firstLine="709" w:left="0"/>
        <w:rPr>
          <w:rFonts w:ascii="Times New Roman" w:hAnsi="Times New Roman"/>
          <w:b w:val="1"/>
        </w:rPr>
      </w:pPr>
    </w:p>
    <w:p w14:paraId="3C000000">
      <w:pPr>
        <w:ind w:firstLine="709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6</w:t>
      </w:r>
      <w:r>
        <w:rPr>
          <w:rFonts w:ascii="Times New Roman" w:hAnsi="Times New Roman"/>
          <w:b w:val="1"/>
        </w:rPr>
        <w:t>. Ответственность сторон и рассмотрение споров</w:t>
      </w:r>
    </w:p>
    <w:p w14:paraId="3D000000">
      <w:pPr>
        <w:tabs>
          <w:tab w:leader="none" w:pos="567" w:val="left"/>
          <w:tab w:leader="none" w:pos="2367" w:val="left"/>
        </w:tabs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>
        <w:rPr>
          <w:rFonts w:ascii="Times New Roman" w:hAnsi="Times New Roman"/>
        </w:rPr>
        <w:t xml:space="preserve">1. </w:t>
      </w:r>
      <w:r>
        <w:rPr>
          <w:rFonts w:ascii="Times New Roman" w:hAnsi="Times New Roman"/>
        </w:rPr>
        <w:t>За неисполнение или частичное неисполнение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14:paraId="3E000000">
      <w:pPr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 Стороны несу</w:t>
      </w:r>
      <w:r>
        <w:rPr>
          <w:rFonts w:ascii="Times New Roman" w:hAnsi="Times New Roman"/>
        </w:rPr>
        <w:t>т ответственность за сохранность информации, состав</w:t>
      </w:r>
      <w:r>
        <w:rPr>
          <w:rFonts w:ascii="Times New Roman" w:hAnsi="Times New Roman"/>
        </w:rPr>
        <w:t xml:space="preserve">ляющей врачебную тайну, а также </w:t>
      </w:r>
      <w:r>
        <w:rPr>
          <w:rFonts w:ascii="Times New Roman" w:hAnsi="Times New Roman"/>
        </w:rPr>
        <w:t>за соблюдение Федерального закона «О персональных данных» от 27.07.2006 № 152-ФЗ.</w:t>
      </w:r>
    </w:p>
    <w:p w14:paraId="3F000000">
      <w:pPr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>.3</w:t>
      </w:r>
      <w:r>
        <w:rPr>
          <w:rFonts w:ascii="Times New Roman" w:hAnsi="Times New Roman"/>
        </w:rPr>
        <w:t>. Все споры по исполнению Контракта между сторонами решаются в претензионном порядке. Претензии подлежат рассмотрению в течение 30 календарных дней с момента получения стороной. Споры, не разрешенные на досудебной стадии рассмотрения, подлежат рассмотрению в судебном порядке в Арбитражном суде Ростовской области.</w:t>
      </w:r>
    </w:p>
    <w:p w14:paraId="40000000">
      <w:pPr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>.4</w:t>
      </w:r>
      <w:r>
        <w:rPr>
          <w:rFonts w:ascii="Times New Roman" w:hAnsi="Times New Roman"/>
        </w:rPr>
        <w:t>. По всем вопросам, не предусмотренным настоящим Контрактом, стороны руководствуются действующим законодательством Российской Федерации.</w:t>
      </w:r>
    </w:p>
    <w:p w14:paraId="41000000">
      <w:pPr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>.5</w:t>
      </w:r>
      <w:r>
        <w:rPr>
          <w:rFonts w:ascii="Times New Roman" w:hAnsi="Times New Roman"/>
        </w:rPr>
        <w:t>. Стороны освобождаются от ответственности за частичное или полное неисполнение обязательства по настоящему Контракту, если это невыполнение возникло вследствие обстоятельств непреодолимой силы, возникших после заключения Контракта (форс-мажорные обстоятельства). При наступлении указанных обстоятельств, сторона, для которой наступили эти обстоятельства, должна известить другую сторону в течение 5 суток с момента наступления таких обстоятельств.</w:t>
      </w:r>
    </w:p>
    <w:p w14:paraId="42000000">
      <w:pPr>
        <w:ind w:firstLine="709" w:left="0"/>
        <w:jc w:val="both"/>
        <w:rPr>
          <w:rFonts w:ascii="Times New Roman" w:hAnsi="Times New Roman"/>
        </w:rPr>
      </w:pPr>
    </w:p>
    <w:p w14:paraId="43000000">
      <w:pPr>
        <w:tabs>
          <w:tab w:leader="none" w:pos="567" w:val="left"/>
          <w:tab w:leader="none" w:pos="2367" w:val="left"/>
        </w:tabs>
        <w:ind w:firstLine="709"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7. Конфиденциальность</w:t>
      </w:r>
    </w:p>
    <w:p w14:paraId="44000000">
      <w:pPr>
        <w:widowControl w:val="1"/>
        <w:tabs>
          <w:tab w:leader="none" w:pos="567" w:val="left"/>
          <w:tab w:leader="none" w:pos="2367" w:val="left"/>
        </w:tabs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7.1. Стороны берут на себя взаимные обязательства по соблюдению режима конфиденциальности в отношении информации, полученной при исполнении условий настоящего Контракта.</w:t>
      </w:r>
    </w:p>
    <w:p w14:paraId="45000000">
      <w:pPr>
        <w:widowControl w:val="1"/>
        <w:tabs>
          <w:tab w:leader="none" w:pos="567" w:val="left"/>
          <w:tab w:leader="none" w:pos="2367" w:val="left"/>
        </w:tabs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7.2. Стороны обязуются обрабатывать персональные данные умерших, обеспечивать защиту и безопасность персональных данных при их обработке в соответствии с требованиями Федерального закона № 152-ФЗ «О персональных данных» от 27.07.2006г. и других нормативно-правовых актов.</w:t>
      </w:r>
    </w:p>
    <w:p w14:paraId="46000000">
      <w:pPr>
        <w:widowControl w:val="1"/>
        <w:tabs>
          <w:tab w:leader="none" w:pos="567" w:val="left"/>
          <w:tab w:leader="none" w:pos="2367" w:val="left"/>
        </w:tabs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7.3. Стороны обязуются принимать все необходимые меры для предотвращения незаконного разглашения конфиденциальной информации, а также информации, составляющей врачебную тайну.</w:t>
      </w:r>
    </w:p>
    <w:p w14:paraId="47000000">
      <w:pPr>
        <w:widowControl w:val="1"/>
        <w:tabs>
          <w:tab w:leader="none" w:pos="567" w:val="left"/>
          <w:tab w:leader="none" w:pos="2367" w:val="left"/>
        </w:tabs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7.4.</w:t>
      </w:r>
      <w:r>
        <w:rPr>
          <w:rFonts w:ascii="Times New Roman" w:hAnsi="Times New Roman"/>
        </w:rPr>
        <w:t xml:space="preserve"> Полученное согласие на обработку персональных данных в учреждении «Заказчика» распространяется при выполнении ГБУ РО «ПАБ» обязательств по настоящему Контракту.</w:t>
      </w:r>
    </w:p>
    <w:p w14:paraId="48000000">
      <w:pPr>
        <w:ind w:firstLine="709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8</w:t>
      </w:r>
      <w:r>
        <w:rPr>
          <w:rFonts w:ascii="Times New Roman" w:hAnsi="Times New Roman"/>
          <w:b w:val="1"/>
        </w:rPr>
        <w:t>. Прочие условия Контракта:</w:t>
      </w:r>
    </w:p>
    <w:p w14:paraId="49000000">
      <w:pPr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.1.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 изменения и дополнения к настоящему Контракту действительны, если они совершены по соглашению сторон в письменном виде.</w:t>
      </w:r>
    </w:p>
    <w:p w14:paraId="4A000000">
      <w:pPr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8.2.</w:t>
      </w:r>
      <w:r>
        <w:rPr>
          <w:rFonts w:ascii="Times New Roman" w:hAnsi="Times New Roman"/>
        </w:rPr>
        <w:t xml:space="preserve"> Расторжение Контракт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допускается по соглашению Сторон, по решению суда или в связи с односторонним отказом Стороны от исполнения Контракт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в соответствии с гражданским законодательством Российской Федерации в порядке, предусмотренном статьей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4B000000">
      <w:pPr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Антикоррупционная </w:t>
      </w:r>
      <w:r>
        <w:rPr>
          <w:rFonts w:ascii="Times New Roman" w:hAnsi="Times New Roman"/>
        </w:rPr>
        <w:t>оговорка:</w:t>
      </w:r>
    </w:p>
    <w:p w14:paraId="4C000000">
      <w:pPr>
        <w:widowControl w:val="1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Стороны Контракта обязуются принимать меры по предупреждению коррупции, указанные в статье 13.3 Федерального закона от 25.12.2008 №273-ФЗ «О противодействии коррупции». При исполнении своих обязательств по настоящему Контракту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достижения иных неправомерных целей. При исполнении своих обязательств по настоящему Контракту Стороны не осуществляют действия, квалифицируемые как коррупция в соответствии с пунктом 1 статьи 1 Федерального закона от 25.12.2008 №273-ФЗ «О противодействии коррупции».</w:t>
      </w:r>
    </w:p>
    <w:p w14:paraId="4D000000">
      <w:pPr>
        <w:ind w:firstLine="709" w:left="0"/>
        <w:jc w:val="both"/>
        <w:rPr>
          <w:rFonts w:ascii="Times New Roman" w:hAnsi="Times New Roman"/>
        </w:rPr>
      </w:pPr>
    </w:p>
    <w:p w14:paraId="4E000000">
      <w:pPr>
        <w:ind w:firstLine="709"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9</w:t>
      </w:r>
      <w:r>
        <w:rPr>
          <w:rFonts w:ascii="Times New Roman" w:hAnsi="Times New Roman"/>
          <w:b w:val="1"/>
        </w:rPr>
        <w:t xml:space="preserve">. Приложения, являющиеся неотъемлемой частью Контракта: </w:t>
      </w:r>
    </w:p>
    <w:p w14:paraId="4F000000">
      <w:pPr>
        <w:widowControl w:val="1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>
        <w:rPr>
          <w:rFonts w:ascii="Times New Roman" w:hAnsi="Times New Roman"/>
        </w:rPr>
        <w:t>.1. Неотъемлемой частью настоящего Контракта являются следующие приложения:</w:t>
      </w:r>
    </w:p>
    <w:p w14:paraId="50000000">
      <w:pPr>
        <w:widowControl w:val="1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1 – Спецификация;</w:t>
      </w:r>
    </w:p>
    <w:p w14:paraId="51000000">
      <w:pPr>
        <w:widowControl w:val="1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Н</w:t>
      </w:r>
      <w:r>
        <w:rPr>
          <w:rFonts w:ascii="Times New Roman" w:hAnsi="Times New Roman"/>
        </w:rPr>
        <w:t>аправление на патолого-анатомическое в</w:t>
      </w:r>
      <w:r>
        <w:rPr>
          <w:rFonts w:ascii="Times New Roman" w:hAnsi="Times New Roman"/>
        </w:rPr>
        <w:t xml:space="preserve">скрытие и сопроводительный лист. </w:t>
      </w:r>
    </w:p>
    <w:p w14:paraId="52000000">
      <w:pPr>
        <w:ind w:firstLine="709" w:left="0"/>
        <w:rPr>
          <w:rFonts w:ascii="Times New Roman" w:hAnsi="Times New Roman"/>
        </w:rPr>
      </w:pPr>
    </w:p>
    <w:p w14:paraId="53000000">
      <w:pPr>
        <w:tabs>
          <w:tab w:leader="none" w:pos="1440" w:val="left"/>
        </w:tabs>
        <w:ind w:firstLine="709" w:left="0"/>
        <w:jc w:val="center"/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  <w:b w:val="1"/>
        </w:rPr>
        <w:t>10</w:t>
      </w:r>
      <w:r>
        <w:rPr>
          <w:rFonts w:ascii="Times New Roman" w:hAnsi="Times New Roman"/>
          <w:b w:val="1"/>
        </w:rPr>
        <w:t>. Адреса, реквизиты и подписи сторон</w:t>
      </w:r>
    </w:p>
    <w:tbl>
      <w:tblPr>
        <w:tblW w:type="auto" w:w="0"/>
        <w:tblInd w:type="dxa" w:w="25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910"/>
        <w:gridCol w:w="4751"/>
      </w:tblGrid>
      <w:tr>
        <w:trPr>
          <w:trHeight w:hRule="atLeast" w:val="390"/>
        </w:trPr>
        <w:tc>
          <w:tcPr>
            <w:tcW w:type="dxa" w:w="4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spacing w:after="0"/>
              <w:ind/>
              <w:jc w:val="center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«Заказчик»</w:t>
            </w:r>
          </w:p>
          <w:p w14:paraId="55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jc w:val="left"/>
              <w:rPr>
                <w:rFonts w:ascii="Times New Roman" w:hAnsi="Times New Roman"/>
                <w:b w:val="1"/>
                <w:color w:val="000000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 xml:space="preserve">ФГБОУ ВО </w:t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>РостГМУ</w:t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 xml:space="preserve"> Минздрава России</w:t>
            </w:r>
          </w:p>
          <w:p w14:paraId="56000000">
            <w:pPr>
              <w:spacing w:after="0"/>
              <w:ind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44022, Ростовская область, г. Ростов-на-Дону, пер. Нахичеванский, 29 </w:t>
            </w:r>
          </w:p>
          <w:p w14:paraId="57000000">
            <w:pPr>
              <w:spacing w:after="0"/>
              <w:ind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ИНН 6163032850 КПП 616301001 </w:t>
            </w:r>
          </w:p>
          <w:p w14:paraId="58000000">
            <w:pPr>
              <w:spacing w:after="0"/>
              <w:ind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УФК по Нижегородской области (ФГБОУ ВО </w:t>
            </w:r>
            <w:r>
              <w:rPr>
                <w:rFonts w:ascii="Times New Roman" w:hAnsi="Times New Roman"/>
                <w:color w:val="000000"/>
                <w:sz w:val="22"/>
              </w:rPr>
              <w:t>РостГМУ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Минздрава Росс</w:t>
            </w:r>
            <w:r>
              <w:rPr>
                <w:rFonts w:ascii="Times New Roman" w:hAnsi="Times New Roman"/>
                <w:color w:val="000000"/>
                <w:sz w:val="22"/>
              </w:rPr>
              <w:t>ии л/сч.20586У68420</w:t>
            </w:r>
            <w:r>
              <w:rPr>
                <w:rFonts w:ascii="Times New Roman" w:hAnsi="Times New Roman"/>
                <w:color w:val="000000"/>
                <w:sz w:val="22"/>
              </w:rPr>
              <w:t>, 22586У68420)</w:t>
            </w:r>
          </w:p>
          <w:p w14:paraId="59000000">
            <w:pPr>
              <w:spacing w:after="0"/>
              <w:ind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ОКЦ №1 ВВГУ Банка России//УФК по Нижегородской области, г. Нижний Новгород</w:t>
            </w:r>
          </w:p>
          <w:p w14:paraId="5A000000">
            <w:pPr>
              <w:spacing w:after="0"/>
              <w:ind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ЕКС 40102810745370000024</w:t>
            </w:r>
          </w:p>
          <w:p w14:paraId="5B000000">
            <w:pPr>
              <w:spacing w:after="0"/>
              <w:ind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БИК 012202102</w:t>
            </w:r>
          </w:p>
          <w:p w14:paraId="5C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jc w:val="left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Номер счета 03214643000000013230</w:t>
            </w:r>
          </w:p>
          <w:p w14:paraId="5D000000">
            <w:pPr>
              <w:spacing w:after="0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ОГРН </w:t>
            </w:r>
            <w:r>
              <w:rPr>
                <w:rFonts w:ascii="Times New Roman" w:hAnsi="Times New Roman"/>
                <w:sz w:val="22"/>
              </w:rPr>
              <w:t>1026103165736 от 11.11.2002г.</w:t>
            </w:r>
          </w:p>
          <w:p w14:paraId="5E000000">
            <w:pPr>
              <w:spacing w:after="0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ОКПО </w:t>
            </w:r>
            <w:r>
              <w:rPr>
                <w:rFonts w:ascii="Times New Roman" w:hAnsi="Times New Roman"/>
                <w:sz w:val="22"/>
              </w:rPr>
              <w:t xml:space="preserve">01896857 </w:t>
            </w:r>
          </w:p>
          <w:p w14:paraId="5F000000">
            <w:pPr>
              <w:spacing w:after="0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ОКТМО </w:t>
            </w:r>
            <w:r>
              <w:rPr>
                <w:rFonts w:ascii="Times New Roman" w:hAnsi="Times New Roman"/>
                <w:sz w:val="22"/>
              </w:rPr>
              <w:t>60701000</w:t>
            </w:r>
          </w:p>
          <w:p w14:paraId="60000000">
            <w:pPr>
              <w:spacing w:after="0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ОКВЭД 85.22</w:t>
            </w:r>
          </w:p>
          <w:p w14:paraId="61000000">
            <w:pPr>
              <w:spacing w:after="0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ОКОПФ 20903</w:t>
            </w:r>
          </w:p>
          <w:p w14:paraId="62000000">
            <w:pPr>
              <w:spacing w:after="0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ОКФС 12</w:t>
            </w:r>
          </w:p>
          <w:p w14:paraId="63000000">
            <w:pPr>
              <w:spacing w:after="0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ОКОГУ 1320700</w:t>
            </w:r>
          </w:p>
          <w:p w14:paraId="64000000">
            <w:pPr>
              <w:spacing w:after="0"/>
              <w:ind/>
              <w:rPr>
                <w:rFonts w:ascii="Times New Roman" w:hAnsi="Times New Roman"/>
                <w:sz w:val="22"/>
              </w:rPr>
            </w:pPr>
          </w:p>
          <w:p w14:paraId="65000000">
            <w:pPr>
              <w:spacing w:after="0"/>
              <w:ind/>
              <w:jc w:val="left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 xml:space="preserve">И.о. ректора </w:t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 xml:space="preserve">ФГБОУ ВО </w:t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>РостГМУ</w:t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 xml:space="preserve"> </w:t>
            </w:r>
          </w:p>
          <w:p w14:paraId="66000000">
            <w:pPr>
              <w:spacing w:after="0"/>
              <w:ind/>
              <w:jc w:val="left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color w:val="000000"/>
                <w:sz w:val="22"/>
              </w:rPr>
              <w:t>Минздрава России</w:t>
            </w:r>
          </w:p>
          <w:p w14:paraId="67000000">
            <w:pPr>
              <w:spacing w:after="0"/>
              <w:ind/>
              <w:rPr>
                <w:rFonts w:ascii="Times New Roman" w:hAnsi="Times New Roman"/>
                <w:sz w:val="22"/>
              </w:rPr>
            </w:pPr>
          </w:p>
          <w:p w14:paraId="68000000">
            <w:pPr>
              <w:spacing w:after="0"/>
              <w:ind/>
              <w:rPr>
                <w:rFonts w:ascii="Times New Roman" w:hAnsi="Times New Roman"/>
                <w:sz w:val="22"/>
              </w:rPr>
            </w:pPr>
          </w:p>
          <w:p w14:paraId="69000000">
            <w:pPr>
              <w:spacing w:after="0"/>
              <w:ind/>
              <w:rPr>
                <w:rFonts w:ascii="Times New Roman" w:hAnsi="Times New Roman"/>
                <w:b w:val="1"/>
                <w:sz w:val="22"/>
              </w:rPr>
            </w:pPr>
          </w:p>
          <w:p w14:paraId="6A000000">
            <w:pPr>
              <w:spacing w:after="0"/>
              <w:ind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 xml:space="preserve">_________________М.А.Шишов </w:t>
            </w:r>
          </w:p>
          <w:p w14:paraId="6B000000">
            <w:pPr>
              <w:spacing w:after="0"/>
              <w:ind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э.ц.п.</w:t>
            </w:r>
          </w:p>
        </w:tc>
        <w:tc>
          <w:tcPr>
            <w:tcW w:type="dxa" w:w="4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spacing w:after="0"/>
              <w:ind/>
              <w:jc w:val="center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«Поставщик»</w:t>
            </w:r>
          </w:p>
          <w:p w14:paraId="6D000000">
            <w:pPr>
              <w:spacing w:after="0"/>
              <w:ind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 w:val="1"/>
                <w:color w:val="000000"/>
                <w:sz w:val="22"/>
              </w:rPr>
              <w:t xml:space="preserve"> </w:t>
            </w:r>
          </w:p>
        </w:tc>
      </w:tr>
    </w:tbl>
    <w:p w14:paraId="6E000000">
      <w:pPr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6F000000">
      <w:pPr>
        <w:ind/>
        <w:jc w:val="right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Приложение № 1</w:t>
      </w:r>
    </w:p>
    <w:p w14:paraId="70000000">
      <w:pPr>
        <w:widowControl w:val="1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Контракту № РГМУ33152от «___» ________ 2026 г.</w:t>
      </w:r>
    </w:p>
    <w:p w14:paraId="71000000">
      <w:pPr>
        <w:ind/>
        <w:jc w:val="center"/>
        <w:rPr>
          <w:rFonts w:ascii="Times New Roman" w:hAnsi="Times New Roman"/>
          <w:b w:val="1"/>
        </w:rPr>
      </w:pPr>
    </w:p>
    <w:p w14:paraId="72000000">
      <w:pPr>
        <w:ind/>
        <w:jc w:val="center"/>
        <w:rPr>
          <w:rFonts w:ascii="Times New Roman" w:hAnsi="Times New Roman"/>
          <w:b w:val="1"/>
          <w:caps w:val="1"/>
        </w:rPr>
      </w:pPr>
      <w:r>
        <w:rPr>
          <w:rFonts w:ascii="Times New Roman" w:hAnsi="Times New Roman"/>
          <w:b w:val="1"/>
          <w:caps w:val="1"/>
        </w:rPr>
        <w:t xml:space="preserve">Спецификация </w:t>
      </w:r>
    </w:p>
    <w:p w14:paraId="73000000">
      <w:pPr>
        <w:ind/>
        <w:jc w:val="both"/>
        <w:rPr>
          <w:rFonts w:ascii="Times New Roman" w:hAnsi="Times New Roman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28"/>
          <w:right w:type="dxa" w:w="28"/>
        </w:tblCellMar>
      </w:tblPr>
      <w:tblGrid>
        <w:gridCol w:w="577"/>
        <w:gridCol w:w="4129"/>
        <w:gridCol w:w="956"/>
        <w:gridCol w:w="1373"/>
        <w:gridCol w:w="1072"/>
        <w:gridCol w:w="2047"/>
      </w:tblGrid>
      <w:tr>
        <w:trPr>
          <w:trHeight w:hRule="atLeast" w:val="1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</w:tcPr>
          <w:p w14:paraId="7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14:paraId="7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type="dxa" w:w="4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</w:tcPr>
          <w:p w14:paraId="7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услуг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</w:tcPr>
          <w:p w14:paraId="7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 изм.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</w:tcPr>
          <w:p w14:paraId="7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</w:t>
            </w:r>
          </w:p>
        </w:tc>
        <w:tc>
          <w:tcPr>
            <w:tcW w:type="dxa" w:w="1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</w:tcPr>
          <w:p w14:paraId="7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Цена за ед., руб.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</w:tcPr>
          <w:p w14:paraId="7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Сумма, руб.</w:t>
            </w:r>
          </w:p>
        </w:tc>
      </w:tr>
      <w:tr>
        <w:trPr>
          <w:trHeight w:hRule="atLeast" w:val="55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</w:tcPr>
          <w:p w14:paraId="7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type="dxa" w:w="4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</w:tcPr>
          <w:p w14:paraId="7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патолого-анатомических вскрытий (посмертное патолого-анатомические исследование внутренних органов и тканей умершего человека, новорожденных, а также мертворожденных и плодов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</w:tcPr>
          <w:p w14:paraId="7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Усл. </w:t>
            </w:r>
            <w:r>
              <w:rPr>
                <w:rFonts w:ascii="Times New Roman" w:hAnsi="Times New Roman"/>
              </w:rPr>
              <w:t>ед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</w:tcPr>
          <w:p w14:paraId="7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type="dxa" w:w="1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</w:tcPr>
          <w:p/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1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</w:tcPr>
          <w:p w14:paraId="7F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</w:tcPr>
          <w:p w14:paraId="8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</w:tcPr>
          <w:p w14:paraId="81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</w:tcPr>
          <w:p w14:paraId="82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</w:tcPr>
          <w:p w14:paraId="83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</w:tcPr>
          <w:p w14:paraId="84000000">
            <w:pPr>
              <w:ind/>
              <w:jc w:val="center"/>
              <w:rPr>
                <w:rFonts w:ascii="Times New Roman" w:hAnsi="Times New Roman"/>
              </w:rPr>
            </w:pPr>
          </w:p>
        </w:tc>
      </w:tr>
    </w:tbl>
    <w:p w14:paraId="85000000">
      <w:pPr>
        <w:ind/>
        <w:jc w:val="both"/>
        <w:rPr>
          <w:rFonts w:ascii="Times New Roman" w:hAnsi="Times New Roman"/>
        </w:rPr>
      </w:pPr>
    </w:p>
    <w:p w14:paraId="86000000">
      <w:pPr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ИТОГО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Цена Контракта составляет __________________________________</w:t>
      </w:r>
    </w:p>
    <w:p w14:paraId="87000000">
      <w:pPr>
        <w:widowControl w:val="1"/>
        <w:ind/>
        <w:rPr>
          <w:rFonts w:ascii="Times New Roman" w:hAnsi="Times New Roman"/>
        </w:rPr>
      </w:pPr>
    </w:p>
    <w:p w14:paraId="88000000">
      <w:pPr>
        <w:widowControl w:val="1"/>
        <w:ind/>
        <w:rPr>
          <w:rFonts w:ascii="Times New Roman" w:hAnsi="Times New Roman"/>
        </w:rPr>
      </w:pPr>
    </w:p>
    <w:tbl>
      <w:tblPr>
        <w:tblW w:type="auto" w:w="0"/>
        <w:tblInd w:type="dxa" w:w="107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4816"/>
        <w:gridCol w:w="4545"/>
      </w:tblGrid>
      <w:tr>
        <w:trPr>
          <w:trHeight w:hRule="atLeast" w:val="200"/>
        </w:trPr>
        <w:tc>
          <w:tcPr>
            <w:tcW w:type="dxa" w:w="4816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9000000">
            <w:pPr>
              <w:widowControl w:val="0"/>
              <w:spacing w:after="0" w:line="100" w:lineRule="atLeast"/>
              <w:ind/>
              <w:jc w:val="left"/>
              <w:rPr>
                <w:b w:val="1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от Заказчи</w:t>
            </w:r>
          </w:p>
          <w:p w14:paraId="8A000000">
            <w:pPr>
              <w:widowControl w:val="0"/>
              <w:spacing w:after="0" w:line="100" w:lineRule="atLeast"/>
              <w:ind/>
              <w:jc w:val="left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 xml:space="preserve">И.о. ректора </w:t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 xml:space="preserve">ФГБОУ ВО </w:t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>РостГМУ</w:t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 xml:space="preserve"> </w:t>
            </w:r>
          </w:p>
          <w:p w14:paraId="8B000000">
            <w:pPr>
              <w:spacing w:after="0"/>
              <w:ind/>
              <w:jc w:val="left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color w:val="000000"/>
                <w:sz w:val="22"/>
              </w:rPr>
              <w:t>Минздрава России</w:t>
            </w:r>
          </w:p>
          <w:p w14:paraId="8C000000">
            <w:pPr>
              <w:spacing w:after="0"/>
              <w:ind/>
              <w:rPr>
                <w:rFonts w:ascii="Times New Roman" w:hAnsi="Times New Roman"/>
                <w:sz w:val="22"/>
              </w:rPr>
            </w:pPr>
          </w:p>
          <w:p w14:paraId="8D000000">
            <w:pPr>
              <w:spacing w:after="0"/>
              <w:ind/>
              <w:rPr>
                <w:rFonts w:ascii="Times New Roman" w:hAnsi="Times New Roman"/>
                <w:sz w:val="22"/>
              </w:rPr>
            </w:pPr>
          </w:p>
          <w:p w14:paraId="8E000000">
            <w:pPr>
              <w:spacing w:after="0"/>
              <w:ind/>
              <w:rPr>
                <w:rFonts w:ascii="Times New Roman" w:hAnsi="Times New Roman"/>
                <w:b w:val="1"/>
                <w:sz w:val="22"/>
              </w:rPr>
            </w:pPr>
          </w:p>
          <w:p w14:paraId="8F000000">
            <w:pPr>
              <w:spacing w:after="0"/>
              <w:ind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 xml:space="preserve">_________________М.А.Шишов </w:t>
            </w:r>
          </w:p>
          <w:p w14:paraId="90000000">
            <w:pPr>
              <w:spacing w:after="0"/>
              <w:ind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э.ц.п.</w:t>
            </w:r>
          </w:p>
        </w:tc>
        <w:tc>
          <w:tcPr>
            <w:tcW w:type="dxa" w:w="4545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1000000">
            <w:pPr>
              <w:widowControl w:val="0"/>
              <w:spacing w:after="0" w:line="100" w:lineRule="atLeast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Исполнителя</w:t>
            </w:r>
          </w:p>
          <w:p w14:paraId="92000000">
            <w:pPr>
              <w:spacing w:after="0"/>
              <w:ind/>
            </w:pPr>
          </w:p>
          <w:p w14:paraId="93000000">
            <w:pPr>
              <w:widowControl w:val="0"/>
              <w:spacing w:after="0"/>
              <w:ind/>
            </w:pPr>
          </w:p>
          <w:p w14:paraId="94000000">
            <w:pPr>
              <w:widowControl w:val="0"/>
              <w:spacing w:after="0"/>
              <w:ind/>
            </w:pPr>
          </w:p>
          <w:p w14:paraId="95000000">
            <w:pPr>
              <w:widowControl w:val="0"/>
              <w:spacing w:after="0"/>
              <w:ind/>
            </w:pPr>
          </w:p>
          <w:p w14:paraId="96000000">
            <w:pPr>
              <w:widowControl w:val="0"/>
              <w:spacing w:after="0"/>
              <w:ind/>
            </w:pPr>
            <w:r>
              <w:t>_</w:t>
            </w:r>
            <w:r>
              <w:t>________________</w:t>
            </w:r>
            <w:r>
              <w:t xml:space="preserve"> </w:t>
            </w:r>
          </w:p>
          <w:p w14:paraId="97000000">
            <w:pPr>
              <w:widowControl w:val="0"/>
              <w:spacing w:after="0" w:line="100" w:lineRule="atLeast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э.ц.п.</w:t>
            </w:r>
          </w:p>
        </w:tc>
      </w:tr>
    </w:tbl>
    <w:p w14:paraId="98000000">
      <w:pPr>
        <w:widowControl w:val="1"/>
        <w:ind/>
        <w:rPr>
          <w:rFonts w:ascii="Times New Roman" w:hAnsi="Times New Roman"/>
        </w:rPr>
      </w:pPr>
    </w:p>
    <w:p w14:paraId="99000000">
      <w:pPr>
        <w:widowControl w:val="1"/>
        <w:ind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9A000000">
      <w:pPr>
        <w:ind/>
        <w:jc w:val="right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 xml:space="preserve">Приложение № </w:t>
      </w:r>
      <w:r>
        <w:rPr>
          <w:rFonts w:ascii="Times New Roman" w:hAnsi="Times New Roman"/>
        </w:rPr>
        <w:t>2</w:t>
      </w:r>
    </w:p>
    <w:p w14:paraId="9B000000">
      <w:pPr>
        <w:widowControl w:val="1"/>
        <w:ind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2"/>
        </w:rPr>
        <w:t>к Контракту № ______от «___» ________ 202__ г.</w:t>
      </w:r>
    </w:p>
    <w:p w14:paraId="9C000000">
      <w:pPr>
        <w:widowControl w:val="1"/>
        <w:ind/>
        <w:rPr>
          <w:rFonts w:ascii="Times New Roman" w:hAnsi="Times New Roman"/>
          <w:sz w:val="16"/>
        </w:rPr>
      </w:pPr>
    </w:p>
    <w:p w14:paraId="9D000000">
      <w:pPr>
        <w:widowControl w:val="1"/>
        <w:ind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Штамп медицинской организации</w:t>
      </w:r>
    </w:p>
    <w:p w14:paraId="9E000000">
      <w:pPr>
        <w:widowControl w:val="1"/>
        <w:ind/>
        <w:rPr>
          <w:rFonts w:ascii="Times New Roman" w:hAnsi="Times New Roman"/>
          <w:sz w:val="16"/>
        </w:rPr>
      </w:pPr>
    </w:p>
    <w:p w14:paraId="9F000000">
      <w:pPr>
        <w:widowControl w:val="1"/>
        <w:ind/>
        <w:rPr>
          <w:rFonts w:ascii="Times New Roman" w:hAnsi="Times New Roman"/>
          <w:sz w:val="16"/>
        </w:rPr>
      </w:pPr>
    </w:p>
    <w:p w14:paraId="A0000000">
      <w:pPr>
        <w:widowControl w:val="1"/>
        <w:ind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НАПРАВЛЕНИЕ</w:t>
      </w:r>
    </w:p>
    <w:p w14:paraId="A1000000">
      <w:pPr>
        <w:widowControl w:val="1"/>
        <w:ind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На патологоанатомическое вскрытие</w:t>
      </w:r>
    </w:p>
    <w:p w14:paraId="A2000000">
      <w:pPr>
        <w:widowControl w:val="1"/>
        <w:ind/>
        <w:rPr>
          <w:rFonts w:ascii="Times New Roman" w:hAnsi="Times New Roman"/>
          <w:sz w:val="22"/>
        </w:rPr>
      </w:pPr>
    </w:p>
    <w:p w14:paraId="A3000000">
      <w:pPr>
        <w:widowControl w:val="1"/>
        <w:ind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Наименование медицинской организации, в которую направляется тело умершего_________________________________________________________________________________________________________________________</w:t>
      </w:r>
      <w:r>
        <w:rPr>
          <w:rFonts w:ascii="Times New Roman" w:hAnsi="Times New Roman"/>
          <w:sz w:val="22"/>
        </w:rPr>
        <w:t>_______________</w:t>
      </w:r>
      <w:r>
        <w:rPr>
          <w:rFonts w:ascii="Times New Roman" w:hAnsi="Times New Roman"/>
          <w:sz w:val="22"/>
        </w:rPr>
        <w:t>___________________________________</w:t>
      </w:r>
    </w:p>
    <w:p w14:paraId="A4000000">
      <w:pPr>
        <w:widowControl w:val="1"/>
        <w:ind/>
        <w:rPr>
          <w:rFonts w:ascii="Times New Roman" w:hAnsi="Times New Roman"/>
          <w:sz w:val="22"/>
        </w:rPr>
      </w:pPr>
    </w:p>
    <w:p w14:paraId="A5000000">
      <w:pPr>
        <w:widowControl w:val="1"/>
        <w:ind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Наименование медицинской организации, врач (фельдшер) которой осуществляет направление тела умершего в патолого-анатомическое бюро (отделение)____________________________________________________________________________________________________________________________________________________________________________________________________________________________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2"/>
        </w:rPr>
        <w:t>________________________</w:t>
      </w:r>
      <w:r>
        <w:rPr>
          <w:rFonts w:ascii="Times New Roman" w:hAnsi="Times New Roman"/>
          <w:sz w:val="22"/>
        </w:rPr>
        <w:t>________________</w:t>
      </w:r>
    </w:p>
    <w:p w14:paraId="A6000000">
      <w:pPr>
        <w:widowControl w:val="1"/>
        <w:ind/>
        <w:rPr>
          <w:rFonts w:ascii="Times New Roman" w:hAnsi="Times New Roman"/>
          <w:sz w:val="22"/>
        </w:rPr>
      </w:pPr>
    </w:p>
    <w:p w14:paraId="A7000000">
      <w:pPr>
        <w:widowControl w:val="1"/>
        <w:ind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Наименование подразделения медицинской организации, врач (фельдшер) которой осуществляет направление тела умершего в патолого-анатомическое бюро (отделение)_____________________________________________________________________________________________________________________________________________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2"/>
        </w:rPr>
        <w:t>________________</w:t>
      </w:r>
      <w:r>
        <w:rPr>
          <w:rFonts w:ascii="Times New Roman" w:hAnsi="Times New Roman"/>
          <w:sz w:val="22"/>
        </w:rPr>
        <w:t>_____________</w:t>
      </w:r>
    </w:p>
    <w:p w14:paraId="A8000000">
      <w:pPr>
        <w:widowControl w:val="1"/>
        <w:ind/>
        <w:rPr>
          <w:rFonts w:ascii="Times New Roman" w:hAnsi="Times New Roman"/>
          <w:sz w:val="22"/>
        </w:rPr>
      </w:pPr>
    </w:p>
    <w:p w14:paraId="A9000000">
      <w:pPr>
        <w:widowControl w:val="1"/>
        <w:ind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Фамилия, имя, отчество умершего (фамилия матери плода)__________________________________________________________________________________________________________________</w:t>
      </w:r>
      <w:r>
        <w:rPr>
          <w:rFonts w:ascii="Times New Roman" w:hAnsi="Times New Roman"/>
          <w:sz w:val="22"/>
        </w:rPr>
        <w:t>_____</w:t>
      </w:r>
      <w:r>
        <w:rPr>
          <w:rFonts w:ascii="Times New Roman" w:hAnsi="Times New Roman"/>
          <w:sz w:val="22"/>
        </w:rPr>
        <w:t>____________________________</w:t>
      </w:r>
      <w:r>
        <w:rPr>
          <w:rFonts w:ascii="Times New Roman" w:hAnsi="Times New Roman"/>
          <w:sz w:val="22"/>
        </w:rPr>
        <w:t>_______________</w:t>
      </w:r>
      <w:r>
        <w:rPr>
          <w:rFonts w:ascii="Times New Roman" w:hAnsi="Times New Roman"/>
          <w:sz w:val="22"/>
        </w:rPr>
        <w:t>____________</w:t>
      </w:r>
    </w:p>
    <w:p w14:paraId="AA000000">
      <w:pPr>
        <w:widowControl w:val="1"/>
        <w:ind/>
        <w:rPr>
          <w:rFonts w:ascii="Times New Roman" w:hAnsi="Times New Roman"/>
          <w:sz w:val="22"/>
        </w:rPr>
      </w:pPr>
    </w:p>
    <w:p w14:paraId="AB000000">
      <w:pPr>
        <w:widowControl w:val="1"/>
        <w:ind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Серия _______ номер _______ паспорта</w:t>
      </w:r>
    </w:p>
    <w:p w14:paraId="AC000000">
      <w:pPr>
        <w:widowControl w:val="1"/>
        <w:ind/>
        <w:rPr>
          <w:rFonts w:ascii="Times New Roman" w:hAnsi="Times New Roman"/>
          <w:sz w:val="22"/>
        </w:rPr>
      </w:pPr>
    </w:p>
    <w:p w14:paraId="AD000000">
      <w:pPr>
        <w:widowControl w:val="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Место регистрации (место проживания):_______________________________________________ __________________________________________________________________________________________</w:t>
      </w:r>
    </w:p>
    <w:p w14:paraId="AE000000">
      <w:pPr>
        <w:widowControl w:val="1"/>
        <w:ind/>
        <w:jc w:val="both"/>
        <w:rPr>
          <w:rFonts w:ascii="Times New Roman" w:hAnsi="Times New Roman"/>
          <w:sz w:val="22"/>
        </w:rPr>
      </w:pPr>
    </w:p>
    <w:p w14:paraId="AF000000">
      <w:pPr>
        <w:widowControl w:val="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СНИЛС________________________________</w:t>
      </w:r>
    </w:p>
    <w:p w14:paraId="B0000000">
      <w:pPr>
        <w:widowControl w:val="1"/>
        <w:ind/>
        <w:jc w:val="both"/>
        <w:rPr>
          <w:rFonts w:ascii="Times New Roman" w:hAnsi="Times New Roman"/>
          <w:sz w:val="22"/>
        </w:rPr>
      </w:pPr>
    </w:p>
    <w:p w14:paraId="B1000000">
      <w:pPr>
        <w:widowControl w:val="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Серия и номер полиса ОМС _________________________________________________________________</w:t>
      </w:r>
    </w:p>
    <w:p w14:paraId="B2000000">
      <w:pPr>
        <w:widowControl w:val="1"/>
        <w:ind/>
        <w:jc w:val="both"/>
        <w:rPr>
          <w:rFonts w:ascii="Times New Roman" w:hAnsi="Times New Roman"/>
          <w:sz w:val="22"/>
        </w:rPr>
      </w:pPr>
    </w:p>
    <w:p w14:paraId="B3000000">
      <w:pPr>
        <w:widowControl w:val="1"/>
        <w:ind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>Реестровый номер полиса ОМС ______________________________________________________________</w:t>
      </w:r>
    </w:p>
    <w:p w14:paraId="B4000000">
      <w:pPr>
        <w:widowControl w:val="1"/>
        <w:ind/>
        <w:rPr>
          <w:rFonts w:ascii="Times New Roman" w:hAnsi="Times New Roman"/>
          <w:sz w:val="22"/>
        </w:rPr>
      </w:pPr>
    </w:p>
    <w:p w14:paraId="B5000000">
      <w:pPr>
        <w:widowControl w:val="1"/>
        <w:ind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Страховая медицинская организация __________________________________________________________</w:t>
      </w:r>
    </w:p>
    <w:p w14:paraId="B6000000">
      <w:pPr>
        <w:widowControl w:val="1"/>
        <w:ind/>
        <w:rPr>
          <w:rFonts w:ascii="Times New Roman" w:hAnsi="Times New Roman"/>
          <w:sz w:val="22"/>
        </w:rPr>
      </w:pPr>
    </w:p>
    <w:p w14:paraId="B7000000">
      <w:pPr>
        <w:widowControl w:val="1"/>
        <w:ind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Дата рождения умершего (дата отделения плода)_________________________________</w:t>
      </w:r>
      <w:r>
        <w:rPr>
          <w:rFonts w:ascii="Times New Roman" w:hAnsi="Times New Roman"/>
          <w:sz w:val="22"/>
        </w:rPr>
        <w:t>___</w:t>
      </w:r>
      <w:r>
        <w:rPr>
          <w:rFonts w:ascii="Times New Roman" w:hAnsi="Times New Roman"/>
          <w:sz w:val="22"/>
        </w:rPr>
        <w:t>_____</w:t>
      </w:r>
      <w:r>
        <w:rPr>
          <w:rFonts w:ascii="Times New Roman" w:hAnsi="Times New Roman"/>
          <w:sz w:val="22"/>
        </w:rPr>
        <w:t>_______</w:t>
      </w:r>
      <w:r>
        <w:rPr>
          <w:rFonts w:ascii="Times New Roman" w:hAnsi="Times New Roman"/>
          <w:sz w:val="22"/>
        </w:rPr>
        <w:t>____________________________________</w:t>
      </w:r>
    </w:p>
    <w:p w14:paraId="B8000000">
      <w:pPr>
        <w:widowControl w:val="1"/>
        <w:ind/>
        <w:rPr>
          <w:rFonts w:ascii="Times New Roman" w:hAnsi="Times New Roman"/>
          <w:sz w:val="22"/>
        </w:rPr>
      </w:pPr>
    </w:p>
    <w:p w14:paraId="B9000000">
      <w:pPr>
        <w:widowControl w:val="1"/>
        <w:ind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Дата и время наступления смерти (мерворождения)______________</w:t>
      </w:r>
      <w:r>
        <w:rPr>
          <w:rFonts w:ascii="Times New Roman" w:hAnsi="Times New Roman"/>
          <w:sz w:val="22"/>
        </w:rPr>
        <w:t>__</w:t>
      </w:r>
      <w:r>
        <w:rPr>
          <w:rFonts w:ascii="Times New Roman" w:hAnsi="Times New Roman"/>
          <w:sz w:val="22"/>
        </w:rPr>
        <w:t>____</w:t>
      </w:r>
      <w:r>
        <w:rPr>
          <w:rFonts w:ascii="Times New Roman" w:hAnsi="Times New Roman"/>
          <w:sz w:val="22"/>
        </w:rPr>
        <w:t>________</w:t>
      </w:r>
      <w:r>
        <w:rPr>
          <w:rFonts w:ascii="Times New Roman" w:hAnsi="Times New Roman"/>
          <w:sz w:val="22"/>
        </w:rPr>
        <w:t>_______________________________________________</w:t>
      </w:r>
    </w:p>
    <w:p w14:paraId="BA000000">
      <w:pPr>
        <w:widowControl w:val="1"/>
        <w:ind/>
        <w:rPr>
          <w:rFonts w:ascii="Times New Roman" w:hAnsi="Times New Roman"/>
          <w:sz w:val="22"/>
        </w:rPr>
      </w:pPr>
    </w:p>
    <w:p w14:paraId="BB000000">
      <w:pPr>
        <w:widowControl w:val="1"/>
        <w:ind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Дата и время направления_______</w:t>
      </w:r>
      <w:r>
        <w:rPr>
          <w:rFonts w:ascii="Times New Roman" w:hAnsi="Times New Roman"/>
          <w:sz w:val="22"/>
        </w:rPr>
        <w:t>_</w:t>
      </w:r>
      <w:r>
        <w:rPr>
          <w:rFonts w:ascii="Times New Roman" w:hAnsi="Times New Roman"/>
          <w:sz w:val="22"/>
        </w:rPr>
        <w:t>________</w:t>
      </w:r>
      <w:r>
        <w:rPr>
          <w:rFonts w:ascii="Times New Roman" w:hAnsi="Times New Roman"/>
          <w:sz w:val="22"/>
        </w:rPr>
        <w:t>________</w:t>
      </w:r>
      <w:r>
        <w:rPr>
          <w:rFonts w:ascii="Times New Roman" w:hAnsi="Times New Roman"/>
          <w:sz w:val="22"/>
        </w:rPr>
        <w:t>_______________________________________________________</w:t>
      </w:r>
    </w:p>
    <w:p w14:paraId="BC000000">
      <w:pPr>
        <w:widowControl w:val="1"/>
        <w:ind/>
        <w:rPr>
          <w:rFonts w:ascii="Times New Roman" w:hAnsi="Times New Roman"/>
          <w:sz w:val="22"/>
        </w:rPr>
      </w:pPr>
    </w:p>
    <w:p w14:paraId="BD000000">
      <w:pPr>
        <w:widowControl w:val="1"/>
        <w:ind/>
        <w:rPr>
          <w:rFonts w:ascii="Times New Roman" w:hAnsi="Times New Roman"/>
          <w:sz w:val="22"/>
        </w:rPr>
      </w:pPr>
    </w:p>
    <w:p w14:paraId="BE000000">
      <w:pPr>
        <w:widowControl w:val="1"/>
        <w:ind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Фамилия, инициалы медицинского работника, оформившего направление____________________________</w:t>
      </w:r>
      <w:r>
        <w:rPr>
          <w:rFonts w:ascii="Times New Roman" w:hAnsi="Times New Roman"/>
          <w:sz w:val="22"/>
        </w:rPr>
        <w:t>__________</w:t>
      </w:r>
      <w:r>
        <w:rPr>
          <w:rFonts w:ascii="Times New Roman" w:hAnsi="Times New Roman"/>
          <w:sz w:val="22"/>
        </w:rPr>
        <w:t>_________________________________________</w:t>
      </w:r>
    </w:p>
    <w:p w14:paraId="BF000000">
      <w:pPr>
        <w:widowControl w:val="1"/>
        <w:ind/>
        <w:rPr>
          <w:rFonts w:ascii="Times New Roman" w:hAnsi="Times New Roman"/>
          <w:sz w:val="22"/>
        </w:rPr>
      </w:pPr>
    </w:p>
    <w:p w14:paraId="C0000000">
      <w:pPr>
        <w:widowControl w:val="1"/>
        <w:ind/>
        <w:rPr>
          <w:rFonts w:ascii="Times New Roman" w:hAnsi="Times New Roman"/>
          <w:sz w:val="22"/>
        </w:rPr>
      </w:pPr>
    </w:p>
    <w:p w14:paraId="C1000000">
      <w:pPr>
        <w:widowControl w:val="1"/>
        <w:ind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Подпись______________________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Печать_______________________</w:t>
      </w:r>
    </w:p>
    <w:p w14:paraId="C2000000">
      <w:pPr>
        <w:widowControl w:val="1"/>
        <w:ind/>
        <w:rPr>
          <w:rFonts w:ascii="Times New Roman" w:hAnsi="Times New Roman"/>
          <w:sz w:val="22"/>
        </w:rPr>
      </w:pPr>
    </w:p>
    <w:p w14:paraId="C3000000">
      <w:pPr>
        <w:widowControl w:val="1"/>
        <w:ind/>
        <w:rPr>
          <w:rFonts w:ascii="Times New Roman" w:hAnsi="Times New Roman"/>
        </w:rPr>
      </w:pPr>
    </w:p>
    <w:p w14:paraId="C4000000">
      <w:pPr>
        <w:widowControl w:val="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Сопроводительный лист</w:t>
      </w:r>
    </w:p>
    <w:p w14:paraId="C5000000">
      <w:pPr>
        <w:widowControl w:val="1"/>
        <w:ind/>
        <w:rPr>
          <w:rFonts w:ascii="Times New Roman" w:hAnsi="Times New Roman"/>
        </w:rPr>
      </w:pPr>
    </w:p>
    <w:p w14:paraId="C6000000">
      <w:pPr>
        <w:widowControl w:val="1"/>
        <w:ind/>
        <w:jc w:val="center"/>
        <w:rPr>
          <w:rFonts w:ascii="Times New Roman" w:hAnsi="Times New Roman"/>
        </w:rPr>
      </w:pPr>
    </w:p>
    <w:p w14:paraId="C7000000">
      <w:pPr>
        <w:widowControl w:val="1"/>
        <w:ind/>
        <w:rPr>
          <w:rFonts w:ascii="Times New Roman" w:hAnsi="Times New Roman"/>
        </w:rPr>
      </w:pPr>
      <w:r>
        <w:rPr>
          <w:rFonts w:ascii="Times New Roman" w:hAnsi="Times New Roman"/>
        </w:rPr>
        <w:t>Фамилия Имя Отчество умершего__________________________________________________________________________</w:t>
      </w:r>
    </w:p>
    <w:p w14:paraId="C8000000">
      <w:pPr>
        <w:widowControl w:val="1"/>
        <w:ind/>
        <w:rPr>
          <w:rFonts w:ascii="Times New Roman" w:hAnsi="Times New Roman"/>
        </w:rPr>
      </w:pPr>
    </w:p>
    <w:p w14:paraId="C9000000">
      <w:pPr>
        <w:widowControl w:val="1"/>
        <w:ind/>
        <w:rPr>
          <w:rFonts w:ascii="Times New Roman" w:hAnsi="Times New Roman"/>
        </w:rPr>
      </w:pPr>
    </w:p>
    <w:p w14:paraId="CA000000">
      <w:pPr>
        <w:widowControl w:val="1"/>
        <w:ind/>
        <w:rPr>
          <w:rFonts w:ascii="Times New Roman" w:hAnsi="Times New Roman"/>
        </w:rPr>
      </w:pPr>
      <w:r>
        <w:rPr>
          <w:rFonts w:ascii="Times New Roman" w:hAnsi="Times New Roman"/>
        </w:rPr>
        <w:t>Фамилия Имя Отчество и должность лица, выдавшего направление для проведения патологоанатомического вскрытия__________________________________________________________________________</w:t>
      </w:r>
    </w:p>
    <w:p w14:paraId="CB000000">
      <w:pPr>
        <w:widowControl w:val="1"/>
        <w:ind/>
        <w:rPr>
          <w:rFonts w:ascii="Times New Roman" w:hAnsi="Times New Roman"/>
        </w:rPr>
      </w:pPr>
    </w:p>
    <w:p w14:paraId="CC000000">
      <w:pPr>
        <w:widowControl w:val="1"/>
        <w:ind/>
        <w:rPr>
          <w:rFonts w:ascii="Times New Roman" w:hAnsi="Times New Roman"/>
        </w:rPr>
      </w:pPr>
    </w:p>
    <w:p w14:paraId="CD000000">
      <w:pPr>
        <w:widowControl w:val="1"/>
        <w:ind/>
        <w:rPr>
          <w:rFonts w:ascii="Times New Roman" w:hAnsi="Times New Roman"/>
        </w:rPr>
      </w:pPr>
      <w:r>
        <w:rPr>
          <w:rFonts w:ascii="Times New Roman" w:hAnsi="Times New Roman"/>
        </w:rPr>
        <w:t>ФИО и должность лица, осуществлявшего доставку умершего в морг  ГБУ РО «ПАБ»____________________________________________________________________________</w:t>
      </w:r>
    </w:p>
    <w:p w14:paraId="CE000000">
      <w:pPr>
        <w:widowControl w:val="1"/>
        <w:ind/>
        <w:rPr>
          <w:rFonts w:ascii="Times New Roman" w:hAnsi="Times New Roman"/>
        </w:rPr>
      </w:pPr>
    </w:p>
    <w:p w14:paraId="CF000000">
      <w:pPr>
        <w:widowControl w:val="1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D0000000">
      <w:pPr>
        <w:widowControl w:val="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доставки трупа в ГБУ РО «ПАБ» (патолого-анатомическое отделение в _______________________________)_________________20     г. </w:t>
      </w:r>
    </w:p>
    <w:p w14:paraId="D1000000">
      <w:pPr>
        <w:widowControl w:val="1"/>
        <w:ind/>
        <w:jc w:val="both"/>
        <w:rPr>
          <w:rFonts w:ascii="Times New Roman" w:hAnsi="Times New Roman"/>
        </w:rPr>
      </w:pPr>
    </w:p>
    <w:p w14:paraId="D2000000">
      <w:pPr>
        <w:widowControl w:val="1"/>
        <w:ind/>
        <w:jc w:val="both"/>
        <w:rPr>
          <w:rFonts w:ascii="Times New Roman" w:hAnsi="Times New Roman"/>
        </w:rPr>
      </w:pPr>
    </w:p>
    <w:p w14:paraId="D3000000">
      <w:pPr>
        <w:widowControl w:val="1"/>
        <w:ind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>Время доставки трупа в ГБУ РО «ПАБ» (патолого-анатомическое отделение в ________________________)_______________20     г.</w:t>
      </w:r>
    </w:p>
    <w:sectPr>
      <w:pgSz w:h="16838" w:orient="portrait" w:w="11906"/>
      <w:pgMar w:bottom="1134" w:footer="720" w:gutter="0" w:header="720" w:left="1134" w:right="849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0"/>
      <w:ind/>
    </w:pPr>
    <w:rPr>
      <w:rFonts w:ascii="Liberation Serif" w:hAnsi="Liberation Serif"/>
      <w:sz w:val="24"/>
    </w:rPr>
  </w:style>
  <w:style w:default="1" w:styleId="Style_4_ch" w:type="character">
    <w:name w:val="Normal"/>
    <w:link w:val="Style_4"/>
    <w:rPr>
      <w:rFonts w:ascii="Liberation Serif" w:hAnsi="Liberation Serif"/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WW8Num4z0"/>
    <w:link w:val="Style_6_ch"/>
    <w:rPr>
      <w:rFonts w:ascii="Symbol" w:hAnsi="Symbol"/>
    </w:rPr>
  </w:style>
  <w:style w:styleId="Style_6_ch" w:type="character">
    <w:name w:val="WW8Num4z0"/>
    <w:link w:val="Style_6"/>
    <w:rPr>
      <w:rFonts w:ascii="Symbol" w:hAnsi="Symbol"/>
    </w:rPr>
  </w:style>
  <w:style w:styleId="Style_7" w:type="paragraph">
    <w:name w:val="WW8Num1z3"/>
    <w:link w:val="Style_7_ch"/>
  </w:style>
  <w:style w:styleId="Style_7_ch" w:type="character">
    <w:name w:val="WW8Num1z3"/>
    <w:link w:val="Style_7"/>
  </w:style>
  <w:style w:styleId="Style_8" w:type="paragraph">
    <w:name w:val="toc 4"/>
    <w:next w:val="Style_4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WW8Num1z8"/>
    <w:link w:val="Style_9_ch"/>
  </w:style>
  <w:style w:styleId="Style_9_ch" w:type="character">
    <w:name w:val="WW8Num1z8"/>
    <w:link w:val="Style_9"/>
  </w:style>
  <w:style w:styleId="Style_10" w:type="paragraph">
    <w:name w:val="Основной шрифт абзаца5"/>
    <w:link w:val="Style_10_ch"/>
  </w:style>
  <w:style w:styleId="Style_10_ch" w:type="character">
    <w:name w:val="Основной шрифт абзаца5"/>
    <w:link w:val="Style_10"/>
  </w:style>
  <w:style w:styleId="Style_11" w:type="paragraph">
    <w:name w:val="toc 6"/>
    <w:next w:val="Style_4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Заголовок1"/>
    <w:basedOn w:val="Style_4"/>
    <w:next w:val="Style_2"/>
    <w:link w:val="Style_12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12_ch" w:type="character">
    <w:name w:val="Заголовок1"/>
    <w:basedOn w:val="Style_4_ch"/>
    <w:link w:val="Style_12"/>
    <w:rPr>
      <w:rFonts w:ascii="Liberation Sans" w:hAnsi="Liberation Sans"/>
      <w:sz w:val="28"/>
    </w:rPr>
  </w:style>
  <w:style w:styleId="Style_13" w:type="paragraph">
    <w:name w:val="toc 7"/>
    <w:next w:val="Style_4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WW8Num2z4"/>
    <w:link w:val="Style_14_ch"/>
  </w:style>
  <w:style w:styleId="Style_14_ch" w:type="character">
    <w:name w:val="WW8Num2z4"/>
    <w:link w:val="Style_14"/>
  </w:style>
  <w:style w:styleId="Style_15" w:type="paragraph">
    <w:name w:val="WW8Num5z4"/>
    <w:link w:val="Style_15_ch"/>
  </w:style>
  <w:style w:styleId="Style_15_ch" w:type="character">
    <w:name w:val="WW8Num5z4"/>
    <w:link w:val="Style_15"/>
  </w:style>
  <w:style w:styleId="Style_16" w:type="paragraph">
    <w:name w:val="WW8Num1z4"/>
    <w:link w:val="Style_16_ch"/>
  </w:style>
  <w:style w:styleId="Style_16_ch" w:type="character">
    <w:name w:val="WW8Num1z4"/>
    <w:link w:val="Style_16"/>
  </w:style>
  <w:style w:styleId="Style_17" w:type="paragraph">
    <w:name w:val="End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Endnote"/>
    <w:link w:val="Style_17"/>
    <w:rPr>
      <w:rFonts w:ascii="XO Thames" w:hAnsi="XO Thames"/>
      <w:sz w:val="22"/>
    </w:rPr>
  </w:style>
  <w:style w:styleId="Style_18" w:type="paragraph">
    <w:name w:val="heading 3"/>
    <w:next w:val="Style_4"/>
    <w:link w:val="Style_1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8_ch" w:type="character">
    <w:name w:val="heading 3"/>
    <w:link w:val="Style_18"/>
    <w:rPr>
      <w:rFonts w:ascii="XO Thames" w:hAnsi="XO Thames"/>
      <w:b w:val="1"/>
      <w:sz w:val="26"/>
    </w:rPr>
  </w:style>
  <w:style w:styleId="Style_19" w:type="paragraph">
    <w:name w:val="Указатель5"/>
    <w:basedOn w:val="Style_4"/>
    <w:link w:val="Style_19_ch"/>
  </w:style>
  <w:style w:styleId="Style_19_ch" w:type="character">
    <w:name w:val="Указатель5"/>
    <w:basedOn w:val="Style_4_ch"/>
    <w:link w:val="Style_19"/>
  </w:style>
  <w:style w:styleId="Style_20" w:type="paragraph">
    <w:name w:val="Заголовок таблицы"/>
    <w:basedOn w:val="Style_21"/>
    <w:link w:val="Style_20_ch"/>
    <w:pPr>
      <w:ind/>
      <w:jc w:val="center"/>
    </w:pPr>
    <w:rPr>
      <w:b w:val="1"/>
    </w:rPr>
  </w:style>
  <w:style w:styleId="Style_20_ch" w:type="character">
    <w:name w:val="Заголовок таблицы"/>
    <w:basedOn w:val="Style_21_ch"/>
    <w:link w:val="Style_20"/>
    <w:rPr>
      <w:b w:val="1"/>
    </w:rPr>
  </w:style>
  <w:style w:styleId="Style_22" w:type="paragraph">
    <w:name w:val="Текст выноски Знак"/>
    <w:link w:val="Style_22_ch"/>
    <w:rPr>
      <w:rFonts w:ascii="Tahoma" w:hAnsi="Tahoma"/>
      <w:sz w:val="16"/>
    </w:rPr>
  </w:style>
  <w:style w:styleId="Style_22_ch" w:type="character">
    <w:name w:val="Текст выноски Знак"/>
    <w:link w:val="Style_22"/>
    <w:rPr>
      <w:rFonts w:ascii="Tahoma" w:hAnsi="Tahoma"/>
      <w:sz w:val="16"/>
    </w:rPr>
  </w:style>
  <w:style w:styleId="Style_23" w:type="paragraph">
    <w:name w:val="Название объекта3"/>
    <w:basedOn w:val="Style_4"/>
    <w:link w:val="Style_23_ch"/>
    <w:pPr>
      <w:spacing w:after="120" w:before="120"/>
      <w:ind/>
    </w:pPr>
    <w:rPr>
      <w:i w:val="1"/>
    </w:rPr>
  </w:style>
  <w:style w:styleId="Style_23_ch" w:type="character">
    <w:name w:val="Название объекта3"/>
    <w:basedOn w:val="Style_4_ch"/>
    <w:link w:val="Style_23"/>
    <w:rPr>
      <w:i w:val="1"/>
    </w:rPr>
  </w:style>
  <w:style w:styleId="Style_21" w:type="paragraph">
    <w:name w:val="Содержимое таблицы"/>
    <w:basedOn w:val="Style_4"/>
    <w:link w:val="Style_21_ch"/>
  </w:style>
  <w:style w:styleId="Style_21_ch" w:type="character">
    <w:name w:val="Содержимое таблицы"/>
    <w:basedOn w:val="Style_4_ch"/>
    <w:link w:val="Style_21"/>
  </w:style>
  <w:style w:styleId="Style_24" w:type="paragraph">
    <w:name w:val="WW8Num5z2"/>
    <w:link w:val="Style_24_ch"/>
  </w:style>
  <w:style w:styleId="Style_24_ch" w:type="character">
    <w:name w:val="WW8Num5z2"/>
    <w:link w:val="Style_24"/>
  </w:style>
  <w:style w:styleId="Style_25" w:type="paragraph">
    <w:name w:val="WW8Num5z3"/>
    <w:link w:val="Style_25_ch"/>
  </w:style>
  <w:style w:styleId="Style_25_ch" w:type="character">
    <w:name w:val="WW8Num5z3"/>
    <w:link w:val="Style_25"/>
  </w:style>
  <w:style w:styleId="Style_26" w:type="paragraph">
    <w:name w:val="Название объекта4"/>
    <w:basedOn w:val="Style_4"/>
    <w:link w:val="Style_26_ch"/>
    <w:pPr>
      <w:spacing w:after="120" w:before="120"/>
      <w:ind/>
    </w:pPr>
    <w:rPr>
      <w:i w:val="1"/>
    </w:rPr>
  </w:style>
  <w:style w:styleId="Style_26_ch" w:type="character">
    <w:name w:val="Название объекта4"/>
    <w:basedOn w:val="Style_4_ch"/>
    <w:link w:val="Style_26"/>
    <w:rPr>
      <w:i w:val="1"/>
    </w:rPr>
  </w:style>
  <w:style w:styleId="Style_27" w:type="paragraph">
    <w:name w:val="Название1"/>
    <w:basedOn w:val="Style_4"/>
    <w:link w:val="Style_27_ch"/>
    <w:pPr>
      <w:spacing w:after="120" w:before="120"/>
      <w:ind/>
    </w:pPr>
    <w:rPr>
      <w:i w:val="1"/>
    </w:rPr>
  </w:style>
  <w:style w:styleId="Style_27_ch" w:type="character">
    <w:name w:val="Название1"/>
    <w:basedOn w:val="Style_4_ch"/>
    <w:link w:val="Style_27"/>
    <w:rPr>
      <w:i w:val="1"/>
    </w:rPr>
  </w:style>
  <w:style w:styleId="Style_28" w:type="paragraph">
    <w:name w:val="Название объекта1"/>
    <w:basedOn w:val="Style_4"/>
    <w:link w:val="Style_28_ch"/>
    <w:pPr>
      <w:spacing w:after="120" w:before="120"/>
      <w:ind/>
    </w:pPr>
    <w:rPr>
      <w:i w:val="1"/>
    </w:rPr>
  </w:style>
  <w:style w:styleId="Style_28_ch" w:type="character">
    <w:name w:val="Название объекта1"/>
    <w:basedOn w:val="Style_4_ch"/>
    <w:link w:val="Style_28"/>
    <w:rPr>
      <w:i w:val="1"/>
    </w:rPr>
  </w:style>
  <w:style w:styleId="Style_29" w:type="paragraph">
    <w:name w:val="WW8Num2z8"/>
    <w:link w:val="Style_29_ch"/>
  </w:style>
  <w:style w:styleId="Style_29_ch" w:type="character">
    <w:name w:val="WW8Num2z8"/>
    <w:link w:val="Style_29"/>
  </w:style>
  <w:style w:styleId="Style_30" w:type="paragraph">
    <w:name w:val="WW8Num2z5"/>
    <w:link w:val="Style_30_ch"/>
  </w:style>
  <w:style w:styleId="Style_30_ch" w:type="character">
    <w:name w:val="WW8Num2z5"/>
    <w:link w:val="Style_30"/>
  </w:style>
  <w:style w:styleId="Style_31" w:type="paragraph">
    <w:name w:val="WW8Num1z5"/>
    <w:link w:val="Style_31_ch"/>
  </w:style>
  <w:style w:styleId="Style_31_ch" w:type="character">
    <w:name w:val="WW8Num1z5"/>
    <w:link w:val="Style_31"/>
  </w:style>
  <w:style w:styleId="Style_32" w:type="paragraph">
    <w:name w:val="WW8Num5z7"/>
    <w:link w:val="Style_32_ch"/>
  </w:style>
  <w:style w:styleId="Style_32_ch" w:type="character">
    <w:name w:val="WW8Num5z7"/>
    <w:link w:val="Style_32"/>
  </w:style>
  <w:style w:styleId="Style_33" w:type="paragraph">
    <w:name w:val="Default Paragraph Font"/>
    <w:link w:val="Style_33_ch"/>
  </w:style>
  <w:style w:styleId="Style_33_ch" w:type="character">
    <w:name w:val="Default Paragraph Font"/>
    <w:link w:val="Style_33"/>
  </w:style>
  <w:style w:styleId="Style_34" w:type="paragraph">
    <w:name w:val="Символ нумерации"/>
    <w:link w:val="Style_34_ch"/>
  </w:style>
  <w:style w:styleId="Style_34_ch" w:type="character">
    <w:name w:val="Символ нумерации"/>
    <w:link w:val="Style_34"/>
  </w:style>
  <w:style w:styleId="Style_35" w:type="paragraph">
    <w:name w:val="toc 3"/>
    <w:next w:val="Style_4"/>
    <w:link w:val="Style_3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35_ch" w:type="character">
    <w:name w:val="toc 3"/>
    <w:link w:val="Style_35"/>
    <w:rPr>
      <w:rFonts w:ascii="XO Thames" w:hAnsi="XO Thames"/>
      <w:sz w:val="28"/>
    </w:rPr>
  </w:style>
  <w:style w:styleId="Style_36" w:type="paragraph">
    <w:name w:val="Основной шрифт абзаца4"/>
    <w:link w:val="Style_36_ch"/>
  </w:style>
  <w:style w:styleId="Style_36_ch" w:type="character">
    <w:name w:val="Основной шрифт абзаца4"/>
    <w:link w:val="Style_36"/>
  </w:style>
  <w:style w:styleId="Style_37" w:type="paragraph">
    <w:name w:val="Указатель6"/>
    <w:basedOn w:val="Style_4"/>
    <w:link w:val="Style_37_ch"/>
  </w:style>
  <w:style w:styleId="Style_37_ch" w:type="character">
    <w:name w:val="Указатель6"/>
    <w:basedOn w:val="Style_4_ch"/>
    <w:link w:val="Style_37"/>
  </w:style>
  <w:style w:styleId="Style_38" w:type="paragraph">
    <w:name w:val="Основной шрифт абзаца1"/>
    <w:link w:val="Style_38_ch"/>
  </w:style>
  <w:style w:styleId="Style_38_ch" w:type="character">
    <w:name w:val="Основной шрифт абзаца1"/>
    <w:link w:val="Style_38"/>
  </w:style>
  <w:style w:styleId="Style_39" w:type="paragraph">
    <w:name w:val="heading 5"/>
    <w:next w:val="Style_4"/>
    <w:link w:val="Style_3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9_ch" w:type="character">
    <w:name w:val="heading 5"/>
    <w:link w:val="Style_39"/>
    <w:rPr>
      <w:rFonts w:ascii="XO Thames" w:hAnsi="XO Thames"/>
      <w:b w:val="1"/>
      <w:sz w:val="22"/>
    </w:rPr>
  </w:style>
  <w:style w:styleId="Style_40" w:type="paragraph">
    <w:name w:val="Balloon Text"/>
    <w:basedOn w:val="Style_4"/>
    <w:link w:val="Style_40_ch"/>
    <w:rPr>
      <w:rFonts w:ascii="Tahoma" w:hAnsi="Tahoma"/>
      <w:sz w:val="16"/>
    </w:rPr>
  </w:style>
  <w:style w:styleId="Style_40_ch" w:type="character">
    <w:name w:val="Balloon Text"/>
    <w:basedOn w:val="Style_4_ch"/>
    <w:link w:val="Style_40"/>
    <w:rPr>
      <w:rFonts w:ascii="Tahoma" w:hAnsi="Tahoma"/>
      <w:sz w:val="16"/>
    </w:rPr>
  </w:style>
  <w:style w:styleId="Style_41" w:type="paragraph">
    <w:name w:val="Основной шрифт абзаца2"/>
    <w:link w:val="Style_41_ch"/>
  </w:style>
  <w:style w:styleId="Style_41_ch" w:type="character">
    <w:name w:val="Основной шрифт абзаца2"/>
    <w:link w:val="Style_41"/>
  </w:style>
  <w:style w:styleId="Style_42" w:type="paragraph">
    <w:name w:val="WW8Num2z3"/>
    <w:link w:val="Style_42_ch"/>
  </w:style>
  <w:style w:styleId="Style_42_ch" w:type="character">
    <w:name w:val="WW8Num2z3"/>
    <w:link w:val="Style_42"/>
  </w:style>
  <w:style w:styleId="Style_43" w:type="paragraph">
    <w:name w:val="WW8Num1z7"/>
    <w:link w:val="Style_43_ch"/>
  </w:style>
  <w:style w:styleId="Style_43_ch" w:type="character">
    <w:name w:val="WW8Num1z7"/>
    <w:link w:val="Style_43"/>
  </w:style>
  <w:style w:styleId="Style_44" w:type="paragraph">
    <w:name w:val="heading 1"/>
    <w:next w:val="Style_4"/>
    <w:link w:val="Style_4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44_ch" w:type="character">
    <w:name w:val="heading 1"/>
    <w:link w:val="Style_44"/>
    <w:rPr>
      <w:rFonts w:ascii="XO Thames" w:hAnsi="XO Thames"/>
      <w:b w:val="1"/>
      <w:sz w:val="32"/>
    </w:rPr>
  </w:style>
  <w:style w:styleId="Style_45" w:type="paragraph">
    <w:name w:val="WW8Num2z6"/>
    <w:link w:val="Style_45_ch"/>
  </w:style>
  <w:style w:styleId="Style_45_ch" w:type="character">
    <w:name w:val="WW8Num2z6"/>
    <w:link w:val="Style_45"/>
  </w:style>
  <w:style w:styleId="Style_46" w:type="paragraph">
    <w:name w:val="Hyperlink"/>
    <w:link w:val="Style_46_ch"/>
    <w:rPr>
      <w:color w:val="0000FF"/>
      <w:u w:val="single"/>
    </w:rPr>
  </w:style>
  <w:style w:styleId="Style_46_ch" w:type="character">
    <w:name w:val="Hyperlink"/>
    <w:link w:val="Style_46"/>
    <w:rPr>
      <w:color w:val="0000FF"/>
      <w:u w:val="single"/>
    </w:rPr>
  </w:style>
  <w:style w:styleId="Style_47" w:type="paragraph">
    <w:name w:val="Footnote"/>
    <w:link w:val="Style_47_ch"/>
    <w:pPr>
      <w:ind w:firstLine="851" w:left="0"/>
      <w:jc w:val="both"/>
    </w:pPr>
    <w:rPr>
      <w:rFonts w:ascii="XO Thames" w:hAnsi="XO Thames"/>
      <w:sz w:val="22"/>
    </w:rPr>
  </w:style>
  <w:style w:styleId="Style_47_ch" w:type="character">
    <w:name w:val="Footnote"/>
    <w:link w:val="Style_47"/>
    <w:rPr>
      <w:rFonts w:ascii="XO Thames" w:hAnsi="XO Thames"/>
      <w:sz w:val="22"/>
    </w:rPr>
  </w:style>
  <w:style w:styleId="Style_48" w:type="paragraph">
    <w:name w:val="toc 1"/>
    <w:next w:val="Style_4"/>
    <w:link w:val="Style_4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48_ch" w:type="character">
    <w:name w:val="toc 1"/>
    <w:link w:val="Style_48"/>
    <w:rPr>
      <w:rFonts w:ascii="XO Thames" w:hAnsi="XO Thames"/>
      <w:b w:val="1"/>
      <w:sz w:val="28"/>
    </w:rPr>
  </w:style>
  <w:style w:styleId="Style_49" w:type="paragraph">
    <w:name w:val="Указатель1"/>
    <w:basedOn w:val="Style_4"/>
    <w:link w:val="Style_49_ch"/>
  </w:style>
  <w:style w:styleId="Style_49_ch" w:type="character">
    <w:name w:val="Указатель1"/>
    <w:basedOn w:val="Style_4_ch"/>
    <w:link w:val="Style_49"/>
  </w:style>
  <w:style w:styleId="Style_50" w:type="paragraph">
    <w:name w:val="Название объекта2"/>
    <w:basedOn w:val="Style_4"/>
    <w:link w:val="Style_50_ch"/>
    <w:pPr>
      <w:spacing w:after="120" w:before="120"/>
      <w:ind/>
    </w:pPr>
    <w:rPr>
      <w:i w:val="1"/>
    </w:rPr>
  </w:style>
  <w:style w:styleId="Style_50_ch" w:type="character">
    <w:name w:val="Название объекта2"/>
    <w:basedOn w:val="Style_4_ch"/>
    <w:link w:val="Style_50"/>
    <w:rPr>
      <w:i w:val="1"/>
    </w:rPr>
  </w:style>
  <w:style w:styleId="Style_51" w:type="paragraph">
    <w:name w:val="WW8Num8z0"/>
    <w:link w:val="Style_51_ch"/>
    <w:rPr>
      <w:rFonts w:ascii="Times New Roman" w:hAnsi="Times New Roman"/>
      <w:sz w:val="24"/>
    </w:rPr>
  </w:style>
  <w:style w:styleId="Style_51_ch" w:type="character">
    <w:name w:val="WW8Num8z0"/>
    <w:link w:val="Style_51"/>
    <w:rPr>
      <w:rFonts w:ascii="Times New Roman" w:hAnsi="Times New Roman"/>
      <w:sz w:val="24"/>
    </w:rPr>
  </w:style>
  <w:style w:styleId="Style_52" w:type="paragraph">
    <w:name w:val="WW8Num5z8"/>
    <w:link w:val="Style_52_ch"/>
  </w:style>
  <w:style w:styleId="Style_52_ch" w:type="character">
    <w:name w:val="WW8Num5z8"/>
    <w:link w:val="Style_52"/>
  </w:style>
  <w:style w:styleId="Style_53" w:type="paragraph">
    <w:name w:val="Header and Footer"/>
    <w:link w:val="Style_53_ch"/>
    <w:pPr>
      <w:spacing w:line="240" w:lineRule="auto"/>
      <w:ind/>
      <w:jc w:val="both"/>
    </w:pPr>
    <w:rPr>
      <w:rFonts w:ascii="XO Thames" w:hAnsi="XO Thames"/>
      <w:sz w:val="28"/>
    </w:rPr>
  </w:style>
  <w:style w:styleId="Style_53_ch" w:type="character">
    <w:name w:val="Header and Footer"/>
    <w:link w:val="Style_53"/>
    <w:rPr>
      <w:rFonts w:ascii="XO Thames" w:hAnsi="XO Thames"/>
      <w:sz w:val="28"/>
    </w:rPr>
  </w:style>
  <w:style w:styleId="Style_54" w:type="paragraph">
    <w:name w:val="Указатель3"/>
    <w:basedOn w:val="Style_4"/>
    <w:link w:val="Style_54_ch"/>
  </w:style>
  <w:style w:styleId="Style_54_ch" w:type="character">
    <w:name w:val="Указатель3"/>
    <w:basedOn w:val="Style_4_ch"/>
    <w:link w:val="Style_54"/>
  </w:style>
  <w:style w:styleId="Style_55" w:type="paragraph">
    <w:name w:val="WW8Num5z1"/>
    <w:link w:val="Style_55_ch"/>
  </w:style>
  <w:style w:styleId="Style_55_ch" w:type="character">
    <w:name w:val="WW8Num5z1"/>
    <w:link w:val="Style_55"/>
  </w:style>
  <w:style w:styleId="Style_56" w:type="paragraph">
    <w:name w:val="WW8Num2z1"/>
    <w:link w:val="Style_56_ch"/>
  </w:style>
  <w:style w:styleId="Style_56_ch" w:type="character">
    <w:name w:val="WW8Num2z1"/>
    <w:link w:val="Style_56"/>
  </w:style>
  <w:style w:styleId="Style_57" w:type="paragraph">
    <w:name w:val="toc 9"/>
    <w:next w:val="Style_4"/>
    <w:link w:val="Style_5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57_ch" w:type="character">
    <w:name w:val="toc 9"/>
    <w:link w:val="Style_57"/>
    <w:rPr>
      <w:rFonts w:ascii="XO Thames" w:hAnsi="XO Thames"/>
      <w:sz w:val="28"/>
    </w:rPr>
  </w:style>
  <w:style w:styleId="Style_1" w:type="paragraph">
    <w:name w:val="List Paragraph"/>
    <w:basedOn w:val="Style_4"/>
    <w:link w:val="Style_1_ch"/>
    <w:pPr>
      <w:spacing w:after="200"/>
      <w:ind w:firstLine="0" w:left="720"/>
    </w:pPr>
  </w:style>
  <w:style w:styleId="Style_1_ch" w:type="character">
    <w:name w:val="List Paragraph"/>
    <w:basedOn w:val="Style_4_ch"/>
    <w:link w:val="Style_1"/>
  </w:style>
  <w:style w:styleId="Style_58" w:type="paragraph">
    <w:name w:val="Указатель2"/>
    <w:basedOn w:val="Style_4"/>
    <w:link w:val="Style_58_ch"/>
  </w:style>
  <w:style w:styleId="Style_58_ch" w:type="character">
    <w:name w:val="Указатель2"/>
    <w:basedOn w:val="Style_4_ch"/>
    <w:link w:val="Style_58"/>
  </w:style>
  <w:style w:styleId="Style_59" w:type="paragraph">
    <w:name w:val="Основной шрифт абзаца3"/>
    <w:link w:val="Style_59_ch"/>
  </w:style>
  <w:style w:styleId="Style_59_ch" w:type="character">
    <w:name w:val="Основной шрифт абзаца3"/>
    <w:link w:val="Style_59"/>
  </w:style>
  <w:style w:styleId="Style_60" w:type="paragraph">
    <w:name w:val="WW8Num2z7"/>
    <w:link w:val="Style_60_ch"/>
  </w:style>
  <w:style w:styleId="Style_60_ch" w:type="character">
    <w:name w:val="WW8Num2z7"/>
    <w:link w:val="Style_60"/>
  </w:style>
  <w:style w:styleId="Style_61" w:type="paragraph">
    <w:name w:val="WW8Num1z0"/>
    <w:link w:val="Style_61_ch"/>
  </w:style>
  <w:style w:styleId="Style_61_ch" w:type="character">
    <w:name w:val="WW8Num1z0"/>
    <w:link w:val="Style_61"/>
  </w:style>
  <w:style w:styleId="Style_62" w:type="paragraph">
    <w:name w:val="toc 8"/>
    <w:next w:val="Style_4"/>
    <w:link w:val="Style_6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62_ch" w:type="character">
    <w:name w:val="toc 8"/>
    <w:link w:val="Style_62"/>
    <w:rPr>
      <w:rFonts w:ascii="XO Thames" w:hAnsi="XO Thames"/>
      <w:sz w:val="28"/>
    </w:rPr>
  </w:style>
  <w:style w:styleId="Style_63" w:type="paragraph">
    <w:name w:val="WW8Num5z5"/>
    <w:link w:val="Style_63_ch"/>
  </w:style>
  <w:style w:styleId="Style_63_ch" w:type="character">
    <w:name w:val="WW8Num5z5"/>
    <w:link w:val="Style_63"/>
  </w:style>
  <w:style w:styleId="Style_64" w:type="paragraph">
    <w:name w:val="WW8Num1z1"/>
    <w:link w:val="Style_64_ch"/>
    <w:rPr>
      <w:b w:val="1"/>
      <w:color w:val="000000"/>
      <w:spacing w:val="-1"/>
    </w:rPr>
  </w:style>
  <w:style w:styleId="Style_64_ch" w:type="character">
    <w:name w:val="WW8Num1z1"/>
    <w:link w:val="Style_64"/>
    <w:rPr>
      <w:b w:val="1"/>
      <w:color w:val="000000"/>
      <w:spacing w:val="-1"/>
    </w:rPr>
  </w:style>
  <w:style w:styleId="Style_2" w:type="paragraph">
    <w:name w:val="Body Text"/>
    <w:basedOn w:val="Style_4"/>
    <w:link w:val="Style_2_ch"/>
    <w:pPr>
      <w:spacing w:after="140" w:line="288" w:lineRule="auto"/>
      <w:ind/>
    </w:pPr>
  </w:style>
  <w:style w:styleId="Style_2_ch" w:type="character">
    <w:name w:val="Body Text"/>
    <w:basedOn w:val="Style_4_ch"/>
    <w:link w:val="Style_2"/>
  </w:style>
  <w:style w:styleId="Style_65" w:type="paragraph">
    <w:name w:val="List"/>
    <w:basedOn w:val="Style_2"/>
    <w:link w:val="Style_65_ch"/>
  </w:style>
  <w:style w:styleId="Style_65_ch" w:type="character">
    <w:name w:val="List"/>
    <w:basedOn w:val="Style_2_ch"/>
    <w:link w:val="Style_65"/>
  </w:style>
  <w:style w:styleId="Style_66" w:type="paragraph">
    <w:name w:val="WW8Num1z6"/>
    <w:link w:val="Style_66_ch"/>
  </w:style>
  <w:style w:styleId="Style_66_ch" w:type="character">
    <w:name w:val="WW8Num1z6"/>
    <w:link w:val="Style_66"/>
  </w:style>
  <w:style w:styleId="Style_67" w:type="paragraph">
    <w:name w:val="toc 5"/>
    <w:next w:val="Style_4"/>
    <w:link w:val="Style_6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67_ch" w:type="character">
    <w:name w:val="toc 5"/>
    <w:link w:val="Style_67"/>
    <w:rPr>
      <w:rFonts w:ascii="XO Thames" w:hAnsi="XO Thames"/>
      <w:sz w:val="28"/>
    </w:rPr>
  </w:style>
  <w:style w:styleId="Style_68" w:type="paragraph">
    <w:name w:val="WW8Num3z0"/>
    <w:link w:val="Style_68_ch"/>
    <w:rPr>
      <w:rFonts w:ascii="Times New Roman" w:hAnsi="Times New Roman"/>
    </w:rPr>
  </w:style>
  <w:style w:styleId="Style_68_ch" w:type="character">
    <w:name w:val="WW8Num3z0"/>
    <w:link w:val="Style_68"/>
    <w:rPr>
      <w:rFonts w:ascii="Times New Roman" w:hAnsi="Times New Roman"/>
    </w:rPr>
  </w:style>
  <w:style w:styleId="Style_69" w:type="paragraph">
    <w:name w:val="WW8Num7z0"/>
    <w:link w:val="Style_69_ch"/>
  </w:style>
  <w:style w:styleId="Style_69_ch" w:type="character">
    <w:name w:val="WW8Num7z0"/>
    <w:link w:val="Style_69"/>
  </w:style>
  <w:style w:styleId="Style_70" w:type="paragraph">
    <w:name w:val="Содержимое врезки"/>
    <w:basedOn w:val="Style_2"/>
    <w:link w:val="Style_70_ch"/>
  </w:style>
  <w:style w:styleId="Style_70_ch" w:type="character">
    <w:name w:val="Содержимое врезки"/>
    <w:basedOn w:val="Style_2_ch"/>
    <w:link w:val="Style_70"/>
  </w:style>
  <w:style w:styleId="Style_71" w:type="paragraph">
    <w:name w:val="Название объекта5"/>
    <w:basedOn w:val="Style_4"/>
    <w:link w:val="Style_71_ch"/>
    <w:pPr>
      <w:spacing w:after="120" w:before="120"/>
      <w:ind/>
    </w:pPr>
    <w:rPr>
      <w:i w:val="1"/>
    </w:rPr>
  </w:style>
  <w:style w:styleId="Style_71_ch" w:type="character">
    <w:name w:val="Название объекта5"/>
    <w:basedOn w:val="Style_4_ch"/>
    <w:link w:val="Style_71"/>
    <w:rPr>
      <w:i w:val="1"/>
    </w:rPr>
  </w:style>
  <w:style w:styleId="Style_72" w:type="paragraph">
    <w:name w:val="WW8Num2z2"/>
    <w:link w:val="Style_72_ch"/>
  </w:style>
  <w:style w:styleId="Style_72_ch" w:type="character">
    <w:name w:val="WW8Num2z2"/>
    <w:link w:val="Style_72"/>
  </w:style>
  <w:style w:styleId="Style_73" w:type="paragraph">
    <w:name w:val="Subtitle"/>
    <w:next w:val="Style_4"/>
    <w:link w:val="Style_7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73_ch" w:type="character">
    <w:name w:val="Subtitle"/>
    <w:link w:val="Style_73"/>
    <w:rPr>
      <w:rFonts w:ascii="XO Thames" w:hAnsi="XO Thames"/>
      <w:i w:val="1"/>
      <w:sz w:val="24"/>
    </w:rPr>
  </w:style>
  <w:style w:styleId="Style_74" w:type="paragraph">
    <w:name w:val="WW8Num8z2"/>
    <w:link w:val="Style_74_ch"/>
  </w:style>
  <w:style w:styleId="Style_74_ch" w:type="character">
    <w:name w:val="WW8Num8z2"/>
    <w:link w:val="Style_74"/>
  </w:style>
  <w:style w:styleId="Style_75" w:type="paragraph">
    <w:name w:val="Указатель4"/>
    <w:basedOn w:val="Style_4"/>
    <w:link w:val="Style_75_ch"/>
  </w:style>
  <w:style w:styleId="Style_75_ch" w:type="character">
    <w:name w:val="Указатель4"/>
    <w:basedOn w:val="Style_4_ch"/>
    <w:link w:val="Style_75"/>
  </w:style>
  <w:style w:styleId="Style_76" w:type="paragraph">
    <w:name w:val="WW8Num5z0"/>
    <w:link w:val="Style_76_ch"/>
    <w:rPr>
      <w:rFonts w:ascii="Wingdings" w:hAnsi="Wingdings"/>
    </w:rPr>
  </w:style>
  <w:style w:styleId="Style_76_ch" w:type="character">
    <w:name w:val="WW8Num5z0"/>
    <w:link w:val="Style_76"/>
    <w:rPr>
      <w:rFonts w:ascii="Wingdings" w:hAnsi="Wingdings"/>
    </w:rPr>
  </w:style>
  <w:style w:styleId="Style_77" w:type="paragraph">
    <w:name w:val="WW8Num6z0"/>
    <w:link w:val="Style_77_ch"/>
    <w:rPr>
      <w:rFonts w:ascii="Times New Roman" w:hAnsi="Times New Roman"/>
    </w:rPr>
  </w:style>
  <w:style w:styleId="Style_77_ch" w:type="character">
    <w:name w:val="WW8Num6z0"/>
    <w:link w:val="Style_77"/>
    <w:rPr>
      <w:rFonts w:ascii="Times New Roman" w:hAnsi="Times New Roman"/>
    </w:rPr>
  </w:style>
  <w:style w:styleId="Style_78" w:type="paragraph">
    <w:name w:val="Title"/>
    <w:next w:val="Style_4"/>
    <w:link w:val="Style_7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78_ch" w:type="character">
    <w:name w:val="Title"/>
    <w:link w:val="Style_78"/>
    <w:rPr>
      <w:rFonts w:ascii="XO Thames" w:hAnsi="XO Thames"/>
      <w:b w:val="1"/>
      <w:caps w:val="1"/>
      <w:sz w:val="40"/>
    </w:rPr>
  </w:style>
  <w:style w:styleId="Style_79" w:type="paragraph">
    <w:name w:val="heading 4"/>
    <w:next w:val="Style_4"/>
    <w:link w:val="Style_7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79_ch" w:type="character">
    <w:name w:val="heading 4"/>
    <w:link w:val="Style_79"/>
    <w:rPr>
      <w:rFonts w:ascii="XO Thames" w:hAnsi="XO Thames"/>
      <w:b w:val="1"/>
      <w:sz w:val="24"/>
    </w:rPr>
  </w:style>
  <w:style w:styleId="Style_80" w:type="paragraph">
    <w:name w:val="WW8Num5z6"/>
    <w:link w:val="Style_80_ch"/>
  </w:style>
  <w:style w:styleId="Style_80_ch" w:type="character">
    <w:name w:val="WW8Num5z6"/>
    <w:link w:val="Style_80"/>
  </w:style>
  <w:style w:styleId="Style_81" w:type="paragraph">
    <w:name w:val="WW8Num1z2"/>
    <w:link w:val="Style_81_ch"/>
  </w:style>
  <w:style w:styleId="Style_81_ch" w:type="character">
    <w:name w:val="WW8Num1z2"/>
    <w:link w:val="Style_81"/>
  </w:style>
  <w:style w:styleId="Style_82" w:type="paragraph">
    <w:name w:val="heading 2"/>
    <w:next w:val="Style_4"/>
    <w:link w:val="Style_8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82_ch" w:type="character">
    <w:name w:val="heading 2"/>
    <w:link w:val="Style_82"/>
    <w:rPr>
      <w:rFonts w:ascii="XO Thames" w:hAnsi="XO Thames"/>
      <w:b w:val="1"/>
      <w:sz w:val="28"/>
    </w:rPr>
  </w:style>
  <w:style w:styleId="Style_83" w:type="paragraph">
    <w:name w:val="WW8Num8z1"/>
    <w:link w:val="Style_83_ch"/>
    <w:rPr>
      <w:rFonts w:ascii="Symbol" w:hAnsi="Symbol"/>
      <w:sz w:val="24"/>
    </w:rPr>
  </w:style>
  <w:style w:styleId="Style_83_ch" w:type="character">
    <w:name w:val="WW8Num8z1"/>
    <w:link w:val="Style_83"/>
    <w:rPr>
      <w:rFonts w:ascii="Symbol" w:hAnsi="Symbol"/>
      <w:sz w:val="24"/>
    </w:rPr>
  </w:style>
  <w:style w:styleId="Style_84" w:type="paragraph">
    <w:name w:val="WW8Num2z0"/>
    <w:link w:val="Style_84_ch"/>
  </w:style>
  <w:style w:styleId="Style_84_ch" w:type="character">
    <w:name w:val="WW8Num2z0"/>
    <w:link w:val="Style_84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5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2026-08-06T06:52:57Z</dcterms:modified>
</cp:coreProperties>
</file>