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rPr>
          <w:bCs w:val="false"/>
        </w:rPr>
      </w:pPr>
      <w:r>
        <w:rPr>
          <w:bCs w:val="false"/>
        </w:rPr>
        <w:t>ДОГОВОР № ЧФ 594/2026/04-2026-32/ЕАТ</w:t>
      </w:r>
    </w:p>
    <w:p>
      <w:pPr>
        <w:pStyle w:val="BodyText"/>
        <w:rPr>
          <w:sz w:val="22"/>
          <w:szCs w:val="22"/>
        </w:rPr>
      </w:pPr>
      <w:r>
        <w:rPr>
          <w:sz w:val="22"/>
          <w:szCs w:val="22"/>
        </w:rPr>
        <w:t>на проведение работ (оказание услуг) по поверке (калибровке) средств измерений, аттестации испытательного оборудования</w:t>
      </w:r>
    </w:p>
    <w:p>
      <w:pPr>
        <w:pStyle w:val="BodyText"/>
        <w:rPr>
          <w:sz w:val="22"/>
          <w:szCs w:val="22"/>
        </w:rPr>
      </w:pPr>
      <w:r>
        <w:rPr>
          <w:sz w:val="22"/>
          <w:szCs w:val="22"/>
        </w:rPr>
      </w:r>
    </w:p>
    <w:p>
      <w:pPr>
        <w:pStyle w:val="Normal"/>
        <w:rPr>
          <w:rStyle w:val="FontStyle14"/>
          <w:sz w:val="22"/>
          <w:szCs w:val="22"/>
          <w:lang w:eastAsia="ru-RU"/>
        </w:rPr>
      </w:pPr>
      <w:r>
        <w:rPr>
          <w:rStyle w:val="FontStyle14"/>
          <w:sz w:val="22"/>
          <w:szCs w:val="22"/>
          <w:lang w:eastAsia="ru-RU"/>
        </w:rPr>
        <w:t xml:space="preserve">г. Череповец                                                                                                                                      «     » </w:t>
      </w:r>
      <w:r>
        <w:rPr>
          <w:rStyle w:val="FontStyle14"/>
          <w:sz w:val="22"/>
          <w:szCs w:val="22"/>
          <w:lang w:eastAsia="ru-RU"/>
        </w:rPr>
        <w:t xml:space="preserve">июля </w:t>
      </w:r>
      <w:r>
        <w:rPr>
          <w:rStyle w:val="FontStyle14"/>
          <w:sz w:val="22"/>
          <w:szCs w:val="22"/>
          <w:lang w:eastAsia="ru-RU"/>
        </w:rPr>
        <w:t>2026 г.</w:t>
      </w:r>
    </w:p>
    <w:p>
      <w:pPr>
        <w:pStyle w:val="Normal"/>
        <w:ind w:firstLine="284"/>
        <w:jc w:val="both"/>
        <w:rPr>
          <w:rStyle w:val="FontStyle14"/>
          <w:sz w:val="22"/>
          <w:szCs w:val="22"/>
          <w:lang w:eastAsia="ru-RU"/>
        </w:rPr>
      </w:pPr>
      <w:r>
        <w:rPr>
          <w:rStyle w:val="FontStyle14"/>
          <w:b/>
          <w:sz w:val="22"/>
          <w:szCs w:val="22"/>
          <w:lang w:eastAsia="ru-RU"/>
        </w:rPr>
        <w:t>Федеральное бюджетное учреждение «Государственный региональный центр стандартизации, метрологии и испытаний в Вологодской области» (ФБУ «Вологодский ЦСМ»)</w:t>
      </w:r>
      <w:r>
        <w:rPr>
          <w:rStyle w:val="FontStyle14"/>
          <w:sz w:val="22"/>
          <w:szCs w:val="22"/>
          <w:lang w:eastAsia="ru-RU"/>
        </w:rPr>
        <w:t xml:space="preserve">, именуемое в дальнейшем «Исполнитель», в лице </w:t>
      </w:r>
      <w:r>
        <w:rPr>
          <w:rStyle w:val="FontStyle14"/>
          <w:b/>
          <w:sz w:val="22"/>
          <w:szCs w:val="22"/>
          <w:lang w:eastAsia="ru-RU"/>
        </w:rPr>
        <w:t>директора Череповецкого филиала</w:t>
      </w:r>
      <w:r>
        <w:rPr>
          <w:rStyle w:val="FontStyle14"/>
          <w:sz w:val="22"/>
          <w:szCs w:val="22"/>
          <w:lang w:eastAsia="ru-RU"/>
        </w:rPr>
        <w:t xml:space="preserve"> </w:t>
      </w:r>
      <w:r>
        <w:rPr>
          <w:rStyle w:val="FontStyle14"/>
          <w:b/>
          <w:sz w:val="22"/>
          <w:szCs w:val="22"/>
          <w:lang w:eastAsia="ru-RU"/>
        </w:rPr>
        <w:t>ФБУ «Вологодский ЦСМ» Костина Вадима Леонидовича</w:t>
      </w:r>
      <w:r>
        <w:rPr>
          <w:rStyle w:val="FontStyle14"/>
          <w:sz w:val="22"/>
          <w:szCs w:val="22"/>
          <w:lang w:eastAsia="ru-RU"/>
        </w:rPr>
        <w:t xml:space="preserve">, действующего на основании доверенности от 15.12.2025 г. № 44, с одной стороны, и </w:t>
      </w:r>
      <w:r>
        <w:rPr>
          <w:b/>
          <w:sz w:val="22"/>
          <w:szCs w:val="22"/>
        </w:rPr>
        <w:t>Федеральное бюджетное учреждение «Администрация Волго-Балтийского бассейна внутренних водных путей» (ФБУ «Администрация «Волго-Балт»),</w:t>
      </w:r>
      <w:r>
        <w:rPr>
          <w:sz w:val="22"/>
          <w:szCs w:val="22"/>
        </w:rPr>
        <w:t xml:space="preserve"> именуемое в дальнейшем </w:t>
      </w:r>
      <w:bookmarkStart w:id="0" w:name="_Hlk508957223"/>
      <w:r>
        <w:rPr>
          <w:sz w:val="22"/>
          <w:szCs w:val="22"/>
        </w:rPr>
        <w:t>«Заказчик»</w:t>
      </w:r>
      <w:bookmarkEnd w:id="0"/>
      <w:r>
        <w:rPr>
          <w:sz w:val="22"/>
          <w:szCs w:val="22"/>
        </w:rPr>
        <w:t xml:space="preserve">, в лице </w:t>
      </w:r>
      <w:r>
        <w:rPr>
          <w:b/>
          <w:sz w:val="22"/>
          <w:szCs w:val="22"/>
        </w:rPr>
        <w:t>начальника Череповецкого района водных путей и судоходства – филиала ФБУ «Администрация Волго-Балтийского бассейна внутренних водных путей» (ЧРВПиС) Воеводкина Сергея Владимировича,</w:t>
      </w:r>
      <w:r>
        <w:rPr>
          <w:sz w:val="22"/>
          <w:szCs w:val="22"/>
        </w:rPr>
        <w:t xml:space="preserve"> действующего на основании доверенности № 28-08-1103 от 09.12.2025г., </w:t>
      </w:r>
      <w:r>
        <w:rPr>
          <w:rStyle w:val="FontStyle14"/>
          <w:sz w:val="22"/>
          <w:szCs w:val="22"/>
          <w:lang w:eastAsia="ru-RU"/>
        </w:rPr>
        <w:t>с другой с</w:t>
      </w:r>
      <w:bookmarkStart w:id="1" w:name="_GoBack"/>
      <w:bookmarkEnd w:id="1"/>
      <w:r>
        <w:rPr>
          <w:rStyle w:val="FontStyle14"/>
          <w:sz w:val="22"/>
          <w:szCs w:val="22"/>
          <w:lang w:eastAsia="ru-RU"/>
        </w:rPr>
        <w:t>тороны, именуемые в дальнейшем Стороны, заключили настоящий договор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pPr>
        <w:pStyle w:val="Normal"/>
        <w:ind w:firstLine="284"/>
        <w:jc w:val="both"/>
        <w:rPr>
          <w:rStyle w:val="FontStyle14"/>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1. Предмет договора</w:t>
      </w:r>
    </w:p>
    <w:p>
      <w:pPr>
        <w:pStyle w:val="BodyText2"/>
        <w:ind w:firstLine="284"/>
        <w:rPr>
          <w:rStyle w:val="FontStyle14"/>
          <w:sz w:val="22"/>
          <w:szCs w:val="22"/>
          <w:lang w:eastAsia="ru-RU"/>
        </w:rPr>
      </w:pPr>
      <w:r>
        <w:rPr>
          <w:rStyle w:val="FontStyle14"/>
          <w:sz w:val="22"/>
          <w:szCs w:val="22"/>
          <w:lang w:eastAsia="ru-RU"/>
        </w:rPr>
        <w:t xml:space="preserve">1.1. Заказчик поручает, а Исполнитель принимает на себя выполнение работ (оказание услуг) </w:t>
      </w:r>
      <w:r>
        <w:rPr>
          <w:rStyle w:val="FontStyle14"/>
          <w:b/>
          <w:sz w:val="22"/>
          <w:szCs w:val="22"/>
          <w:lang w:eastAsia="ru-RU"/>
        </w:rPr>
        <w:t>по поверке</w:t>
      </w:r>
      <w:r>
        <w:rPr>
          <w:rStyle w:val="FontStyle14"/>
          <w:b/>
          <w:sz w:val="22"/>
          <w:szCs w:val="22"/>
          <w:highlight w:val="yellow"/>
          <w:lang w:eastAsia="ru-RU"/>
        </w:rPr>
        <w:t xml:space="preserve"> </w:t>
      </w:r>
      <w:r>
        <w:rPr>
          <w:rStyle w:val="FontStyle14"/>
          <w:sz w:val="22"/>
          <w:szCs w:val="22"/>
          <w:highlight w:val="yellow"/>
          <w:lang w:eastAsia="ru-RU"/>
        </w:rPr>
        <w:t xml:space="preserve"> </w:t>
      </w:r>
      <w:r>
        <w:rPr>
          <w:rStyle w:val="FontStyle14"/>
          <w:b/>
          <w:sz w:val="22"/>
          <w:szCs w:val="22"/>
          <w:lang w:eastAsia="ru-RU"/>
        </w:rPr>
        <w:t>тепловычислителя и преобразователя расхода ультразвукового</w:t>
      </w:r>
      <w:r>
        <w:rPr>
          <w:rStyle w:val="FontStyle14"/>
          <w:sz w:val="22"/>
          <w:szCs w:val="22"/>
          <w:lang w:eastAsia="ru-RU"/>
        </w:rPr>
        <w:t xml:space="preserve"> (далее – СИ):</w:t>
      </w:r>
    </w:p>
    <w:tbl>
      <w:tblPr>
        <w:tblW w:w="10363" w:type="dxa"/>
        <w:jc w:val="left"/>
        <w:tblInd w:w="93" w:type="dxa"/>
        <w:tblLayout w:type="fixed"/>
        <w:tblCellMar>
          <w:top w:w="0" w:type="dxa"/>
          <w:left w:w="108" w:type="dxa"/>
          <w:bottom w:w="0" w:type="dxa"/>
          <w:right w:w="108" w:type="dxa"/>
        </w:tblCellMar>
        <w:tblLook w:val="04a0" w:noHBand="0" w:noVBand="1" w:firstColumn="1" w:lastRow="0" w:lastColumn="0" w:firstRow="1"/>
      </w:tblPr>
      <w:tblGrid>
        <w:gridCol w:w="486"/>
        <w:gridCol w:w="6191"/>
        <w:gridCol w:w="850"/>
        <w:gridCol w:w="1277"/>
        <w:gridCol w:w="1559"/>
      </w:tblGrid>
      <w:tr>
        <w:trPr>
          <w:trHeight w:val="585" w:hRule="atLeast"/>
        </w:trPr>
        <w:tc>
          <w:tcPr>
            <w:tcW w:w="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pPr>
            <w:r>
              <w:rPr>
                <w:color w:val="000000"/>
                <w:sz w:val="20"/>
                <w:szCs w:val="20"/>
                <w:lang w:eastAsia="ru-RU"/>
              </w:rPr>
              <w:t xml:space="preserve">№ </w:t>
            </w:r>
            <w:r>
              <w:rPr>
                <w:color w:val="000000"/>
                <w:sz w:val="20"/>
                <w:szCs w:val="20"/>
                <w:lang w:eastAsia="ru-RU"/>
              </w:rPr>
              <w:t>п/п</w:t>
            </w:r>
          </w:p>
        </w:tc>
        <w:tc>
          <w:tcPr>
            <w:tcW w:w="6191"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jc w:val="center"/>
              <w:rPr/>
            </w:pPr>
            <w:r>
              <w:rPr>
                <w:color w:val="000000"/>
                <w:sz w:val="20"/>
                <w:szCs w:val="20"/>
                <w:lang w:eastAsia="ru-RU"/>
              </w:rPr>
              <w:t>Наименование СИ</w:t>
            </w:r>
          </w:p>
        </w:tc>
        <w:tc>
          <w:tcPr>
            <w:tcW w:w="850"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jc w:val="center"/>
              <w:rPr/>
            </w:pPr>
            <w:r>
              <w:rPr>
                <w:color w:val="000000"/>
                <w:sz w:val="20"/>
                <w:szCs w:val="20"/>
                <w:lang w:eastAsia="ru-RU"/>
              </w:rPr>
              <w:t>Колич.</w:t>
            </w:r>
          </w:p>
        </w:tc>
        <w:tc>
          <w:tcPr>
            <w:tcW w:w="127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jc w:val="center"/>
              <w:rPr/>
            </w:pPr>
            <w:r>
              <w:rPr>
                <w:color w:val="000000"/>
                <w:sz w:val="20"/>
                <w:szCs w:val="20"/>
                <w:lang w:eastAsia="ru-RU"/>
              </w:rPr>
              <w:t>Цена без НДС, руб.</w:t>
            </w:r>
          </w:p>
        </w:tc>
        <w:tc>
          <w:tcPr>
            <w:tcW w:w="155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jc w:val="center"/>
              <w:rPr/>
            </w:pPr>
            <w:r>
              <w:rPr>
                <w:color w:val="000000"/>
                <w:sz w:val="20"/>
                <w:szCs w:val="20"/>
                <w:lang w:eastAsia="ru-RU"/>
              </w:rPr>
              <w:t>Сумма с НДС 22%, руб.</w:t>
            </w:r>
          </w:p>
        </w:tc>
      </w:tr>
      <w:tr>
        <w:trPr>
          <w:trHeight w:val="600"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lang w:eastAsia="ru-RU"/>
              </w:rPr>
              <w:t>1</w:t>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color w:val="000000"/>
                <w:lang w:eastAsia="ru-RU"/>
              </w:rPr>
              <w:t>Теплосчетчики, техническое обслуживание (разборка на составные части)</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1</w:t>
            </w:r>
          </w:p>
        </w:tc>
        <w:tc>
          <w:tcPr>
            <w:tcW w:w="1277"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316,00</w:t>
            </w:r>
          </w:p>
        </w:tc>
        <w:tc>
          <w:tcPr>
            <w:tcW w:w="1559"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385,52</w:t>
            </w:r>
          </w:p>
        </w:tc>
      </w:tr>
      <w:tr>
        <w:trPr>
          <w:trHeight w:val="300"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lang w:eastAsia="ru-RU"/>
              </w:rPr>
              <w:t>2</w:t>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color w:val="000000"/>
                <w:lang w:eastAsia="ru-RU"/>
              </w:rPr>
              <w:t>Расходомеры ультразвуковые, Подготовка к поверке</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1</w:t>
            </w:r>
          </w:p>
        </w:tc>
        <w:tc>
          <w:tcPr>
            <w:tcW w:w="1277"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563,00</w:t>
            </w:r>
          </w:p>
        </w:tc>
        <w:tc>
          <w:tcPr>
            <w:tcW w:w="1559"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686,86</w:t>
            </w:r>
          </w:p>
        </w:tc>
      </w:tr>
      <w:tr>
        <w:trPr>
          <w:trHeight w:val="585"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lang w:eastAsia="ru-RU"/>
              </w:rPr>
              <w:t>3</w:t>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color w:val="000000"/>
                <w:lang w:eastAsia="ru-RU"/>
              </w:rPr>
              <w:t>Поверка /Преобразователи расхода для теплосчетчиков ультразвуковые</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1</w:t>
            </w:r>
          </w:p>
        </w:tc>
        <w:tc>
          <w:tcPr>
            <w:tcW w:w="1277"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3725,00</w:t>
            </w:r>
          </w:p>
        </w:tc>
        <w:tc>
          <w:tcPr>
            <w:tcW w:w="1559"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4544,50</w:t>
            </w:r>
          </w:p>
        </w:tc>
      </w:tr>
      <w:tr>
        <w:trPr>
          <w:trHeight w:val="300"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lang w:eastAsia="ru-RU"/>
              </w:rPr>
              <w:t>4</w:t>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color w:val="000000"/>
                <w:lang w:eastAsia="ru-RU"/>
              </w:rPr>
              <w:t>Поверка /Тепловычислители</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1</w:t>
            </w:r>
          </w:p>
        </w:tc>
        <w:tc>
          <w:tcPr>
            <w:tcW w:w="1277"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5631,00</w:t>
            </w:r>
          </w:p>
        </w:tc>
        <w:tc>
          <w:tcPr>
            <w:tcW w:w="1559"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6869,82</w:t>
            </w:r>
          </w:p>
        </w:tc>
      </w:tr>
      <w:tr>
        <w:trPr>
          <w:trHeight w:val="390"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color w:val="000000"/>
                <w:lang w:eastAsia="ru-RU"/>
              </w:rPr>
              <w:t>5</w:t>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color w:val="000000"/>
                <w:lang w:eastAsia="ru-RU"/>
              </w:rPr>
              <w:t>Поверка /Комплекты термопреобразователей сопротивления</w:t>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1</w:t>
            </w:r>
          </w:p>
        </w:tc>
        <w:tc>
          <w:tcPr>
            <w:tcW w:w="1277"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2705,00</w:t>
            </w:r>
          </w:p>
        </w:tc>
        <w:tc>
          <w:tcPr>
            <w:tcW w:w="1559"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color w:val="000000"/>
                <w:lang w:eastAsia="ru-RU"/>
              </w:rPr>
              <w:t>3300,10</w:t>
            </w:r>
          </w:p>
        </w:tc>
      </w:tr>
      <w:tr>
        <w:trPr>
          <w:trHeight w:val="300"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jc w:val="center"/>
              <w:rPr/>
            </w:pPr>
            <w:r>
              <w:rPr/>
            </w:r>
          </w:p>
        </w:tc>
        <w:tc>
          <w:tcPr>
            <w:tcW w:w="6191" w:type="dxa"/>
            <w:tcBorders>
              <w:bottom w:val="single" w:sz="4" w:space="0" w:color="000000"/>
              <w:right w:val="single" w:sz="4" w:space="0" w:color="000000"/>
            </w:tcBorders>
            <w:shd w:color="auto" w:fill="auto" w:val="clear"/>
            <w:vAlign w:val="bottom"/>
          </w:tcPr>
          <w:p>
            <w:pPr>
              <w:pStyle w:val="Normal"/>
              <w:rPr>
                <w:color w:val="000000"/>
                <w:lang w:eastAsia="ru-RU"/>
              </w:rPr>
            </w:pPr>
            <w:r>
              <w:rPr/>
            </w:r>
          </w:p>
        </w:tc>
        <w:tc>
          <w:tcPr>
            <w:tcW w:w="850" w:type="dxa"/>
            <w:tcBorders>
              <w:bottom w:val="single" w:sz="4" w:space="0" w:color="000000"/>
              <w:right w:val="single" w:sz="4" w:space="0" w:color="000000"/>
            </w:tcBorders>
            <w:shd w:color="auto" w:fill="auto" w:val="clear"/>
            <w:vAlign w:val="center"/>
          </w:tcPr>
          <w:p>
            <w:pPr>
              <w:pStyle w:val="Normal"/>
              <w:jc w:val="center"/>
              <w:rPr>
                <w:color w:val="000000"/>
                <w:lang w:eastAsia="ru-RU"/>
              </w:rPr>
            </w:pPr>
            <w:r>
              <w:rPr/>
            </w:r>
          </w:p>
        </w:tc>
        <w:tc>
          <w:tcPr>
            <w:tcW w:w="1277" w:type="dxa"/>
            <w:tcBorders>
              <w:bottom w:val="single" w:sz="4" w:space="0" w:color="000000"/>
              <w:right w:val="single" w:sz="4" w:space="0" w:color="000000"/>
            </w:tcBorders>
            <w:shd w:color="auto" w:fill="auto" w:val="clear"/>
            <w:vAlign w:val="center"/>
          </w:tcPr>
          <w:p>
            <w:pPr>
              <w:pStyle w:val="Normal"/>
              <w:jc w:val="center"/>
              <w:rPr>
                <w:b/>
                <w:bCs/>
                <w:color w:val="000000"/>
                <w:lang w:eastAsia="ru-RU"/>
              </w:rPr>
            </w:pPr>
            <w:r>
              <w:rPr>
                <w:b/>
                <w:bCs/>
                <w:color w:val="000000"/>
                <w:lang w:eastAsia="ru-RU"/>
              </w:rPr>
              <w:t>Всего:</w:t>
            </w:r>
          </w:p>
        </w:tc>
        <w:tc>
          <w:tcPr>
            <w:tcW w:w="1559" w:type="dxa"/>
            <w:tcBorders>
              <w:bottom w:val="single" w:sz="4" w:space="0" w:color="000000"/>
              <w:right w:val="single" w:sz="4" w:space="0" w:color="000000"/>
            </w:tcBorders>
            <w:shd w:color="auto" w:fill="auto" w:val="clear"/>
            <w:vAlign w:val="center"/>
          </w:tcPr>
          <w:p>
            <w:pPr>
              <w:pStyle w:val="Normal"/>
              <w:jc w:val="center"/>
              <w:rPr>
                <w:b/>
                <w:bCs/>
                <w:color w:val="000000"/>
                <w:lang w:eastAsia="ru-RU"/>
              </w:rPr>
            </w:pPr>
            <w:r>
              <w:rPr>
                <w:b/>
                <w:bCs/>
                <w:color w:val="000000"/>
                <w:lang w:eastAsia="ru-RU"/>
              </w:rPr>
              <w:t>15 786,80</w:t>
            </w:r>
          </w:p>
        </w:tc>
      </w:tr>
    </w:tbl>
    <w:p>
      <w:pPr>
        <w:pStyle w:val="BodyText2"/>
        <w:rPr>
          <w:rStyle w:val="FontStyle14"/>
          <w:sz w:val="22"/>
          <w:szCs w:val="22"/>
          <w:lang w:eastAsia="ru-RU"/>
        </w:rPr>
      </w:pPr>
      <w:r>
        <w:rPr>
          <w:rStyle w:val="FontStyle14"/>
          <w:sz w:val="22"/>
          <w:szCs w:val="22"/>
          <w:lang w:eastAsia="ru-RU"/>
        </w:rPr>
        <w:t>а Заказчик обязуется принять результат выполненных работ и оплатить его. Перечень представляемых СИ (наименование, тип), их метрологические характеристики, место выполнения работ Заказчик указывает в сопроводительном письме (заявке), подготовленной по форме Исполнителя.</w:t>
      </w:r>
    </w:p>
    <w:p>
      <w:pPr>
        <w:pStyle w:val="Heading1"/>
        <w:shd w:val="clear" w:color="auto" w:fill="FFFFFF"/>
        <w:tabs>
          <w:tab w:val="clear" w:pos="432"/>
        </w:tabs>
        <w:ind w:firstLine="284"/>
        <w:jc w:val="both"/>
        <w:textAlignment w:val="baseline"/>
        <w:rPr>
          <w:rStyle w:val="FontStyle14"/>
          <w:b w:val="false"/>
          <w:bCs w:val="false"/>
          <w:i w:val="false"/>
          <w:i w:val="false"/>
          <w:iCs w:val="false"/>
          <w:sz w:val="22"/>
          <w:szCs w:val="22"/>
          <w:lang w:eastAsia="ru-RU"/>
        </w:rPr>
      </w:pPr>
      <w:r>
        <w:rPr>
          <w:rStyle w:val="FontStyle14"/>
          <w:b w:val="false"/>
          <w:bCs w:val="false"/>
          <w:i w:val="false"/>
          <w:iCs w:val="false"/>
          <w:sz w:val="22"/>
          <w:szCs w:val="22"/>
          <w:lang w:eastAsia="ru-RU"/>
        </w:rPr>
        <w:t xml:space="preserve">1.2. Работы по настоящему Договору выполняются Исполнителем, в соответствии с Федеральным законом от 26.06.2008г. № 102-ФЗ «Об обеспечении единства измерений», а также иными нормативно-правовыми актами в сфере обеспечения единства измерений. </w:t>
      </w:r>
    </w:p>
    <w:p>
      <w:pPr>
        <w:pStyle w:val="Normal"/>
        <w:jc w:val="both"/>
        <w:rPr>
          <w:sz w:val="22"/>
          <w:szCs w:val="22"/>
          <w:lang w:eastAsia="ru-RU"/>
        </w:rPr>
      </w:pPr>
      <w:r>
        <w:rPr>
          <w:sz w:val="22"/>
          <w:szCs w:val="22"/>
          <w:lang w:eastAsia="ru-RU"/>
        </w:rPr>
        <w:t xml:space="preserve">     </w:t>
      </w:r>
      <w:r>
        <w:rPr>
          <w:sz w:val="22"/>
          <w:szCs w:val="22"/>
          <w:lang w:eastAsia="ru-RU"/>
        </w:rPr>
        <w:t>1.3. Проведение работ осуществляется по месту нахождения Исполнителя или, если это допустимо по технологии работ, по месту эксплуатации оборудования.</w:t>
      </w:r>
    </w:p>
    <w:p>
      <w:pPr>
        <w:pStyle w:val="Normal"/>
        <w:jc w:val="both"/>
        <w:rPr>
          <w:sz w:val="22"/>
          <w:szCs w:val="22"/>
          <w:lang w:eastAsia="ru-RU"/>
        </w:rPr>
      </w:pPr>
      <w:r>
        <w:rPr>
          <w:sz w:val="22"/>
          <w:szCs w:val="22"/>
          <w:lang w:eastAsia="ru-RU"/>
        </w:rPr>
        <w:t xml:space="preserve">     </w:t>
      </w:r>
      <w:r>
        <w:rPr>
          <w:sz w:val="22"/>
          <w:szCs w:val="22"/>
          <w:lang w:eastAsia="ru-RU"/>
        </w:rPr>
        <w:t>1.4. Результат выполненных работ по поверке СИ оформляется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Результат выполненных работ по калибровке СИ и аттестации испытательного оборудования (далее - ИО) оформляется в соответствии с требованиями нормативных документов в области метрологии.</w:t>
      </w:r>
    </w:p>
    <w:p>
      <w:pPr>
        <w:pStyle w:val="Normal"/>
        <w:rPr>
          <w:rStyle w:val="FontStyle13"/>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2. Стоимость работ и порядок расчетов</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2.1. Стоимость работ (услуг) по поверке (калибровке) СИ</w:t>
      </w:r>
      <w:r>
        <w:rPr>
          <w:bCs/>
          <w:sz w:val="22"/>
          <w:szCs w:val="22"/>
          <w:lang w:eastAsia="ru-RU"/>
        </w:rPr>
        <w:t xml:space="preserve">, </w:t>
      </w:r>
      <w:r>
        <w:rPr>
          <w:rStyle w:val="FontStyle14"/>
          <w:sz w:val="22"/>
          <w:szCs w:val="22"/>
          <w:lang w:eastAsia="ru-RU"/>
        </w:rPr>
        <w:t xml:space="preserve">аттестации ИО определяется действующими Прейскурантами цен, размещенными на официальном сайте </w:t>
      </w:r>
      <w:hyperlink r:id="rId2">
        <w:r>
          <w:rPr>
            <w:rStyle w:val="Hyperlink"/>
            <w:sz w:val="22"/>
            <w:szCs w:val="22"/>
          </w:rPr>
          <w:t>https://35.csmrst.ru</w:t>
        </w:r>
      </w:hyperlink>
      <w:r>
        <w:rPr>
          <w:rStyle w:val="FontStyle14"/>
          <w:sz w:val="22"/>
          <w:szCs w:val="22"/>
        </w:rPr>
        <w:t xml:space="preserve"> </w:t>
      </w:r>
      <w:r>
        <w:rPr>
          <w:rStyle w:val="FontStyle14"/>
          <w:sz w:val="22"/>
          <w:szCs w:val="22"/>
          <w:lang w:eastAsia="ru-RU"/>
        </w:rPr>
        <w:t xml:space="preserve"> и увеличивается на сумму налога (НДС)</w:t>
      </w:r>
      <w:r>
        <w:rPr>
          <w:sz w:val="22"/>
          <w:szCs w:val="22"/>
        </w:rPr>
        <w:t xml:space="preserve"> и составляет </w:t>
      </w:r>
      <w:r>
        <w:rPr>
          <w:b/>
          <w:sz w:val="22"/>
          <w:szCs w:val="22"/>
        </w:rPr>
        <w:t xml:space="preserve">15786,80 руб. (Пятнадцать тысяч семьсот восемьдесят шесть рублей 80 копеек). </w:t>
      </w:r>
      <w:r>
        <w:rPr>
          <w:rStyle w:val="FontStyle14"/>
          <w:sz w:val="22"/>
          <w:szCs w:val="22"/>
          <w:lang w:eastAsia="ru-RU"/>
        </w:rPr>
        <w:t>За выполнение отдельных видов работ (в том числе за выполнение срочных работ, выездных работ, работ в отношении эталонных средств измерений), Исполнителем может взиматься дополнительная плата в размерах, предусмотренных Прейскурантом или соглашением Сторон.</w:t>
      </w:r>
    </w:p>
    <w:p>
      <w:pPr>
        <w:pStyle w:val="Normal"/>
        <w:jc w:val="both"/>
        <w:rPr>
          <w:sz w:val="22"/>
          <w:szCs w:val="22"/>
          <w:lang w:eastAsia="ru-RU"/>
        </w:rPr>
      </w:pPr>
      <w:r>
        <w:rPr>
          <w:rStyle w:val="FontStyle14"/>
          <w:sz w:val="22"/>
          <w:szCs w:val="22"/>
          <w:lang w:eastAsia="ru-RU"/>
        </w:rPr>
        <w:t xml:space="preserve">    </w:t>
      </w:r>
      <w:r>
        <w:rPr>
          <w:rStyle w:val="FontStyle14"/>
          <w:sz w:val="22"/>
          <w:szCs w:val="22"/>
          <w:lang w:eastAsia="ru-RU"/>
        </w:rPr>
        <w:t>2.2.</w:t>
        <w:tab/>
        <w:t>Заказчик оплачивает стоимость услуг в течение 7 (семи) рабочих дней с момента подписания Акта приема-сдачи работ и получения счета — фактуры, а также на основании Акта приемки товаров, работ, услуг (ф. 0510452), утвержденного Приказом Минфина России от 15.04. 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 Расчеты производятся путем перечисления денежных средств на расчетный счет Исполнителя.</w:t>
      </w:r>
    </w:p>
    <w:p>
      <w:pPr>
        <w:pStyle w:val="Normal"/>
        <w:jc w:val="both"/>
        <w:rPr>
          <w:sz w:val="22"/>
          <w:szCs w:val="22"/>
        </w:rPr>
      </w:pPr>
      <w:r>
        <w:rPr>
          <w:sz w:val="22"/>
          <w:szCs w:val="22"/>
        </w:rPr>
        <w:t xml:space="preserve">    </w:t>
      </w:r>
      <w:r>
        <w:rPr>
          <w:sz w:val="22"/>
          <w:szCs w:val="22"/>
        </w:rPr>
        <w:t>2.3.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2.4. Стороны вправе осуществлять обмен первичными бухгалтерскими документами в электронном виде через систему ЭДО,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 </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2.5. При проведении калибровки СИ, аттестации ИО и поверки СИ, не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на месте эксплуатации Заказчик оплачивает использование Исполнителем транспортных средств для перевозки эталонов. Оплата транспортного обслуживания, командировочных расходов производится по фактическим затратам и включается отдельной строкой в заявление - квитанцию.</w:t>
      </w:r>
    </w:p>
    <w:p>
      <w:pPr>
        <w:pStyle w:val="Normal"/>
        <w:jc w:val="both"/>
        <w:rPr>
          <w:rStyle w:val="FontStyle14"/>
          <w:sz w:val="22"/>
          <w:szCs w:val="22"/>
          <w:lang w:eastAsia="ru-RU"/>
        </w:rPr>
      </w:pPr>
      <w:r>
        <w:rPr>
          <w:sz w:val="22"/>
          <w:szCs w:val="22"/>
          <w:lang w:eastAsia="ru-RU"/>
        </w:rPr>
      </w:r>
    </w:p>
    <w:p>
      <w:pPr>
        <w:pStyle w:val="Normal"/>
        <w:jc w:val="center"/>
        <w:rPr>
          <w:rStyle w:val="FontStyle14"/>
          <w:b/>
          <w:sz w:val="22"/>
          <w:szCs w:val="22"/>
          <w:lang w:eastAsia="ru-RU"/>
        </w:rPr>
      </w:pPr>
      <w:r>
        <w:rPr>
          <w:b/>
          <w:sz w:val="22"/>
          <w:szCs w:val="22"/>
          <w:lang w:eastAsia="ru-RU"/>
        </w:rPr>
        <w:t>3. Срок выполнения работ</w:t>
      </w:r>
    </w:p>
    <w:p>
      <w:pPr>
        <w:pStyle w:val="Normal"/>
        <w:ind w:firstLine="284"/>
        <w:jc w:val="both"/>
        <w:rPr>
          <w:rStyle w:val="FontStyle14"/>
          <w:sz w:val="22"/>
          <w:szCs w:val="22"/>
          <w:lang w:eastAsia="ru-RU"/>
        </w:rPr>
      </w:pPr>
      <w:r>
        <w:rPr>
          <w:rStyle w:val="FontStyle14"/>
          <w:sz w:val="22"/>
          <w:szCs w:val="22"/>
          <w:lang w:eastAsia="ru-RU"/>
        </w:rPr>
        <w:t>3.1. Исполнитель выполняет работы в течение 15 (пятнадцати) рабочих дней с момента принятия СИ.</w:t>
      </w:r>
    </w:p>
    <w:p>
      <w:pPr>
        <w:pStyle w:val="Normal"/>
        <w:ind w:firstLine="284"/>
        <w:jc w:val="both"/>
        <w:rPr>
          <w:rStyle w:val="FontStyle14"/>
          <w:sz w:val="22"/>
          <w:szCs w:val="22"/>
          <w:lang w:eastAsia="ru-RU"/>
        </w:rPr>
      </w:pPr>
      <w:r>
        <w:rPr>
          <w:rStyle w:val="FontStyle14"/>
          <w:sz w:val="22"/>
          <w:szCs w:val="22"/>
          <w:lang w:eastAsia="ru-RU"/>
        </w:rPr>
        <w:t xml:space="preserve">3.2. Срок выполнения работы продлевается в следующих случаях: а) если применяемыми методиками поверки (калибровки, аттестации) 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20 (двадцать) рабочих дней в) если Заказчик не получает СИ (ИО) срок выполнения работ продлевается с учетом срока их хранения. </w:t>
      </w:r>
    </w:p>
    <w:p>
      <w:pPr>
        <w:pStyle w:val="Normal"/>
        <w:ind w:firstLine="284"/>
        <w:jc w:val="both"/>
        <w:rPr>
          <w:rStyle w:val="FontStyle14"/>
          <w:sz w:val="22"/>
          <w:szCs w:val="22"/>
          <w:lang w:eastAsia="ru-RU"/>
        </w:rPr>
      </w:pPr>
      <w:r>
        <w:rPr>
          <w:rStyle w:val="FontStyle14"/>
          <w:sz w:val="22"/>
          <w:szCs w:val="22"/>
          <w:lang w:eastAsia="ru-RU"/>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 учитывая технические возможности Исполнителя.</w:t>
      </w:r>
    </w:p>
    <w:p>
      <w:pPr>
        <w:pStyle w:val="Normal"/>
        <w:ind w:firstLine="284"/>
        <w:jc w:val="both"/>
        <w:rPr>
          <w:rStyle w:val="FontStyle14"/>
          <w:sz w:val="22"/>
          <w:szCs w:val="22"/>
          <w:lang w:eastAsia="ru-RU"/>
        </w:rPr>
      </w:pPr>
      <w:r>
        <w:rPr>
          <w:rStyle w:val="FontStyle14"/>
          <w:sz w:val="22"/>
          <w:szCs w:val="22"/>
          <w:lang w:eastAsia="ru-RU"/>
        </w:rPr>
        <w:t>3.3. 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w:t>
      </w:r>
    </w:p>
    <w:p>
      <w:pPr>
        <w:pStyle w:val="Normal"/>
        <w:ind w:firstLine="284"/>
        <w:jc w:val="both"/>
        <w:rPr>
          <w:rStyle w:val="FontStyle14"/>
          <w:sz w:val="22"/>
          <w:szCs w:val="22"/>
          <w:lang w:eastAsia="ru-RU"/>
        </w:rPr>
      </w:pPr>
      <w:r>
        <w:rPr>
          <w:rStyle w:val="FontStyle14"/>
          <w:sz w:val="22"/>
          <w:szCs w:val="22"/>
          <w:lang w:eastAsia="ru-RU"/>
        </w:rPr>
        <w:t>3.4. За срочное выполнение работ согласно письменной заявке Заказчика (если это возможно по технологии поверки, калибровки, аттестации) взимается дополнительная плата согласно Прейскуранту цен.</w:t>
      </w:r>
    </w:p>
    <w:p>
      <w:pPr>
        <w:pStyle w:val="Normal"/>
        <w:ind w:firstLine="284"/>
        <w:jc w:val="both"/>
        <w:rPr>
          <w:rStyle w:val="FontStyle14"/>
          <w:sz w:val="22"/>
          <w:szCs w:val="22"/>
          <w:lang w:eastAsia="ru-RU"/>
        </w:rPr>
      </w:pPr>
      <w:r>
        <w:rPr>
          <w:rStyle w:val="FontStyle14"/>
          <w:sz w:val="22"/>
          <w:szCs w:val="22"/>
          <w:lang w:eastAsia="ru-RU"/>
        </w:rPr>
        <w:t>3.5. Течение сроков настоящего Договора исчисляется, в соответствии со ст. 191 ГК РФ со дня, следующего за днем передачи (предъявления) СИ Исполнителю.</w:t>
      </w:r>
    </w:p>
    <w:p>
      <w:pPr>
        <w:pStyle w:val="Normal"/>
        <w:jc w:val="center"/>
        <w:rPr>
          <w:rStyle w:val="FontStyle13"/>
          <w:sz w:val="22"/>
          <w:szCs w:val="22"/>
          <w:lang w:eastAsia="ru-RU"/>
        </w:rPr>
      </w:pPr>
      <w:r>
        <w:rPr>
          <w:rStyle w:val="FontStyle13"/>
          <w:sz w:val="22"/>
          <w:szCs w:val="22"/>
          <w:lang w:eastAsia="ru-RU"/>
        </w:rPr>
        <w:t>4. Обязанности сторон</w:t>
      </w:r>
    </w:p>
    <w:p>
      <w:pPr>
        <w:pStyle w:val="Normal"/>
        <w:suppressAutoHyphens w:val="false"/>
        <w:ind w:firstLine="284"/>
        <w:jc w:val="both"/>
        <w:rPr>
          <w:sz w:val="22"/>
          <w:szCs w:val="22"/>
          <w:lang w:eastAsia="ru-RU"/>
        </w:rPr>
      </w:pPr>
      <w:r>
        <w:rPr>
          <w:sz w:val="22"/>
          <w:szCs w:val="22"/>
          <w:lang w:eastAsia="ru-RU"/>
        </w:rPr>
        <w:t>4.1. Исполнитель обязан:</w:t>
      </w:r>
    </w:p>
    <w:p>
      <w:pPr>
        <w:pStyle w:val="Normal"/>
        <w:suppressAutoHyphens w:val="false"/>
        <w:ind w:firstLine="284"/>
        <w:jc w:val="both"/>
        <w:rPr>
          <w:sz w:val="22"/>
          <w:szCs w:val="22"/>
          <w:lang w:eastAsia="ru-RU"/>
        </w:rPr>
      </w:pPr>
      <w:r>
        <w:rPr>
          <w:sz w:val="22"/>
          <w:szCs w:val="22"/>
          <w:lang w:eastAsia="ru-RU"/>
        </w:rPr>
        <w:t>4.1.1. В установленные Договором сроки выполнить работы в соответствии с нормативными актами в области метрологии и утвержденными методиками.</w:t>
      </w:r>
    </w:p>
    <w:p>
      <w:pPr>
        <w:pStyle w:val="Normal"/>
        <w:suppressAutoHyphens w:val="false"/>
        <w:ind w:firstLine="284"/>
        <w:jc w:val="both"/>
        <w:rPr>
          <w:sz w:val="22"/>
          <w:szCs w:val="22"/>
          <w:lang w:eastAsia="ru-RU"/>
        </w:rPr>
      </w:pPr>
      <w:r>
        <w:rPr>
          <w:sz w:val="22"/>
          <w:szCs w:val="22"/>
          <w:lang w:eastAsia="ru-RU"/>
        </w:rPr>
        <w:t>4.1.2. По завершении выполнения работ по настоящему Договору передать Заказчику: поверенные СИ, счета-фактуры и Акты приема-сдачи работ (оказания услуг).</w:t>
      </w:r>
    </w:p>
    <w:p>
      <w:pPr>
        <w:pStyle w:val="Normal"/>
        <w:suppressAutoHyphens w:val="false"/>
        <w:ind w:firstLine="284"/>
        <w:jc w:val="both"/>
        <w:rPr>
          <w:sz w:val="22"/>
          <w:szCs w:val="22"/>
          <w:lang w:eastAsia="ru-RU"/>
        </w:rPr>
      </w:pPr>
      <w:r>
        <w:rPr>
          <w:sz w:val="22"/>
          <w:szCs w:val="22"/>
          <w:lang w:eastAsia="ru-RU"/>
        </w:rPr>
        <w:t>4.1.3. Обеспечить сохранность переданных СИ в течение срока выполнения работ и одного месяца после их окончания. Исполнитель безвозмездно хранит СИ в течение одного месяца с момента окончания работ, а по истечению данного срока к отношениям Сторон применяются положения статей 886-906 ГК РФ.</w:t>
      </w:r>
    </w:p>
    <w:p>
      <w:pPr>
        <w:pStyle w:val="Normal"/>
        <w:suppressAutoHyphens w:val="false"/>
        <w:ind w:firstLine="284"/>
        <w:jc w:val="both"/>
        <w:rPr>
          <w:sz w:val="22"/>
          <w:szCs w:val="22"/>
          <w:lang w:eastAsia="ru-RU"/>
        </w:rPr>
      </w:pPr>
      <w:r>
        <w:rPr>
          <w:sz w:val="22"/>
          <w:szCs w:val="22"/>
          <w:lang w:eastAsia="ru-RU"/>
        </w:rPr>
        <w:t xml:space="preserve">4.1.4. В течение </w:t>
      </w:r>
      <w:r>
        <w:rPr>
          <w:rFonts w:eastAsia="Calibri"/>
          <w:sz w:val="22"/>
          <w:szCs w:val="22"/>
          <w:lang w:eastAsia="en-US"/>
        </w:rPr>
        <w:t xml:space="preserve">20 (двадцати) рабочих дней (для средств измерений, применяемых в качестве эталонов единиц величин) и 40 (сорока) рабочих дней (для остальных средств измерений) </w:t>
      </w:r>
      <w:r>
        <w:rPr>
          <w:sz w:val="22"/>
          <w:szCs w:val="22"/>
          <w:lang w:eastAsia="ru-RU"/>
        </w:rPr>
        <w:t xml:space="preserve">дней с даты проведения поверки СИ передать сведения о результатах поверки СИ в Федеральный информационный фонд по обеспечению единства измерений. </w:t>
      </w:r>
    </w:p>
    <w:p>
      <w:pPr>
        <w:pStyle w:val="Normal"/>
        <w:suppressAutoHyphens w:val="false"/>
        <w:ind w:firstLine="284"/>
        <w:jc w:val="both"/>
        <w:rPr>
          <w:sz w:val="22"/>
          <w:szCs w:val="22"/>
          <w:lang w:eastAsia="ru-RU"/>
        </w:rPr>
      </w:pPr>
      <w:r>
        <w:rPr>
          <w:sz w:val="22"/>
          <w:szCs w:val="22"/>
          <w:lang w:eastAsia="ru-RU"/>
        </w:rPr>
        <w:t>4.1.5.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w:t>
      </w:r>
    </w:p>
    <w:p>
      <w:pPr>
        <w:pStyle w:val="Normal"/>
        <w:suppressAutoHyphens w:val="false"/>
        <w:ind w:firstLine="284"/>
        <w:jc w:val="both"/>
        <w:rPr>
          <w:sz w:val="22"/>
          <w:szCs w:val="22"/>
          <w:lang w:eastAsia="ru-RU"/>
        </w:rPr>
      </w:pPr>
      <w:r>
        <w:rPr>
          <w:sz w:val="22"/>
          <w:szCs w:val="22"/>
          <w:lang w:eastAsia="ru-RU"/>
        </w:rPr>
        <w:t>4.2. Исполнитель имеет право:</w:t>
      </w:r>
    </w:p>
    <w:p>
      <w:pPr>
        <w:pStyle w:val="Normal"/>
        <w:suppressAutoHyphens w:val="false"/>
        <w:ind w:firstLine="284"/>
        <w:jc w:val="both"/>
        <w:rPr>
          <w:sz w:val="22"/>
          <w:szCs w:val="22"/>
          <w:lang w:eastAsia="ru-RU"/>
        </w:rPr>
      </w:pPr>
      <w:r>
        <w:rPr>
          <w:sz w:val="22"/>
          <w:szCs w:val="22"/>
          <w:lang w:eastAsia="ru-RU"/>
        </w:rPr>
        <w:t>4.2.1. В случае неоплаты (неполной оплаты) Заказчиком выполненных работ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и свидетельств о поверке (извещения о непригодности) (в случае если применимо) или иные документы, предусмотренные нормативной документацией, до полной оплаты работ.</w:t>
      </w:r>
    </w:p>
    <w:p>
      <w:pPr>
        <w:pStyle w:val="Normal"/>
        <w:suppressAutoHyphens w:val="false"/>
        <w:ind w:firstLine="284"/>
        <w:jc w:val="both"/>
        <w:rPr>
          <w:color w:val="000000"/>
          <w:sz w:val="22"/>
          <w:szCs w:val="22"/>
          <w:lang w:eastAsia="ru-RU"/>
        </w:rPr>
      </w:pPr>
      <w:r>
        <w:rPr>
          <w:color w:val="000000"/>
          <w:sz w:val="22"/>
          <w:szCs w:val="22"/>
          <w:lang w:eastAsia="ru-RU"/>
        </w:rPr>
        <w:t>4.2.2. Требовать от Заказчика обеспечения необходимых для оказания услуг по договору условий, согласно п.4.3.6 Договора, а также приостановить оказание услуг до момента предоставления Заказчиком необходимых для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оказания услуг по договору. В случае отказа Заказчика от обеспечения необходимых для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pPr>
        <w:pStyle w:val="Normal"/>
        <w:suppressAutoHyphens w:val="false"/>
        <w:ind w:firstLine="284"/>
        <w:jc w:val="both"/>
        <w:rPr>
          <w:sz w:val="22"/>
          <w:szCs w:val="22"/>
          <w:lang w:eastAsia="ru-RU"/>
        </w:rPr>
      </w:pPr>
      <w:r>
        <w:rPr>
          <w:color w:val="000000"/>
          <w:sz w:val="22"/>
          <w:szCs w:val="22"/>
          <w:lang w:eastAsia="ru-RU"/>
        </w:rPr>
        <w:t xml:space="preserve">4.2.3. </w:t>
      </w:r>
      <w:r>
        <w:rPr>
          <w:sz w:val="22"/>
          <w:szCs w:val="22"/>
          <w:lang w:eastAsia="ru-RU"/>
        </w:rPr>
        <w:t>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pPr>
        <w:pStyle w:val="Normal"/>
        <w:suppressAutoHyphens w:val="false"/>
        <w:ind w:firstLine="284"/>
        <w:jc w:val="both"/>
        <w:rPr>
          <w:sz w:val="22"/>
          <w:szCs w:val="22"/>
          <w:lang w:eastAsia="ru-RU"/>
        </w:rPr>
      </w:pPr>
      <w:r>
        <w:rPr>
          <w:sz w:val="22"/>
          <w:szCs w:val="22"/>
          <w:lang w:eastAsia="ru-RU"/>
        </w:rPr>
        <w:t>4.3. Заказчик обязан:</w:t>
      </w:r>
    </w:p>
    <w:p>
      <w:pPr>
        <w:pStyle w:val="Normal"/>
        <w:suppressAutoHyphens w:val="false"/>
        <w:ind w:firstLine="284"/>
        <w:jc w:val="both"/>
        <w:rPr>
          <w:sz w:val="22"/>
          <w:szCs w:val="22"/>
          <w:lang w:eastAsia="ru-RU"/>
        </w:rPr>
      </w:pPr>
      <w:r>
        <w:rPr>
          <w:sz w:val="22"/>
          <w:szCs w:val="22"/>
          <w:lang w:eastAsia="ru-RU"/>
        </w:rPr>
        <w:t>4.3.1. Представить Исполнителю СИ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 и согласуется с Исполнителем.</w:t>
      </w:r>
      <w:r>
        <w:rPr>
          <w:sz w:val="22"/>
          <w:szCs w:val="22"/>
        </w:rPr>
        <w:t xml:space="preserve"> </w:t>
      </w:r>
      <w:r>
        <w:rPr>
          <w:sz w:val="22"/>
          <w:szCs w:val="22"/>
          <w:lang w:eastAsia="ru-RU"/>
        </w:rPr>
        <w:t>При представлении на поверку СИ, применяемых в качестве эталонов, в заявке необходимо указать год выпуска, наименование и обозначение стандарта (документа) на государственную (локальную) поверочную схему, разряд (уровень) в соответствии с характеристиками, указанными в государственной (локальной) поверочной схеме.</w:t>
      </w:r>
    </w:p>
    <w:p>
      <w:pPr>
        <w:pStyle w:val="Normal"/>
        <w:suppressAutoHyphens w:val="false"/>
        <w:ind w:firstLine="284"/>
        <w:jc w:val="both"/>
        <w:rPr>
          <w:sz w:val="22"/>
          <w:szCs w:val="22"/>
          <w:lang w:eastAsia="ru-RU"/>
        </w:rPr>
      </w:pPr>
      <w:r>
        <w:rPr>
          <w:sz w:val="22"/>
          <w:szCs w:val="22"/>
          <w:lang w:eastAsia="ru-RU"/>
        </w:rPr>
        <w:t>СИ, эксплуатируемые в (на) агрессивных (специальных) средах, должны представляться на поверку обеззараженными, обезжиренными, нейтрализованными, дезактивированными.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обезжириванию, обеззараживанию, нейтрализации, дезактивации.</w:t>
      </w:r>
    </w:p>
    <w:p>
      <w:pPr>
        <w:pStyle w:val="Normal"/>
        <w:suppressAutoHyphens w:val="false"/>
        <w:ind w:firstLine="284"/>
        <w:jc w:val="both"/>
        <w:rPr>
          <w:sz w:val="22"/>
          <w:szCs w:val="22"/>
          <w:lang w:eastAsia="ru-RU"/>
        </w:rPr>
      </w:pPr>
      <w:r>
        <w:rPr>
          <w:sz w:val="22"/>
          <w:szCs w:val="22"/>
          <w:lang w:eastAsia="ru-RU"/>
        </w:rPr>
        <w:t xml:space="preserve">4.3.2 Представить СИ (ИО) для проведения работ в соответствии с п.1.1 не позднее 15 рабочих дней до окончания срока действия настоящего договора. </w:t>
      </w:r>
    </w:p>
    <w:p>
      <w:pPr>
        <w:pStyle w:val="Normal"/>
        <w:suppressAutoHyphens w:val="false"/>
        <w:ind w:firstLine="284"/>
        <w:jc w:val="both"/>
        <w:rPr>
          <w:sz w:val="22"/>
          <w:szCs w:val="22"/>
          <w:lang w:eastAsia="ru-RU"/>
        </w:rPr>
      </w:pPr>
      <w:r>
        <w:rPr>
          <w:sz w:val="22"/>
          <w:szCs w:val="22"/>
          <w:lang w:eastAsia="ru-RU"/>
        </w:rPr>
        <w:t>4.3.3.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pPr>
        <w:pStyle w:val="Normal"/>
        <w:suppressAutoHyphens w:val="false"/>
        <w:ind w:firstLine="284"/>
        <w:jc w:val="both"/>
        <w:rPr>
          <w:sz w:val="22"/>
          <w:szCs w:val="22"/>
          <w:lang w:eastAsia="ru-RU"/>
        </w:rPr>
      </w:pPr>
      <w:r>
        <w:rPr>
          <w:sz w:val="22"/>
          <w:szCs w:val="22"/>
          <w:lang w:eastAsia="ru-RU"/>
        </w:rPr>
        <w:t>4.3.4. Получить СИ и (или) ИО, акты, счета-фактуры. При получении СИ и (или) ИО представить заявление-квитанцию и надлежаще оформленную доверенность на представителя Заказчика на получение СИ после проведения работ и на право подписи актов приема-сдачи работ (оказания услуг), проверить состояние оборудования и документацию на них, их комплектность.</w:t>
      </w:r>
      <w:r>
        <w:rPr>
          <w:sz w:val="22"/>
          <w:szCs w:val="22"/>
        </w:rPr>
        <w:t xml:space="preserve"> </w:t>
      </w:r>
      <w:r>
        <w:rPr>
          <w:sz w:val="22"/>
          <w:szCs w:val="22"/>
          <w:lang w:eastAsia="ru-RU"/>
        </w:rPr>
        <w:t>Все претензии по состоянию и комплектности СИ принимаются Исполнителем при получении. После вывоза СИ и (или) ИО претензии Исполнителем не принимаются.</w:t>
      </w:r>
    </w:p>
    <w:p>
      <w:pPr>
        <w:pStyle w:val="Normal"/>
        <w:suppressAutoHyphens w:val="false"/>
        <w:ind w:firstLine="284"/>
        <w:jc w:val="both"/>
        <w:rPr>
          <w:sz w:val="22"/>
          <w:szCs w:val="22"/>
          <w:lang w:eastAsia="ru-RU"/>
        </w:rPr>
      </w:pPr>
      <w:r>
        <w:rPr>
          <w:sz w:val="22"/>
          <w:szCs w:val="22"/>
          <w:lang w:eastAsia="ru-RU"/>
        </w:rPr>
        <w:t xml:space="preserve">4.3.5. В течение 5 (пяти) рабочих дней с момента получения подписать и вернуть один экземпляр Актов Исполнителю, либо представить мотивированный отказ от их подписания. Если Заказчик не предоставляет в установленный срок Исполнителю подписанные Акты, то работы считаются принятыми за подписью Исполнителя и претензии к Исполнителю отсутствуют. </w:t>
      </w:r>
    </w:p>
    <w:p>
      <w:pPr>
        <w:pStyle w:val="Normal"/>
        <w:widowControl w:val="false"/>
        <w:suppressAutoHyphens w:val="false"/>
        <w:ind w:firstLine="284"/>
        <w:jc w:val="both"/>
        <w:rPr>
          <w:sz w:val="22"/>
          <w:szCs w:val="22"/>
          <w:lang w:eastAsia="ru-RU"/>
        </w:rPr>
      </w:pPr>
      <w:r>
        <w:rPr>
          <w:sz w:val="22"/>
          <w:szCs w:val="22"/>
          <w:lang w:eastAsia="ru-RU"/>
        </w:rPr>
        <w:t>4.3.6. При выполнении работ по месту нахождения Заказчика обеспечить допуск к месту выполнения работ и СИ (ИО), выделить рабочие места или помещения, приспособленные для выполнения работ в соответствии с требованиями методик, в том числе, но не ограничиваясь, температуре окружающего воздуха, влажности, давлению, напряжению электрической сети, магнитному полю, вентиляции, аспирации и т.д.,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pPr>
        <w:pStyle w:val="Normal"/>
        <w:widowControl w:val="false"/>
        <w:suppressAutoHyphens w:val="false"/>
        <w:ind w:firstLine="284"/>
        <w:jc w:val="both"/>
        <w:rPr>
          <w:sz w:val="22"/>
          <w:szCs w:val="22"/>
          <w:lang w:eastAsia="ru-RU"/>
        </w:rPr>
      </w:pPr>
      <w:r>
        <w:rPr>
          <w:sz w:val="22"/>
          <w:szCs w:val="22"/>
          <w:lang w:eastAsia="ru-RU"/>
        </w:rPr>
        <w:t>4.3.7. Письменно известить Исполнителя о необходимости нанесения на средство измерений знака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извещения о непригодности к применению СИ.</w:t>
      </w:r>
    </w:p>
    <w:p>
      <w:pPr>
        <w:pStyle w:val="Normal"/>
        <w:widowControl w:val="false"/>
        <w:suppressAutoHyphens w:val="false"/>
        <w:ind w:firstLine="284"/>
        <w:jc w:val="both"/>
        <w:rPr>
          <w:sz w:val="22"/>
          <w:szCs w:val="22"/>
          <w:lang w:eastAsia="ru-RU"/>
        </w:rPr>
      </w:pPr>
      <w:r>
        <w:rPr>
          <w:sz w:val="22"/>
          <w:szCs w:val="22"/>
          <w:lang w:eastAsia="ru-RU"/>
        </w:rPr>
        <w:t>4.4. Заказчик имеет право:</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4.4.1. Знакомиться с действующим Прейскурантом цен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на официальном сайте </w:t>
      </w:r>
      <w:hyperlink r:id="rId3">
        <w:r>
          <w:rPr>
            <w:rStyle w:val="Hyperlink"/>
            <w:sz w:val="22"/>
            <w:szCs w:val="22"/>
            <w:lang w:eastAsia="ru-RU"/>
          </w:rPr>
          <w:t>https://35.csmrst.ru</w:t>
        </w:r>
      </w:hyperlink>
      <w:r>
        <w:rPr>
          <w:sz w:val="22"/>
          <w:szCs w:val="22"/>
          <w:lang w:eastAsia="ru-RU"/>
        </w:rPr>
        <w:t>.</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4.5. В течение срока действия договора тарифы Исполнителя могут изменяться в зависимости от факторов, влияющих на увеличение затрат, о чем Исполнитель уведомляет Заказчика путем размещения информации об изменении тарифов на официальном сайте </w:t>
      </w:r>
      <w:hyperlink r:id="rId4">
        <w:r>
          <w:rPr>
            <w:rStyle w:val="Hyperlink"/>
            <w:sz w:val="22"/>
            <w:szCs w:val="22"/>
            <w:lang w:eastAsia="ru-RU"/>
          </w:rPr>
          <w:t>https://35.csmrst.ru</w:t>
        </w:r>
      </w:hyperlink>
      <w:r>
        <w:rPr>
          <w:sz w:val="22"/>
          <w:szCs w:val="22"/>
          <w:lang w:eastAsia="ru-RU"/>
        </w:rPr>
        <w:t xml:space="preserve"> не менее чем за 10 дней до даты введения в действие новых тарифов. С момента размещения Исполнителем на сайте информации об изменении тарифов обязанность Исполнителя по уведомлению Заказчика считается исполненной.</w:t>
      </w:r>
    </w:p>
    <w:p>
      <w:pPr>
        <w:pStyle w:val="Normal"/>
        <w:jc w:val="center"/>
        <w:rPr>
          <w:rStyle w:val="FontStyle13"/>
          <w:sz w:val="22"/>
          <w:szCs w:val="22"/>
          <w:lang w:eastAsia="ru-RU"/>
        </w:rPr>
      </w:pPr>
      <w:r>
        <w:rPr>
          <w:rStyle w:val="FontStyle13"/>
          <w:sz w:val="22"/>
          <w:szCs w:val="22"/>
          <w:lang w:eastAsia="ru-RU"/>
        </w:rPr>
        <w:t>5. Охрана труда при выполнении работ</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5.1 Заказчик и Исполнитель согласовали следующий перечень мероприятий по предотвращению случаев повреждения здоровья работников при осуществлении работ на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назначение до начала выполнения работ лиц, отвечающих за безопасную организацию работ в соответствии с требованиями норм и правил по охране труда;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проведение представителем Заказчика инструктирования работников Исполнителя по охране труда, учитывающего специфику организации и проведения работ на территории Заказчика. При необходимости, обеспечение работников Исполнителя документацией по охране труда (в том числе в электронном виде);</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 согласование схем подключения потребителей работников Исполнителя к энергоносителям на территории Заказчика (электроэнергия, кислород, газ, вода, пар, сжатый воздух, связь и др.); </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 определение границ опасных зон, рабочих мест и мест установки защитных ограждений и знаков безопасности на время выполнения работ на территории Заказчика; </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принятие мер со стороны Заказчика по снижению уровня воздействия влияния вредных производственных факторов на работников Исполнителя;</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обеспечение естественного и искусственного освещения на территории осуществления работ и местах прохода по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уборка территории осуществления работ, своевременное удаление и обезвреживания отходов производства, являющихся источниками опасных и вредных производственных факторов, очистка воздуховодов и вентиляционных установок, осветительной арматуры, окон, фрамуг, световых фонарей;</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информирование работников Исполнителя о местах расположения аптечек для оказания первой помощи, а также о наличии имеющихся на территории Заказчика здравпунктов;</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проведение мониторинга соблюдения требований охраны труда.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 Обязанности сторон по обеспечению выполнения требований охраны труда при работе на оборудовании и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5.2.1 Для выполнения работ Исполнитель обязуется:</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привлечь только квалифицированных и обученных по охране труда работников;</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обеспечить работников спецодеждой, специальной обувью, защитными касками, монтажными поясами и другими средствами индивидуальной и коллективной защиты;</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проводить для работников противопожарный инструктаж.</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5.2.3 Заказчик обязан:</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проинформировать Исполнителя об опасностях на объекте и мерах по их предупреждению;</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провести вводный инструктаж перед началом работы, инструктаж по охране труда на данном объекте для конкретных работ;</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проводить контроль за выполнением требований охраны труда Исполнителем.</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5.2.4 В случае нарушения Исполнителем требований настоящего раздела Заказчик оставляет за собой право:</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приостановить работу Исполнителя до полного устранения нарушений;</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расторгнуть договор в одностороннем порядке в соответствии с условиями договора в случае неоднократных нарушений нормативных требований охраны труда при производстве работ.</w:t>
      </w:r>
    </w:p>
    <w:p>
      <w:pPr>
        <w:pStyle w:val="Normal"/>
        <w:jc w:val="center"/>
        <w:rPr>
          <w:rStyle w:val="FontStyle13"/>
          <w:sz w:val="22"/>
          <w:szCs w:val="22"/>
          <w:lang w:eastAsia="ru-RU"/>
        </w:rPr>
      </w:pPr>
      <w:r>
        <w:rPr>
          <w:rStyle w:val="FontStyle13"/>
          <w:sz w:val="22"/>
          <w:szCs w:val="22"/>
          <w:lang w:eastAsia="ru-RU"/>
        </w:rPr>
        <w:t>6. Ответственность сторон</w:t>
      </w:r>
    </w:p>
    <w:p>
      <w:pPr>
        <w:pStyle w:val="BodyText2"/>
        <w:ind w:firstLine="284"/>
        <w:rPr>
          <w:rStyle w:val="FontStyle14"/>
          <w:sz w:val="22"/>
          <w:szCs w:val="22"/>
          <w:lang w:eastAsia="ru-RU"/>
        </w:rPr>
      </w:pPr>
      <w:r>
        <w:rPr>
          <w:rStyle w:val="FontStyle14"/>
          <w:sz w:val="22"/>
          <w:szCs w:val="22"/>
          <w:lang w:eastAsia="ru-RU"/>
        </w:rPr>
        <w:t>6.1. За невыполнение или ненадлежащее выполнение обязательств Исполнитель и Заказчик несут ответственность в соответствии с действующим законодательством РФ.</w:t>
      </w:r>
    </w:p>
    <w:p>
      <w:pPr>
        <w:pStyle w:val="BodyText2"/>
        <w:ind w:firstLine="284"/>
        <w:rPr>
          <w:rStyle w:val="FontStyle14"/>
          <w:sz w:val="22"/>
          <w:szCs w:val="22"/>
          <w:lang w:eastAsia="ru-RU"/>
        </w:rPr>
      </w:pPr>
      <w:r>
        <w:rPr/>
      </w:r>
    </w:p>
    <w:p>
      <w:pPr>
        <w:pStyle w:val="BodyText2"/>
        <w:ind w:firstLine="284"/>
        <w:jc w:val="center"/>
        <w:rPr>
          <w:rStyle w:val="FontStyle14"/>
          <w:b/>
          <w:sz w:val="22"/>
          <w:szCs w:val="22"/>
          <w:lang w:eastAsia="ru-RU"/>
        </w:rPr>
      </w:pPr>
      <w:r>
        <w:rPr>
          <w:rStyle w:val="FontStyle14"/>
          <w:b/>
          <w:sz w:val="22"/>
          <w:szCs w:val="22"/>
          <w:lang w:eastAsia="ru-RU"/>
        </w:rPr>
        <w:t>7. Порядок разрешения споров по договору</w:t>
      </w:r>
    </w:p>
    <w:p>
      <w:pPr>
        <w:pStyle w:val="BodyText2"/>
        <w:ind w:firstLine="284"/>
        <w:rPr>
          <w:rStyle w:val="FontStyle14"/>
          <w:sz w:val="22"/>
          <w:szCs w:val="22"/>
          <w:lang w:eastAsia="ru-RU"/>
        </w:rPr>
      </w:pPr>
      <w:r>
        <w:rPr>
          <w:rStyle w:val="FontStyle14"/>
          <w:sz w:val="22"/>
          <w:szCs w:val="22"/>
          <w:lang w:eastAsia="ru-RU"/>
        </w:rPr>
        <w:t>7.1. Все споры и разногласия, возникающие между сторонами по настоящему договору, решаются путем переговоров. При этом претензионный порядок урегулирования спора является обязательным. Срок ответа на претензию – 20 дней с момента получения.</w:t>
      </w:r>
    </w:p>
    <w:p>
      <w:pPr>
        <w:pStyle w:val="Normal"/>
        <w:ind w:firstLine="284"/>
        <w:jc w:val="both"/>
        <w:rPr>
          <w:rStyle w:val="FontStyle14"/>
          <w:sz w:val="22"/>
          <w:szCs w:val="22"/>
          <w:lang w:eastAsia="ru-RU"/>
        </w:rPr>
      </w:pPr>
      <w:r>
        <w:rPr>
          <w:rStyle w:val="FontStyle14"/>
          <w:sz w:val="22"/>
          <w:szCs w:val="22"/>
          <w:lang w:eastAsia="ru-RU"/>
        </w:rPr>
        <w:t>7.2. Все неурегулированные споры по данному Договору будут представлены на рассмотрение арбитражного суда Вологодской области.</w:t>
      </w:r>
    </w:p>
    <w:p>
      <w:pPr>
        <w:pStyle w:val="Normal"/>
        <w:ind w:firstLine="284"/>
        <w:jc w:val="both"/>
        <w:rPr>
          <w:rStyle w:val="FontStyle14"/>
          <w:sz w:val="22"/>
          <w:szCs w:val="22"/>
          <w:lang w:eastAsia="ru-RU"/>
        </w:rPr>
      </w:pPr>
      <w:r>
        <w:rPr/>
      </w:r>
    </w:p>
    <w:p>
      <w:pPr>
        <w:pStyle w:val="Style51"/>
        <w:widowControl/>
        <w:tabs>
          <w:tab w:val="clear" w:pos="708"/>
          <w:tab w:val="left" w:pos="1483" w:leader="underscore"/>
        </w:tabs>
        <w:spacing w:lineRule="auto" w:line="240"/>
        <w:ind w:right="50"/>
        <w:rPr>
          <w:rStyle w:val="FontStyle13"/>
          <w:sz w:val="22"/>
          <w:szCs w:val="22"/>
        </w:rPr>
      </w:pPr>
      <w:r>
        <w:rPr>
          <w:rStyle w:val="FontStyle13"/>
          <w:sz w:val="22"/>
          <w:szCs w:val="22"/>
        </w:rPr>
        <w:t>8. Антикоррупционная оговорка</w:t>
      </w:r>
    </w:p>
    <w:p>
      <w:pPr>
        <w:pStyle w:val="Normal"/>
        <w:jc w:val="both"/>
        <w:rPr>
          <w:sz w:val="22"/>
          <w:szCs w:val="22"/>
        </w:rPr>
      </w:pPr>
      <w:r>
        <w:rPr>
          <w:sz w:val="22"/>
          <w:szCs w:val="22"/>
        </w:rPr>
        <w:t xml:space="preserve">     </w:t>
      </w:r>
      <w:r>
        <w:rPr>
          <w:sz w:val="22"/>
          <w:szCs w:val="22"/>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jc w:val="both"/>
        <w:rPr>
          <w:sz w:val="22"/>
          <w:szCs w:val="22"/>
        </w:rPr>
      </w:pPr>
      <w:bookmarkStart w:id="2" w:name="Par4"/>
      <w:bookmarkEnd w:id="2"/>
      <w:r>
        <w:rPr>
          <w:sz w:val="22"/>
          <w:szCs w:val="22"/>
        </w:rPr>
        <w:t xml:space="preserve">     </w:t>
      </w:r>
      <w:r>
        <w:rPr>
          <w:sz w:val="22"/>
          <w:szCs w:val="22"/>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jc w:val="both"/>
        <w:rPr>
          <w:sz w:val="22"/>
          <w:szCs w:val="22"/>
        </w:rPr>
      </w:pPr>
      <w:bookmarkStart w:id="3" w:name="Par5"/>
      <w:bookmarkEnd w:id="3"/>
      <w:r>
        <w:rPr>
          <w:sz w:val="22"/>
          <w:szCs w:val="22"/>
        </w:rPr>
        <w:t xml:space="preserve">     </w:t>
      </w:r>
      <w:r>
        <w:rPr>
          <w:sz w:val="22"/>
          <w:szCs w:val="22"/>
        </w:rPr>
        <w:t xml:space="preserve">8.3. В случае возникновения у стороны подозрений, что произошло или может произойти нарушение каких-либо положений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другой стороной, ее аффилированными лицами, работниками или посредниками.</w:t>
      </w:r>
    </w:p>
    <w:p>
      <w:pPr>
        <w:pStyle w:val="Normal"/>
        <w:jc w:val="both"/>
        <w:rPr>
          <w:sz w:val="22"/>
          <w:szCs w:val="22"/>
        </w:rPr>
      </w:pPr>
      <w:r>
        <w:rPr>
          <w:sz w:val="22"/>
          <w:szCs w:val="22"/>
        </w:rPr>
        <w:t xml:space="preserve">     </w:t>
      </w:r>
      <w:r>
        <w:rPr>
          <w:sz w:val="22"/>
          <w:szCs w:val="22"/>
        </w:rPr>
        <w:t xml:space="preserve">8.4. Сторона, получившая уведомление о нарушении каких-либо положений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"Par4"</w:instrText>
      </w:r>
      <w:r>
        <w:rPr>
          <w:sz w:val="22"/>
          <w:szCs w:val="22"/>
        </w:rPr>
        <w:fldChar w:fldCharType="separate"/>
      </w:r>
      <w:r>
        <w:rPr>
          <w:sz w:val="22"/>
          <w:szCs w:val="22"/>
        </w:rPr>
        <w:t>8</w:t>
      </w:r>
      <w:r>
        <w:rPr>
          <w:sz w:val="22"/>
          <w:szCs w:val="22"/>
        </w:rPr>
        <w:fldChar w:fldCharType="end"/>
      </w:r>
      <w:r>
        <w:rPr>
          <w:sz w:val="22"/>
          <w:szCs w:val="22"/>
        </w:rPr>
        <w:t>.2 настоящего Договора, обязана рассмотреть уведомление и сообщить другой стороне об итогах его рассмотрения в течение 3 (трех) рабочих дней с даты получения письменного уведомления.</w:t>
      </w:r>
    </w:p>
    <w:p>
      <w:pPr>
        <w:pStyle w:val="Normal"/>
        <w:jc w:val="both"/>
        <w:rPr>
          <w:sz w:val="22"/>
          <w:szCs w:val="22"/>
        </w:rPr>
      </w:pPr>
      <w:r>
        <w:rPr>
          <w:sz w:val="22"/>
          <w:szCs w:val="22"/>
        </w:rPr>
        <w:t xml:space="preserve">     </w:t>
      </w:r>
      <w:r>
        <w:rPr>
          <w:sz w:val="22"/>
          <w:szCs w:val="22"/>
        </w:rPr>
        <w:t xml:space="preserve">8.5. Стороны гарантируют осуществление надлежащего разбирательства по фактам нарушения положений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jc w:val="both"/>
        <w:rPr>
          <w:sz w:val="22"/>
          <w:szCs w:val="22"/>
        </w:rPr>
      </w:pPr>
      <w:r>
        <w:rPr>
          <w:sz w:val="22"/>
          <w:szCs w:val="22"/>
        </w:rPr>
        <w:t xml:space="preserve">8.6. В случае подтверждения факта нарушения одной стороной положений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r>
        <w:fldChar w:fldCharType="begin"/>
      </w:r>
      <w:r>
        <w:rPr>
          <w:sz w:val="22"/>
          <w:szCs w:val="22"/>
        </w:rPr>
        <w:instrText xml:space="preserve"> HYPERLINK "file:///C:/Users/bolschakova_tn/AppData/Local/Microsoft/Windows/Temporary%20Internet%20Files/Content.Outlook/savl/AppData/Local/Temp/%D0%B4%D0%BE%D0%B3%D0%BE%D0%B2%D0%BE%D1%80-%D1%82%D0%B8%D0%BF%D0%BE%D0%B2%D0%BE%D0%B9-2021.docx" \l "Par5"</w:instrText>
      </w:r>
      <w:r>
        <w:rPr>
          <w:sz w:val="22"/>
          <w:szCs w:val="22"/>
        </w:rPr>
        <w:fldChar w:fldCharType="separate"/>
      </w:r>
      <w:r>
        <w:rPr>
          <w:sz w:val="22"/>
          <w:szCs w:val="22"/>
        </w:rPr>
        <w:t>п. 8.3</w:t>
      </w:r>
      <w:r>
        <w:rPr>
          <w:sz w:val="22"/>
          <w:szCs w:val="22"/>
        </w:rPr>
        <w:fldChar w:fldCharType="end"/>
      </w:r>
      <w:r>
        <w:rPr>
          <w:sz w:val="22"/>
          <w:szCs w:val="22"/>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pPr>
        <w:pStyle w:val="Normal"/>
        <w:jc w:val="both"/>
        <w:rPr>
          <w:sz w:val="22"/>
          <w:szCs w:val="22"/>
        </w:rPr>
      </w:pPr>
      <w:r>
        <w:rPr/>
      </w:r>
    </w:p>
    <w:p>
      <w:pPr>
        <w:pStyle w:val="0"/>
        <w:spacing w:lineRule="auto" w:line="240" w:before="0" w:after="0"/>
        <w:rPr>
          <w:rFonts w:ascii="Times New Roman" w:hAnsi="Times New Roman" w:cs="Times New Roman"/>
          <w:caps/>
          <w:sz w:val="22"/>
          <w:szCs w:val="22"/>
          <w:shd w:fill="FFFFFF" w:val="clear"/>
        </w:rPr>
      </w:pPr>
      <w:r>
        <w:rPr>
          <w:rFonts w:cs="Times New Roman" w:ascii="Times New Roman" w:hAnsi="Times New Roman"/>
          <w:sz w:val="22"/>
          <w:szCs w:val="22"/>
        </w:rPr>
        <w:t>9. Прочие условия</w:t>
      </w:r>
    </w:p>
    <w:p>
      <w:pPr>
        <w:pStyle w:val="BodyText2"/>
        <w:ind w:firstLine="284"/>
        <w:rPr>
          <w:rStyle w:val="FontStyle14"/>
          <w:sz w:val="22"/>
          <w:szCs w:val="22"/>
          <w:lang w:eastAsia="ru-RU"/>
        </w:rPr>
      </w:pPr>
      <w:r>
        <w:rPr>
          <w:rStyle w:val="FontStyle14"/>
          <w:sz w:val="22"/>
          <w:szCs w:val="22"/>
          <w:lang w:eastAsia="ru-RU"/>
        </w:rPr>
        <w:t>9.1.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9.2.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знаком,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настоящим Договором.</w:t>
      </w:r>
    </w:p>
    <w:p>
      <w:pPr>
        <w:pStyle w:val="Normal"/>
        <w:widowControl w:val="false"/>
        <w:tabs>
          <w:tab w:val="clear" w:pos="708"/>
          <w:tab w:val="left" w:pos="2835" w:leader="none"/>
        </w:tabs>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9.3 Каждая из Сторон гарантирует, что: </w:t>
      </w:r>
    </w:p>
    <w:p>
      <w:pPr>
        <w:pStyle w:val="Normal"/>
        <w:widowControl w:val="false"/>
        <w:tabs>
          <w:tab w:val="clear" w:pos="708"/>
          <w:tab w:val="left" w:pos="2835" w:leader="none"/>
        </w:tabs>
        <w:ind w:firstLine="284"/>
        <w:jc w:val="both"/>
        <w:rPr>
          <w:rStyle w:val="FontStyle14"/>
          <w:sz w:val="22"/>
          <w:szCs w:val="22"/>
          <w:lang w:eastAsia="ru-RU"/>
        </w:rPr>
      </w:pPr>
      <w:r>
        <w:rPr>
          <w:rStyle w:val="FontStyle14"/>
          <w:sz w:val="22"/>
          <w:szCs w:val="22"/>
          <w:lang w:eastAsia="ru-RU"/>
        </w:rPr>
        <w:t xml:space="preserve">- </w:t>
      </w:r>
      <w:r>
        <w:rPr>
          <w:rStyle w:val="FontStyle14"/>
          <w:sz w:val="22"/>
          <w:szCs w:val="22"/>
        </w:rPr>
        <w:t>зарегистрирована в ЕГРЮЛ надлежащим образом;</w:t>
      </w:r>
    </w:p>
    <w:p>
      <w:pPr>
        <w:pStyle w:val="Normal"/>
        <w:ind w:firstLine="284"/>
        <w:jc w:val="both"/>
        <w:rPr>
          <w:rStyle w:val="FontStyle14"/>
          <w:sz w:val="22"/>
          <w:szCs w:val="22"/>
          <w:lang w:eastAsia="ru-RU"/>
        </w:rPr>
      </w:pPr>
      <w:r>
        <w:rPr>
          <w:rStyle w:val="FontStyle14"/>
          <w:sz w:val="22"/>
          <w:szCs w:val="22"/>
          <w:lang w:eastAsia="ru-RU"/>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pPr>
        <w:pStyle w:val="Normal"/>
        <w:ind w:firstLine="284"/>
        <w:jc w:val="both"/>
        <w:rPr>
          <w:rStyle w:val="FontStyle14"/>
          <w:sz w:val="22"/>
          <w:szCs w:val="22"/>
          <w:lang w:eastAsia="ru-RU"/>
        </w:rPr>
      </w:pPr>
      <w:r>
        <w:rPr>
          <w:rStyle w:val="FontStyle14"/>
          <w:sz w:val="22"/>
          <w:szCs w:val="22"/>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pPr>
        <w:pStyle w:val="Normal"/>
        <w:ind w:firstLine="284"/>
        <w:jc w:val="both"/>
        <w:rPr>
          <w:rStyle w:val="FontStyle14"/>
          <w:sz w:val="22"/>
          <w:szCs w:val="22"/>
          <w:lang w:eastAsia="ru-RU"/>
        </w:rPr>
      </w:pPr>
      <w:r>
        <w:rPr>
          <w:rStyle w:val="FontStyle14"/>
          <w:sz w:val="22"/>
          <w:szCs w:val="22"/>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pPr>
        <w:pStyle w:val="Normal"/>
        <w:ind w:firstLine="284"/>
        <w:jc w:val="both"/>
        <w:rPr>
          <w:rStyle w:val="FontStyle14"/>
          <w:sz w:val="22"/>
          <w:szCs w:val="22"/>
          <w:lang w:eastAsia="ru-RU"/>
        </w:rPr>
      </w:pPr>
      <w:r>
        <w:rPr>
          <w:rStyle w:val="FontStyle14"/>
          <w:sz w:val="22"/>
          <w:szCs w:val="22"/>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pPr>
        <w:pStyle w:val="Normal"/>
        <w:ind w:firstLine="284"/>
        <w:jc w:val="both"/>
        <w:rPr>
          <w:rStyle w:val="FontStyle14"/>
          <w:sz w:val="22"/>
          <w:szCs w:val="22"/>
          <w:lang w:eastAsia="ru-RU"/>
        </w:rPr>
      </w:pPr>
      <w:r>
        <w:rPr>
          <w:rStyle w:val="FontStyle14"/>
          <w:sz w:val="22"/>
          <w:szCs w:val="22"/>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pPr>
        <w:pStyle w:val="Normal"/>
        <w:ind w:firstLine="284"/>
        <w:jc w:val="both"/>
        <w:rPr>
          <w:rStyle w:val="FontStyle14"/>
          <w:sz w:val="22"/>
          <w:szCs w:val="22"/>
          <w:lang w:eastAsia="ru-RU"/>
        </w:rPr>
      </w:pPr>
      <w:r>
        <w:rPr>
          <w:rStyle w:val="FontStyle14"/>
          <w:sz w:val="22"/>
          <w:szCs w:val="22"/>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pPr>
        <w:pStyle w:val="Normal"/>
        <w:ind w:firstLine="284"/>
        <w:jc w:val="both"/>
        <w:rPr>
          <w:rStyle w:val="FontStyle14"/>
          <w:sz w:val="22"/>
          <w:szCs w:val="22"/>
          <w:lang w:eastAsia="ru-RU"/>
        </w:rPr>
      </w:pPr>
      <w:r>
        <w:rPr>
          <w:rStyle w:val="FontStyle14"/>
          <w:sz w:val="22"/>
          <w:szCs w:val="22"/>
          <w:lang w:eastAsia="ru-RU"/>
        </w:rPr>
        <w:t>- своевременно и в полном объеме уплачивает налоги, сборы и страховые взносы;</w:t>
      </w:r>
    </w:p>
    <w:p>
      <w:pPr>
        <w:pStyle w:val="Normal"/>
        <w:ind w:firstLine="284"/>
        <w:jc w:val="both"/>
        <w:rPr>
          <w:rStyle w:val="FontStyle14"/>
          <w:sz w:val="22"/>
          <w:szCs w:val="22"/>
          <w:lang w:eastAsia="ru-RU"/>
        </w:rPr>
      </w:pPr>
      <w:r>
        <w:rPr>
          <w:rStyle w:val="FontStyle14"/>
          <w:sz w:val="22"/>
          <w:szCs w:val="22"/>
          <w:lang w:eastAsia="ru-RU"/>
        </w:rPr>
        <w:t>- лица, подписывающие от его имени первичные документы и счета-фактуры, имеют на это все необходимые полномочия и доверенности.</w:t>
      </w:r>
    </w:p>
    <w:p>
      <w:pPr>
        <w:pStyle w:val="Normal"/>
        <w:ind w:firstLine="284"/>
        <w:jc w:val="both"/>
        <w:rPr>
          <w:rStyle w:val="FontStyle14"/>
          <w:sz w:val="22"/>
          <w:szCs w:val="22"/>
          <w:lang w:eastAsia="ru-RU"/>
        </w:rPr>
      </w:pPr>
      <w:r>
        <w:rPr>
          <w:rStyle w:val="FontStyle14"/>
          <w:sz w:val="22"/>
          <w:szCs w:val="22"/>
          <w:lang w:eastAsia="ru-RU"/>
        </w:rPr>
        <w:t>9.4. Если Сторона нарушит гарантии (любую одну, несколько или все вместе), указанные в пункте 9.3. настоящего договора, обязуется возместить другой стороне убытки, которые последний понес вследствие таких нарушений.</w:t>
      </w:r>
    </w:p>
    <w:p>
      <w:pPr>
        <w:pStyle w:val="Normal"/>
        <w:tabs>
          <w:tab w:val="clear" w:pos="708"/>
          <w:tab w:val="left" w:pos="284" w:leader="none"/>
        </w:tabs>
        <w:ind w:firstLine="284"/>
        <w:jc w:val="both"/>
        <w:rPr>
          <w:rStyle w:val="FontStyle14"/>
          <w:sz w:val="22"/>
          <w:szCs w:val="22"/>
          <w:lang w:eastAsia="ru-RU"/>
        </w:rPr>
      </w:pPr>
      <w:r>
        <w:rPr>
          <w:rStyle w:val="FontStyle14"/>
          <w:sz w:val="22"/>
          <w:szCs w:val="22"/>
          <w:lang w:eastAsia="ru-RU"/>
        </w:rPr>
        <w:t xml:space="preserve">9.4.1. Если Исполнитель нарушит гарантии (любую одну, несколько или все вместе), указанные в пункте 9.3.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которые последний понес вследствие таких нарушений. </w:t>
      </w:r>
    </w:p>
    <w:p>
      <w:pPr>
        <w:pStyle w:val="Normal"/>
        <w:widowControl w:val="false"/>
        <w:tabs>
          <w:tab w:val="clear" w:pos="708"/>
          <w:tab w:val="left" w:pos="2835" w:leader="none"/>
        </w:tabs>
        <w:ind w:firstLine="284"/>
        <w:jc w:val="both"/>
        <w:rPr>
          <w:rStyle w:val="FontStyle14"/>
          <w:sz w:val="22"/>
          <w:szCs w:val="22"/>
          <w:lang w:eastAsia="ru-RU"/>
        </w:rPr>
      </w:pPr>
      <w:r>
        <w:rPr>
          <w:rStyle w:val="FontStyle14"/>
          <w:sz w:val="22"/>
          <w:szCs w:val="22"/>
          <w:lang w:eastAsia="ru-RU"/>
        </w:rPr>
        <w:t>9.4.2. Стороны, в соответствии со ст. 406.1. Гражданского кодекса Российской Федерации, возмещают подтвержденные убытки, возникшие в случаях, указанных в пункте 9.4 и пункте 9.4.1 настоящего договора только на основании вступившего в силу решения суда.</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9.5. 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    </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9.6.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pPr>
        <w:pStyle w:val="BodyText2"/>
        <w:rPr>
          <w:szCs w:val="22"/>
        </w:rPr>
      </w:pPr>
      <w:r>
        <w:rPr>
          <w:rStyle w:val="FontStyle14"/>
          <w:sz w:val="22"/>
          <w:szCs w:val="22"/>
          <w:lang w:eastAsia="ru-RU"/>
        </w:rPr>
        <w:t xml:space="preserve">      </w:t>
      </w:r>
      <w:r>
        <w:rPr>
          <w:rStyle w:val="FontStyle14"/>
          <w:sz w:val="22"/>
          <w:szCs w:val="22"/>
          <w:lang w:eastAsia="ru-RU"/>
        </w:rPr>
        <w:t xml:space="preserve">9.7 </w:t>
      </w:r>
      <w:r>
        <w:rPr>
          <w:szCs w:val="22"/>
        </w:rPr>
        <w:t>Факсимильные копии настоящего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10 (десяти) рабочих дней с момента его подписания и обмена посредством  факсимильной связи.</w:t>
      </w:r>
    </w:p>
    <w:p>
      <w:pPr>
        <w:pStyle w:val="Normal"/>
        <w:jc w:val="center"/>
        <w:rPr>
          <w:rStyle w:val="FontStyle13"/>
          <w:sz w:val="22"/>
          <w:szCs w:val="22"/>
          <w:lang w:eastAsia="ru-RU"/>
        </w:rPr>
      </w:pPr>
      <w:r>
        <w:rPr>
          <w:rStyle w:val="FontStyle13"/>
          <w:sz w:val="22"/>
          <w:szCs w:val="22"/>
          <w:lang w:eastAsia="ru-RU"/>
        </w:rPr>
        <w:t>10. Срок действия договора, юридические адреса сторон</w:t>
      </w:r>
    </w:p>
    <w:p>
      <w:pPr>
        <w:pStyle w:val="Normal"/>
        <w:ind w:firstLine="284"/>
        <w:jc w:val="both"/>
        <w:rPr>
          <w:rStyle w:val="FontStyle14"/>
          <w:sz w:val="22"/>
          <w:szCs w:val="22"/>
          <w:lang w:eastAsia="ru-RU"/>
        </w:rPr>
      </w:pPr>
      <w:r>
        <w:rPr>
          <w:rStyle w:val="FontStyle14"/>
          <w:sz w:val="22"/>
          <w:szCs w:val="22"/>
          <w:lang w:eastAsia="ru-RU"/>
        </w:rPr>
        <w:t xml:space="preserve">10.1. Настоящий договор действует с момента подписания до </w:t>
      </w:r>
      <w:r>
        <w:rPr>
          <w:rStyle w:val="FontStyle14"/>
          <w:b/>
          <w:sz w:val="22"/>
          <w:szCs w:val="22"/>
          <w:lang w:eastAsia="ru-RU"/>
        </w:rPr>
        <w:t>31.12.2026 г.,</w:t>
      </w:r>
      <w:r>
        <w:rPr>
          <w:rStyle w:val="FontStyle14"/>
          <w:sz w:val="22"/>
          <w:szCs w:val="22"/>
          <w:lang w:eastAsia="ru-RU"/>
        </w:rPr>
        <w:t xml:space="preserve"> а в части взаиморасчетов - до полного исполнения сторонами своих обязательств. Досрочное прекращение действия настоящего договора возможно по взаимному согласию сторон или в случаях, предусмотренных гражданским законодательством РФ. </w:t>
      </w:r>
    </w:p>
    <w:p>
      <w:pPr>
        <w:pStyle w:val="Normal"/>
        <w:ind w:firstLine="284"/>
        <w:jc w:val="both"/>
        <w:rPr>
          <w:rStyle w:val="FontStyle14"/>
          <w:sz w:val="22"/>
          <w:szCs w:val="22"/>
          <w:lang w:eastAsia="ru-RU"/>
        </w:rPr>
      </w:pPr>
      <w:r>
        <w:rPr>
          <w:rStyle w:val="FontStyle14"/>
          <w:sz w:val="22"/>
          <w:szCs w:val="22"/>
          <w:lang w:eastAsia="ru-RU"/>
        </w:rPr>
        <w:t>10.2. Договор составлен в 2-х экземплярах, имеющих одинаковую юридическую силу, по одному для каждой из сторон.</w:t>
      </w:r>
    </w:p>
    <w:p>
      <w:pPr>
        <w:pStyle w:val="Normal"/>
        <w:ind w:firstLine="284"/>
        <w:jc w:val="both"/>
        <w:rPr>
          <w:sz w:val="22"/>
          <w:szCs w:val="22"/>
        </w:rPr>
      </w:pPr>
      <w:r>
        <w:rPr>
          <w:rStyle w:val="FontStyle14"/>
          <w:sz w:val="22"/>
          <w:szCs w:val="22"/>
          <w:lang w:eastAsia="ru-RU"/>
        </w:rPr>
        <w:t xml:space="preserve">10.3. </w:t>
      </w:r>
      <w:r>
        <w:rPr>
          <w:sz w:val="22"/>
          <w:szCs w:val="22"/>
        </w:rPr>
        <w:t xml:space="preserve">Об изменениях наименования, местонахождения, адресов электронный почты </w:t>
      </w:r>
      <w:r>
        <w:rPr>
          <w:bCs/>
          <w:sz w:val="22"/>
          <w:szCs w:val="22"/>
        </w:rPr>
        <w:t>(</w:t>
      </w:r>
      <w:r>
        <w:rPr>
          <w:bCs/>
          <w:sz w:val="22"/>
          <w:szCs w:val="22"/>
          <w:lang w:val="en-US"/>
        </w:rPr>
        <w:t>e</w:t>
      </w:r>
      <w:r>
        <w:rPr>
          <w:bCs/>
          <w:sz w:val="22"/>
          <w:szCs w:val="22"/>
        </w:rPr>
        <w:t>-</w:t>
      </w:r>
      <w:r>
        <w:rPr>
          <w:bCs/>
          <w:sz w:val="22"/>
          <w:szCs w:val="22"/>
          <w:lang w:val="en-US"/>
        </w:rPr>
        <w:t>mail</w:t>
      </w:r>
      <w:r>
        <w:rPr>
          <w:bCs/>
          <w:sz w:val="22"/>
          <w:szCs w:val="22"/>
        </w:rPr>
        <w:t>), указанных в п. 10.5 Договора,</w:t>
      </w:r>
      <w:r>
        <w:rPr>
          <w:sz w:val="22"/>
          <w:szCs w:val="22"/>
        </w:rPr>
        <w:t xml:space="preserve"> банковских реквизитов или реорганизации Стороны обязаны письменно уведомить в двухнедельный срок друг друга.</w:t>
      </w:r>
    </w:p>
    <w:p>
      <w:pPr>
        <w:pStyle w:val="Normal"/>
        <w:ind w:firstLine="284"/>
        <w:jc w:val="both"/>
        <w:rPr>
          <w:rStyle w:val="FontStyle14"/>
          <w:sz w:val="22"/>
          <w:szCs w:val="22"/>
          <w:lang w:eastAsia="ru-RU"/>
        </w:rPr>
      </w:pPr>
      <w:r>
        <w:rPr>
          <w:rStyle w:val="FontStyle14"/>
          <w:sz w:val="22"/>
          <w:szCs w:val="22"/>
          <w:lang w:eastAsia="ru-RU"/>
        </w:rPr>
        <w:t xml:space="preserve">10.4. Разрешительные и правоустанавливающие документы Исполнителя размещены на сайтах </w:t>
      </w:r>
      <w:hyperlink r:id="rId5">
        <w:r>
          <w:rPr>
            <w:rStyle w:val="FontStyle14"/>
            <w:sz w:val="22"/>
            <w:szCs w:val="22"/>
            <w:lang w:eastAsia="ru-RU"/>
          </w:rPr>
          <w:t>www.bus.gov.ru</w:t>
        </w:r>
      </w:hyperlink>
      <w:r>
        <w:rPr>
          <w:rStyle w:val="FontStyle14"/>
          <w:sz w:val="22"/>
          <w:szCs w:val="22"/>
          <w:lang w:eastAsia="ru-RU"/>
        </w:rPr>
        <w:t xml:space="preserve">, и </w:t>
      </w:r>
      <w:hyperlink r:id="rId6">
        <w:r>
          <w:rPr>
            <w:rStyle w:val="Hyperlink"/>
            <w:sz w:val="22"/>
            <w:szCs w:val="22"/>
            <w:lang w:eastAsia="ru-RU"/>
          </w:rPr>
          <w:t>https://35.csmrst.ru</w:t>
        </w:r>
      </w:hyperlink>
    </w:p>
    <w:p>
      <w:pPr>
        <w:pStyle w:val="Normal"/>
        <w:ind w:firstLine="284"/>
        <w:jc w:val="center"/>
        <w:rPr>
          <w:rStyle w:val="FontStyle14"/>
          <w:sz w:val="22"/>
          <w:szCs w:val="22"/>
          <w:lang w:eastAsia="ru-RU"/>
        </w:rPr>
      </w:pPr>
      <w:r>
        <w:rPr>
          <w:rStyle w:val="FontStyle14"/>
          <w:sz w:val="22"/>
          <w:szCs w:val="22"/>
          <w:lang w:eastAsia="ru-RU"/>
        </w:rPr>
        <w:t>10.</w:t>
      </w:r>
      <w:r>
        <w:rPr>
          <w:rStyle w:val="FontStyle14"/>
          <w:sz w:val="22"/>
          <w:szCs w:val="22"/>
          <w:lang w:val="en-US" w:eastAsia="ru-RU"/>
        </w:rPr>
        <w:t>5</w:t>
      </w:r>
      <w:r>
        <w:rPr>
          <w:rStyle w:val="FontStyle14"/>
          <w:sz w:val="22"/>
          <w:szCs w:val="22"/>
          <w:lang w:eastAsia="ru-RU"/>
        </w:rPr>
        <w:t>. Адреса и реквизиты сторон:</w:t>
      </w:r>
    </w:p>
    <w:tbl>
      <w:tblPr>
        <w:tblW w:w="1017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593"/>
        <w:gridCol w:w="2902"/>
        <w:gridCol w:w="2268"/>
        <w:gridCol w:w="2409"/>
      </w:tblGrid>
      <w:tr>
        <w:trPr>
          <w:trHeight w:val="193" w:hRule="atLeast"/>
        </w:trPr>
        <w:tc>
          <w:tcPr>
            <w:tcW w:w="5495" w:type="dxa"/>
            <w:gridSpan w:val="2"/>
            <w:tcBorders/>
          </w:tcPr>
          <w:p>
            <w:pPr>
              <w:pStyle w:val="Normal"/>
              <w:jc w:val="center"/>
              <w:rPr>
                <w:b/>
                <w:sz w:val="22"/>
                <w:szCs w:val="22"/>
              </w:rPr>
            </w:pPr>
            <w:r>
              <w:rPr>
                <w:b/>
                <w:sz w:val="22"/>
                <w:szCs w:val="22"/>
              </w:rPr>
              <w:t xml:space="preserve">   </w:t>
            </w:r>
            <w:r>
              <w:rPr>
                <w:b/>
                <w:sz w:val="22"/>
                <w:szCs w:val="22"/>
              </w:rPr>
              <w:t>ИСПОЛНИТЕЛЬ:</w:t>
            </w:r>
          </w:p>
        </w:tc>
        <w:tc>
          <w:tcPr>
            <w:tcW w:w="4677" w:type="dxa"/>
            <w:gridSpan w:val="2"/>
            <w:tcBorders/>
          </w:tcPr>
          <w:p>
            <w:pPr>
              <w:pStyle w:val="Normal"/>
              <w:jc w:val="center"/>
              <w:rPr>
                <w:b/>
                <w:sz w:val="22"/>
                <w:szCs w:val="22"/>
              </w:rPr>
            </w:pPr>
            <w:r>
              <w:rPr>
                <w:b/>
                <w:sz w:val="22"/>
                <w:szCs w:val="22"/>
              </w:rPr>
              <w:t>ЗАКАЗЧИК:</w:t>
            </w:r>
          </w:p>
        </w:tc>
      </w:tr>
      <w:tr>
        <w:trPr>
          <w:trHeight w:val="5578" w:hRule="atLeast"/>
        </w:trPr>
        <w:tc>
          <w:tcPr>
            <w:tcW w:w="5495" w:type="dxa"/>
            <w:gridSpan w:val="2"/>
            <w:tcBorders/>
          </w:tcPr>
          <w:p>
            <w:pPr>
              <w:pStyle w:val="Normal"/>
              <w:rPr>
                <w:spacing w:val="7"/>
                <w:sz w:val="22"/>
                <w:szCs w:val="22"/>
              </w:rPr>
            </w:pPr>
            <w:r>
              <w:rPr>
                <w:sz w:val="22"/>
                <w:szCs w:val="22"/>
              </w:rPr>
              <w:t>Федеральное бюджетное учреждение «Государственный региональный центр стандартизации, метрологии и испытаний в Вологодской области»</w:t>
            </w:r>
            <w:r>
              <w:rPr>
                <w:spacing w:val="7"/>
                <w:sz w:val="22"/>
                <w:szCs w:val="22"/>
              </w:rPr>
              <w:t xml:space="preserve"> (ФБУ «Вологодский ЦСМ»)</w:t>
            </w:r>
          </w:p>
          <w:p>
            <w:pPr>
              <w:pStyle w:val="Normal"/>
              <w:jc w:val="both"/>
              <w:rPr>
                <w:rStyle w:val="FontStyle13"/>
                <w:b w:val="false"/>
                <w:bCs w:val="false"/>
                <w:sz w:val="22"/>
                <w:szCs w:val="22"/>
                <w:lang w:eastAsia="ru-RU"/>
              </w:rPr>
            </w:pPr>
            <w:r>
              <w:rPr>
                <w:rStyle w:val="FontStyle13"/>
                <w:b w:val="false"/>
                <w:bCs w:val="false"/>
                <w:sz w:val="22"/>
                <w:szCs w:val="22"/>
                <w:lang w:eastAsia="ru-RU"/>
              </w:rPr>
              <w:t>Юридический адрес: 160004, РФ, г. Вологда, ул. Ленинградская, дом 70 а</w:t>
            </w:r>
          </w:p>
          <w:p>
            <w:pPr>
              <w:pStyle w:val="Normal"/>
              <w:jc w:val="both"/>
              <w:rPr>
                <w:rStyle w:val="FontStyle13"/>
                <w:b w:val="false"/>
                <w:bCs w:val="false"/>
                <w:sz w:val="22"/>
                <w:szCs w:val="22"/>
                <w:lang w:eastAsia="ru-RU"/>
              </w:rPr>
            </w:pPr>
            <w:r>
              <w:rPr>
                <w:rStyle w:val="FontStyle13"/>
                <w:b w:val="false"/>
                <w:bCs w:val="false"/>
                <w:sz w:val="22"/>
                <w:szCs w:val="22"/>
                <w:lang w:eastAsia="ru-RU"/>
              </w:rPr>
              <w:t>ИНН 3525041411 КПП 352501001</w:t>
            </w:r>
          </w:p>
          <w:p>
            <w:pPr>
              <w:pStyle w:val="Normal"/>
              <w:jc w:val="both"/>
              <w:rPr>
                <w:rStyle w:val="FontStyle13"/>
                <w:b w:val="false"/>
                <w:bCs w:val="false"/>
                <w:sz w:val="22"/>
                <w:szCs w:val="22"/>
                <w:lang w:eastAsia="ru-RU"/>
              </w:rPr>
            </w:pPr>
            <w:r>
              <w:rPr>
                <w:rStyle w:val="FontStyle13"/>
                <w:b w:val="false"/>
                <w:bCs w:val="false"/>
                <w:sz w:val="22"/>
                <w:szCs w:val="22"/>
                <w:lang w:eastAsia="ru-RU"/>
              </w:rPr>
              <w:t>ОКПО 2567260 ОКТМО19701000</w:t>
            </w:r>
          </w:p>
          <w:p>
            <w:pPr>
              <w:pStyle w:val="Normal"/>
              <w:jc w:val="both"/>
              <w:rPr>
                <w:rStyle w:val="FontStyle13"/>
                <w:b w:val="false"/>
                <w:bCs w:val="false"/>
                <w:sz w:val="22"/>
                <w:szCs w:val="22"/>
                <w:lang w:eastAsia="ru-RU"/>
              </w:rPr>
            </w:pPr>
            <w:r>
              <w:rPr>
                <w:rStyle w:val="FontStyle13"/>
                <w:b w:val="false"/>
                <w:bCs w:val="false"/>
                <w:sz w:val="22"/>
                <w:szCs w:val="22"/>
                <w:lang w:eastAsia="ru-RU"/>
              </w:rPr>
              <w:t>ОКВЭД 71.12.62(осн) 71.12.61, 71.20.9, 71.20.8</w:t>
            </w:r>
          </w:p>
          <w:p>
            <w:pPr>
              <w:pStyle w:val="Normal"/>
              <w:jc w:val="both"/>
              <w:rPr/>
            </w:pPr>
            <w:r>
              <w:rPr>
                <w:rStyle w:val="FontStyle13"/>
                <w:b w:val="false"/>
                <w:bCs w:val="false"/>
                <w:sz w:val="22"/>
                <w:szCs w:val="22"/>
                <w:lang w:eastAsia="ru-RU"/>
              </w:rPr>
              <w:t xml:space="preserve">Банковские реквизиты: </w:t>
            </w:r>
            <w:r>
              <w:rPr>
                <w:sz w:val="22"/>
                <w:szCs w:val="22"/>
              </w:rPr>
              <w:t>ОКЦ №1 ВВГУ Банка России//УФК по Нижегородской области, г. Нижний Новгород</w:t>
            </w:r>
            <w:r>
              <w:rPr>
                <w:rStyle w:val="FontStyle13"/>
                <w:b w:val="false"/>
                <w:sz w:val="22"/>
                <w:szCs w:val="22"/>
                <w:lang w:eastAsia="ru-RU"/>
              </w:rPr>
              <w:t xml:space="preserve"> БИК: </w:t>
            </w:r>
            <w:r>
              <w:rPr>
                <w:sz w:val="22"/>
                <w:szCs w:val="22"/>
              </w:rPr>
              <w:t>012202102</w:t>
            </w:r>
          </w:p>
          <w:p>
            <w:pPr>
              <w:pStyle w:val="Normal"/>
              <w:jc w:val="both"/>
              <w:rPr>
                <w:sz w:val="22"/>
                <w:szCs w:val="22"/>
              </w:rPr>
            </w:pPr>
            <w:r>
              <w:rPr>
                <w:rStyle w:val="FontStyle13"/>
                <w:b w:val="false"/>
                <w:sz w:val="22"/>
                <w:szCs w:val="22"/>
                <w:lang w:eastAsia="ru-RU"/>
              </w:rPr>
              <w:t xml:space="preserve">Счет банка (ЕКС) </w:t>
            </w:r>
            <w:r>
              <w:rPr>
                <w:sz w:val="22"/>
                <w:szCs w:val="22"/>
              </w:rPr>
              <w:t>40102810745370000024</w:t>
            </w:r>
          </w:p>
          <w:p>
            <w:pPr>
              <w:pStyle w:val="Normal"/>
              <w:jc w:val="both"/>
              <w:rPr>
                <w:sz w:val="22"/>
                <w:szCs w:val="22"/>
              </w:rPr>
            </w:pPr>
            <w:r>
              <w:rPr>
                <w:rStyle w:val="FontStyle13"/>
                <w:b w:val="false"/>
                <w:sz w:val="22"/>
                <w:szCs w:val="22"/>
                <w:lang w:eastAsia="ru-RU"/>
              </w:rPr>
              <w:t xml:space="preserve">Получатель: </w:t>
            </w:r>
            <w:r>
              <w:rPr>
                <w:sz w:val="22"/>
                <w:szCs w:val="22"/>
              </w:rPr>
              <w:t>УФК по Нижегородской области (ФБУ «Вологодский ЦСМ» л/с 20306Х66000)</w:t>
            </w:r>
          </w:p>
          <w:p>
            <w:pPr>
              <w:pStyle w:val="Normal"/>
              <w:jc w:val="both"/>
              <w:rPr>
                <w:sz w:val="22"/>
                <w:szCs w:val="22"/>
              </w:rPr>
            </w:pPr>
            <w:r>
              <w:rPr>
                <w:rStyle w:val="FontStyle13"/>
                <w:b w:val="false"/>
                <w:sz w:val="22"/>
                <w:szCs w:val="22"/>
                <w:lang w:eastAsia="ru-RU"/>
              </w:rPr>
              <w:t xml:space="preserve">Номер казначейского счета </w:t>
            </w:r>
            <w:r>
              <w:rPr>
                <w:sz w:val="22"/>
                <w:szCs w:val="22"/>
              </w:rPr>
              <w:t>03214643000000013208</w:t>
            </w:r>
          </w:p>
          <w:p>
            <w:pPr>
              <w:pStyle w:val="Normal"/>
              <w:jc w:val="both"/>
              <w:rPr>
                <w:sz w:val="22"/>
                <w:szCs w:val="22"/>
              </w:rPr>
            </w:pPr>
            <w:r>
              <w:rPr>
                <w:sz w:val="22"/>
                <w:szCs w:val="22"/>
              </w:rPr>
              <w:t>КБК 000000000000000000130</w:t>
            </w:r>
          </w:p>
          <w:p>
            <w:pPr>
              <w:pStyle w:val="Normal"/>
              <w:jc w:val="both"/>
              <w:rPr>
                <w:sz w:val="22"/>
                <w:szCs w:val="22"/>
              </w:rPr>
            </w:pPr>
            <w:r>
              <w:rPr>
                <w:sz w:val="22"/>
                <w:szCs w:val="22"/>
              </w:rPr>
              <w:t>ОГРН 1023500893613</w:t>
            </w:r>
          </w:p>
          <w:p>
            <w:pPr>
              <w:pStyle w:val="Normal"/>
              <w:rPr>
                <w:sz w:val="22"/>
                <w:szCs w:val="22"/>
              </w:rPr>
            </w:pPr>
            <w:r>
              <w:rPr>
                <w:sz w:val="22"/>
                <w:szCs w:val="22"/>
              </w:rPr>
              <w:t>Череповецкий филиал:</w:t>
            </w:r>
          </w:p>
          <w:p>
            <w:pPr>
              <w:pStyle w:val="Normal"/>
              <w:rPr>
                <w:sz w:val="22"/>
                <w:szCs w:val="22"/>
              </w:rPr>
            </w:pPr>
            <w:r>
              <w:rPr>
                <w:sz w:val="22"/>
                <w:szCs w:val="22"/>
              </w:rPr>
              <w:t>162603, РФ, Вологодская обл., г. Череповец,</w:t>
            </w:r>
          </w:p>
          <w:p>
            <w:pPr>
              <w:pStyle w:val="Normal"/>
              <w:rPr>
                <w:sz w:val="22"/>
                <w:szCs w:val="22"/>
              </w:rPr>
            </w:pPr>
            <w:r>
              <w:rPr>
                <w:sz w:val="22"/>
                <w:szCs w:val="22"/>
              </w:rPr>
              <w:t>ул. Краснодонцев, 21 А  тел./факс (8202) 26-57-96</w:t>
            </w:r>
          </w:p>
          <w:p>
            <w:pPr>
              <w:pStyle w:val="Normal"/>
              <w:rPr>
                <w:color w:val="0000CC"/>
                <w:sz w:val="22"/>
                <w:szCs w:val="22"/>
                <w:lang w:val="en-US"/>
              </w:rPr>
            </w:pPr>
            <w:r>
              <w:rPr>
                <w:sz w:val="22"/>
                <w:szCs w:val="22"/>
                <w:lang w:val="en-US"/>
              </w:rPr>
              <w:t xml:space="preserve">E-mail: </w:t>
            </w:r>
            <w:hyperlink r:id="rId7">
              <w:r>
                <w:rPr>
                  <w:rStyle w:val="Hyperlink"/>
                  <w:sz w:val="22"/>
                  <w:szCs w:val="22"/>
                  <w:lang w:val="en-US"/>
                </w:rPr>
                <w:t>mail@vologdacsm.ru</w:t>
              </w:r>
            </w:hyperlink>
          </w:p>
        </w:tc>
        <w:tc>
          <w:tcPr>
            <w:tcW w:w="4677" w:type="dxa"/>
            <w:gridSpan w:val="2"/>
            <w:tcBorders/>
          </w:tcPr>
          <w:p>
            <w:pPr>
              <w:pStyle w:val="Normal"/>
              <w:rPr>
                <w:bCs/>
                <w:sz w:val="22"/>
                <w:szCs w:val="22"/>
              </w:rPr>
            </w:pPr>
            <w:r>
              <w:rPr>
                <w:bCs/>
                <w:sz w:val="22"/>
                <w:szCs w:val="22"/>
              </w:rPr>
              <w:t>Федеральное бюджетное учреждение «Администрация Волго-Балтийского бассейна внутренних водных путей» (ФБУ «Администрация «Волго-Балт»)</w:t>
            </w:r>
          </w:p>
          <w:p>
            <w:pPr>
              <w:pStyle w:val="Normal"/>
              <w:rPr>
                <w:bCs/>
                <w:sz w:val="22"/>
                <w:szCs w:val="22"/>
              </w:rPr>
            </w:pPr>
            <w:r>
              <w:rPr>
                <w:bCs/>
                <w:sz w:val="22"/>
                <w:szCs w:val="22"/>
              </w:rPr>
              <w:t>Юр. адрес: 191014, РФ, г. Санкт-Петербург, переулок Виленский, дом 15, литер Б</w:t>
            </w:r>
          </w:p>
          <w:p>
            <w:pPr>
              <w:pStyle w:val="Normal"/>
              <w:rPr>
                <w:bCs/>
                <w:sz w:val="22"/>
                <w:szCs w:val="22"/>
              </w:rPr>
            </w:pPr>
            <w:r>
              <w:rPr>
                <w:bCs/>
                <w:sz w:val="22"/>
                <w:szCs w:val="22"/>
              </w:rPr>
              <w:t>ИНН 7812024833 КПП 784201001</w:t>
            </w:r>
          </w:p>
          <w:p>
            <w:pPr>
              <w:pStyle w:val="Normal"/>
              <w:rPr>
                <w:sz w:val="22"/>
                <w:szCs w:val="22"/>
              </w:rPr>
            </w:pPr>
            <w:r>
              <w:rPr>
                <w:sz w:val="22"/>
                <w:szCs w:val="22"/>
              </w:rPr>
              <w:t xml:space="preserve">Грузополучатель: Череповецкий район водных путей  и судоходства - филиал ФБУ «Администрация </w:t>
            </w:r>
            <w:r>
              <w:rPr>
                <w:bCs/>
                <w:sz w:val="22"/>
                <w:szCs w:val="22"/>
              </w:rPr>
              <w:t>Волго-Балтийского бассейна внутренних водных путей»</w:t>
            </w:r>
          </w:p>
          <w:p>
            <w:pPr>
              <w:pStyle w:val="Normal"/>
              <w:rPr>
                <w:sz w:val="22"/>
                <w:szCs w:val="22"/>
              </w:rPr>
            </w:pPr>
            <w:r>
              <w:rPr>
                <w:sz w:val="22"/>
                <w:szCs w:val="22"/>
              </w:rPr>
              <w:t>Почтовый адрес: 162600, Вологодская обл., г. Череповец, ул. Белинского, д. 2.</w:t>
            </w:r>
          </w:p>
          <w:p>
            <w:pPr>
              <w:pStyle w:val="Normal"/>
              <w:rPr>
                <w:bCs/>
                <w:sz w:val="22"/>
                <w:szCs w:val="22"/>
              </w:rPr>
            </w:pPr>
            <w:r>
              <w:rPr>
                <w:bCs/>
                <w:sz w:val="22"/>
                <w:szCs w:val="22"/>
              </w:rPr>
              <w:t>ИНН 7812024833 КПП 352802001</w:t>
            </w:r>
          </w:p>
          <w:p>
            <w:pPr>
              <w:pStyle w:val="Normal"/>
              <w:rPr>
                <w:bCs/>
                <w:sz w:val="22"/>
                <w:szCs w:val="22"/>
              </w:rPr>
            </w:pPr>
            <w:r>
              <w:rPr>
                <w:bCs/>
                <w:sz w:val="22"/>
                <w:szCs w:val="22"/>
              </w:rPr>
              <w:t>Банковские реквизиты:</w:t>
            </w:r>
          </w:p>
          <w:p>
            <w:pPr>
              <w:pStyle w:val="Normal"/>
              <w:rPr>
                <w:bCs/>
                <w:sz w:val="22"/>
                <w:szCs w:val="22"/>
              </w:rPr>
            </w:pPr>
            <w:r>
              <w:rPr>
                <w:bCs/>
                <w:sz w:val="22"/>
                <w:szCs w:val="22"/>
              </w:rPr>
              <w:t>УФК по Нижегородской области (ФБУ «Администрация «Волго-Балт»,</w:t>
            </w:r>
          </w:p>
          <w:p>
            <w:pPr>
              <w:pStyle w:val="Normal"/>
              <w:rPr>
                <w:bCs/>
                <w:sz w:val="22"/>
                <w:szCs w:val="22"/>
              </w:rPr>
            </w:pPr>
            <w:r>
              <w:rPr>
                <w:bCs/>
                <w:sz w:val="22"/>
                <w:szCs w:val="22"/>
              </w:rPr>
              <w:t>л/с 20726Х60180)</w:t>
            </w:r>
          </w:p>
          <w:p>
            <w:pPr>
              <w:pStyle w:val="Normal"/>
              <w:rPr>
                <w:bCs/>
                <w:sz w:val="22"/>
                <w:szCs w:val="22"/>
              </w:rPr>
            </w:pPr>
            <w:r>
              <w:rPr>
                <w:sz w:val="22"/>
                <w:szCs w:val="22"/>
              </w:rPr>
              <w:t>Казначейский счет 03214643000000013225</w:t>
            </w:r>
          </w:p>
          <w:p>
            <w:pPr>
              <w:pStyle w:val="Normal"/>
              <w:rPr>
                <w:sz w:val="22"/>
                <w:szCs w:val="22"/>
              </w:rPr>
            </w:pPr>
            <w:r>
              <w:rPr>
                <w:sz w:val="22"/>
                <w:szCs w:val="22"/>
              </w:rPr>
              <w:t>ОКЦ №1 ВВГУ Банка России // УФК Нижегородской области, г.Нижний Новгород  БИК 012202102</w:t>
            </w:r>
          </w:p>
          <w:p>
            <w:pPr>
              <w:pStyle w:val="Normal"/>
              <w:rPr>
                <w:sz w:val="22"/>
                <w:szCs w:val="22"/>
              </w:rPr>
            </w:pPr>
            <w:r>
              <w:rPr>
                <w:sz w:val="22"/>
                <w:szCs w:val="22"/>
              </w:rPr>
              <w:t>Счет банка 40102810745370000024</w:t>
            </w:r>
          </w:p>
          <w:p>
            <w:pPr>
              <w:pStyle w:val="Normal"/>
              <w:rPr>
                <w:bCs/>
                <w:sz w:val="22"/>
                <w:szCs w:val="22"/>
              </w:rPr>
            </w:pPr>
            <w:r>
              <w:rPr>
                <w:bCs/>
                <w:sz w:val="22"/>
                <w:szCs w:val="22"/>
              </w:rPr>
              <w:t>Тел. 8-8202- 677-256</w:t>
            </w:r>
          </w:p>
          <w:p>
            <w:pPr>
              <w:pStyle w:val="Normal"/>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8">
              <w:r>
                <w:rPr>
                  <w:rStyle w:val="Hyperlink"/>
                  <w:lang w:val="en-US"/>
                </w:rPr>
                <w:t>golubev</w:t>
              </w:r>
              <w:r>
                <w:rPr>
                  <w:rStyle w:val="Hyperlink"/>
                </w:rPr>
                <w:t>_</w:t>
              </w:r>
              <w:r>
                <w:rPr>
                  <w:rStyle w:val="Hyperlink"/>
                  <w:lang w:val="en-US"/>
                </w:rPr>
                <w:t>gp</w:t>
              </w:r>
              <w:r>
                <w:rPr>
                  <w:rStyle w:val="Hyperlink"/>
                  <w:sz w:val="22"/>
                  <w:szCs w:val="22"/>
                </w:rPr>
                <w:t>@</w:t>
              </w:r>
              <w:r>
                <w:rPr>
                  <w:rStyle w:val="Hyperlink"/>
                  <w:sz w:val="22"/>
                  <w:szCs w:val="22"/>
                  <w:lang w:val="en-US"/>
                </w:rPr>
                <w:t>volgo</w:t>
              </w:r>
              <w:r>
                <w:rPr>
                  <w:rStyle w:val="Hyperlink"/>
                  <w:sz w:val="22"/>
                  <w:szCs w:val="22"/>
                </w:rPr>
                <w:t>-</w:t>
              </w:r>
              <w:r>
                <w:rPr>
                  <w:rStyle w:val="Hyperlink"/>
                  <w:sz w:val="22"/>
                  <w:szCs w:val="22"/>
                  <w:lang w:val="en-US"/>
                </w:rPr>
                <w:t>balt</w:t>
              </w:r>
              <w:r>
                <w:rPr>
                  <w:rStyle w:val="Hyperlink"/>
                  <w:sz w:val="22"/>
                  <w:szCs w:val="22"/>
                </w:rPr>
                <w:t>.</w:t>
              </w:r>
              <w:r>
                <w:rPr>
                  <w:rStyle w:val="Hyperlink"/>
                  <w:sz w:val="22"/>
                  <w:szCs w:val="22"/>
                  <w:lang w:val="en-US"/>
                </w:rPr>
                <w:t>ru</w:t>
              </w:r>
            </w:hyperlink>
          </w:p>
        </w:tc>
      </w:tr>
      <w:tr>
        <w:trPr>
          <w:trHeight w:val="152" w:hRule="atLeast"/>
        </w:trPr>
        <w:tc>
          <w:tcPr>
            <w:tcW w:w="5495" w:type="dxa"/>
            <w:gridSpan w:val="2"/>
            <w:tcBorders/>
          </w:tcPr>
          <w:p>
            <w:pPr>
              <w:pStyle w:val="Normal"/>
              <w:jc w:val="both"/>
              <w:rPr>
                <w:rStyle w:val="FontStyle13"/>
                <w:b w:val="false"/>
                <w:bCs w:val="false"/>
                <w:sz w:val="22"/>
                <w:szCs w:val="22"/>
                <w:lang w:eastAsia="ru-RU"/>
              </w:rPr>
            </w:pPr>
            <w:r>
              <w:rPr>
                <w:rStyle w:val="FontStyle13"/>
                <w:b w:val="false"/>
                <w:bCs w:val="false"/>
                <w:sz w:val="22"/>
                <w:szCs w:val="22"/>
                <w:lang w:eastAsia="ru-RU"/>
              </w:rPr>
              <w:t>Директор филиала</w:t>
            </w:r>
          </w:p>
          <w:p>
            <w:pPr>
              <w:pStyle w:val="Normal"/>
              <w:rPr>
                <w:sz w:val="22"/>
                <w:szCs w:val="22"/>
              </w:rPr>
            </w:pPr>
            <w:r>
              <w:rPr>
                <w:sz w:val="22"/>
                <w:szCs w:val="22"/>
              </w:rPr>
            </w:r>
          </w:p>
          <w:p>
            <w:pPr>
              <w:pStyle w:val="Normal"/>
              <w:rPr>
                <w:sz w:val="22"/>
                <w:szCs w:val="22"/>
              </w:rPr>
            </w:pPr>
            <w:r>
              <w:rPr>
                <w:sz w:val="22"/>
                <w:szCs w:val="22"/>
              </w:rPr>
            </w:r>
          </w:p>
        </w:tc>
        <w:tc>
          <w:tcPr>
            <w:tcW w:w="4677" w:type="dxa"/>
            <w:gridSpan w:val="2"/>
            <w:tcBorders/>
          </w:tcPr>
          <w:p>
            <w:pPr>
              <w:pStyle w:val="Normal"/>
              <w:rPr>
                <w:sz w:val="22"/>
                <w:szCs w:val="22"/>
              </w:rPr>
            </w:pPr>
            <w:r>
              <w:rPr>
                <w:sz w:val="22"/>
                <w:szCs w:val="22"/>
              </w:rPr>
              <w:t>Начальник ЧРВПиС – филиала</w:t>
            </w:r>
          </w:p>
          <w:p>
            <w:pPr>
              <w:pStyle w:val="Normal"/>
              <w:rPr>
                <w:sz w:val="22"/>
                <w:szCs w:val="22"/>
              </w:rPr>
            </w:pPr>
            <w:r>
              <w:rPr>
                <w:sz w:val="22"/>
                <w:szCs w:val="22"/>
              </w:rPr>
              <w:t>ФБУ «Администрация «Волго-Балт»</w:t>
            </w:r>
          </w:p>
        </w:tc>
      </w:tr>
      <w:tr>
        <w:trPr>
          <w:trHeight w:val="117" w:hRule="atLeast"/>
        </w:trPr>
        <w:tc>
          <w:tcPr>
            <w:tcW w:w="2593" w:type="dxa"/>
            <w:tcBorders/>
          </w:tcPr>
          <w:p>
            <w:pPr>
              <w:pStyle w:val="Normal"/>
              <w:rPr>
                <w:sz w:val="22"/>
                <w:szCs w:val="22"/>
              </w:rPr>
            </w:pPr>
            <w:r>
              <w:rPr>
                <w:sz w:val="22"/>
                <w:szCs w:val="22"/>
              </w:rPr>
              <w:t>_____________________</w:t>
            </w:r>
          </w:p>
        </w:tc>
        <w:tc>
          <w:tcPr>
            <w:tcW w:w="2902" w:type="dxa"/>
            <w:tcBorders/>
          </w:tcPr>
          <w:p>
            <w:pPr>
              <w:pStyle w:val="Normal"/>
              <w:rPr>
                <w:sz w:val="22"/>
                <w:szCs w:val="22"/>
              </w:rPr>
            </w:pPr>
            <w:r>
              <w:rPr>
                <w:rStyle w:val="FontStyle13"/>
                <w:bCs w:val="false"/>
                <w:sz w:val="22"/>
                <w:szCs w:val="22"/>
                <w:lang w:eastAsia="ru-RU"/>
              </w:rPr>
              <w:t>В.Л. Костин</w:t>
            </w:r>
          </w:p>
        </w:tc>
        <w:tc>
          <w:tcPr>
            <w:tcW w:w="2268" w:type="dxa"/>
            <w:tcBorders/>
          </w:tcPr>
          <w:p>
            <w:pPr>
              <w:pStyle w:val="Normal"/>
              <w:rPr>
                <w:sz w:val="22"/>
                <w:szCs w:val="22"/>
              </w:rPr>
            </w:pPr>
            <w:r>
              <w:rPr>
                <w:sz w:val="22"/>
                <w:szCs w:val="22"/>
              </w:rPr>
              <w:t>__________________</w:t>
            </w:r>
          </w:p>
        </w:tc>
        <w:tc>
          <w:tcPr>
            <w:tcW w:w="2409" w:type="dxa"/>
            <w:tcBorders/>
          </w:tcPr>
          <w:p>
            <w:pPr>
              <w:pStyle w:val="Normal"/>
              <w:rPr>
                <w:b/>
                <w:sz w:val="22"/>
                <w:szCs w:val="22"/>
              </w:rPr>
            </w:pPr>
            <w:r>
              <w:rPr>
                <w:b/>
                <w:sz w:val="22"/>
                <w:szCs w:val="22"/>
              </w:rPr>
              <w:t>С.В. Воеводкин</w:t>
            </w:r>
          </w:p>
        </w:tc>
      </w:tr>
      <w:tr>
        <w:trPr>
          <w:trHeight w:val="142" w:hRule="atLeast"/>
        </w:trPr>
        <w:tc>
          <w:tcPr>
            <w:tcW w:w="5495" w:type="dxa"/>
            <w:gridSpan w:val="2"/>
            <w:tcBorders/>
          </w:tcPr>
          <w:p>
            <w:pPr>
              <w:pStyle w:val="Normal"/>
              <w:rPr>
                <w:sz w:val="18"/>
                <w:szCs w:val="18"/>
              </w:rPr>
            </w:pPr>
            <w:r>
              <w:rPr>
                <w:rStyle w:val="FontStyle13"/>
                <w:b w:val="false"/>
                <w:bCs w:val="false"/>
                <w:sz w:val="18"/>
                <w:szCs w:val="18"/>
                <w:lang w:eastAsia="ru-RU"/>
              </w:rPr>
              <w:t>(подпись)  м.п.</w:t>
            </w:r>
          </w:p>
        </w:tc>
        <w:tc>
          <w:tcPr>
            <w:tcW w:w="2268" w:type="dxa"/>
            <w:tcBorders/>
          </w:tcPr>
          <w:p>
            <w:pPr>
              <w:pStyle w:val="Normal"/>
              <w:rPr>
                <w:sz w:val="18"/>
                <w:szCs w:val="18"/>
              </w:rPr>
            </w:pPr>
            <w:r>
              <w:rPr>
                <w:rStyle w:val="FontStyle13"/>
                <w:b w:val="false"/>
                <w:bCs w:val="false"/>
                <w:sz w:val="18"/>
                <w:szCs w:val="18"/>
                <w:lang w:eastAsia="ru-RU"/>
              </w:rPr>
              <w:t>(подпись)  м.п.</w:t>
            </w:r>
          </w:p>
        </w:tc>
        <w:tc>
          <w:tcPr>
            <w:tcW w:w="2409" w:type="dxa"/>
            <w:tcBorders/>
          </w:tcPr>
          <w:p>
            <w:pPr>
              <w:pStyle w:val="Normal"/>
              <w:rPr>
                <w:sz w:val="18"/>
                <w:szCs w:val="18"/>
              </w:rPr>
            </w:pPr>
            <w:r>
              <w:rPr>
                <w:sz w:val="18"/>
                <w:szCs w:val="18"/>
              </w:rPr>
            </w:r>
          </w:p>
        </w:tc>
      </w:tr>
    </w:tbl>
    <w:p>
      <w:pPr>
        <w:pStyle w:val="Normal"/>
        <w:rPr>
          <w:sz w:val="22"/>
          <w:szCs w:val="22"/>
        </w:rPr>
      </w:pPr>
      <w:r>
        <w:rPr>
          <w:sz w:val="22"/>
          <w:szCs w:val="22"/>
        </w:rPr>
      </w:r>
    </w:p>
    <w:sectPr>
      <w:footerReference w:type="default" r:id="rId9"/>
      <w:type w:val="nextPage"/>
      <w:pgSz w:w="11906" w:h="16838"/>
      <w:pgMar w:left="964" w:right="567" w:gutter="0" w:header="0" w:top="567" w:footer="0" w:bottom="3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Calibri">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Body Text 2"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47092"/>
    <w:pPr>
      <w:widowControl/>
      <w:suppressAutoHyphens w:val="true"/>
      <w:bidi w:val="0"/>
      <w:spacing w:before="0" w:after="0"/>
      <w:jc w:val="left"/>
    </w:pPr>
    <w:rPr>
      <w:rFonts w:ascii="Times New Roman" w:hAnsi="Times New Roman" w:eastAsia="Times New Roman" w:cs="Times New Roman"/>
      <w:color w:val="auto"/>
      <w:kern w:val="0"/>
      <w:sz w:val="24"/>
      <w:szCs w:val="24"/>
      <w:lang w:eastAsia="ar-SA" w:val="ru-RU" w:bidi="ar-SA"/>
    </w:rPr>
  </w:style>
  <w:style w:type="paragraph" w:styleId="Heading1">
    <w:name w:val="Heading 1"/>
    <w:basedOn w:val="Normal"/>
    <w:next w:val="Normal"/>
    <w:qFormat/>
    <w:rsid w:val="00283590"/>
    <w:pPr>
      <w:keepNext w:val="true"/>
      <w:tabs>
        <w:tab w:val="clear" w:pos="708"/>
        <w:tab w:val="left" w:pos="432" w:leader="none"/>
      </w:tabs>
      <w:jc w:val="center"/>
      <w:outlineLvl w:val="0"/>
    </w:pPr>
    <w:rPr>
      <w:b/>
      <w:bCs/>
      <w:i/>
      <w:iCs/>
      <w:sz w:val="22"/>
      <w:szCs w:val="22"/>
    </w:rPr>
  </w:style>
  <w:style w:type="paragraph" w:styleId="Heading2">
    <w:name w:val="Heading 2"/>
    <w:basedOn w:val="Normal"/>
    <w:next w:val="Normal"/>
    <w:qFormat/>
    <w:rsid w:val="00283590"/>
    <w:pPr>
      <w:keepNext w:val="true"/>
      <w:tabs>
        <w:tab w:val="clear" w:pos="708"/>
        <w:tab w:val="left" w:pos="576" w:leader="none"/>
      </w:tabs>
      <w:outlineLvl w:val="1"/>
    </w:pPr>
    <w:rPr>
      <w:b/>
      <w:i/>
      <w:iCs/>
      <w:sz w:val="22"/>
      <w:szCs w:val="22"/>
    </w:rPr>
  </w:style>
  <w:style w:type="paragraph" w:styleId="Heading3">
    <w:name w:val="Heading 3"/>
    <w:basedOn w:val="Normal"/>
    <w:next w:val="Normal"/>
    <w:qFormat/>
    <w:rsid w:val="00283590"/>
    <w:pPr>
      <w:keepNext w:val="true"/>
      <w:tabs>
        <w:tab w:val="clear" w:pos="708"/>
        <w:tab w:val="left" w:pos="720" w:leader="none"/>
      </w:tabs>
      <w:jc w:val="center"/>
      <w:outlineLvl w:val="2"/>
    </w:pPr>
    <w:rPr>
      <w:b/>
      <w:bCs/>
    </w:rPr>
  </w:style>
  <w:style w:type="character" w:styleId="DefaultParagraphFont" w:default="1">
    <w:name w:val="Default Paragraph Font"/>
    <w:uiPriority w:val="1"/>
    <w:semiHidden/>
    <w:unhideWhenUsed/>
    <w:qFormat/>
    <w:rPr/>
  </w:style>
  <w:style w:type="character" w:styleId="WW8Num1z0" w:customStyle="1">
    <w:name w:val="WW8Num1z0"/>
    <w:qFormat/>
    <w:rsid w:val="00283590"/>
    <w:rPr>
      <w:rFonts w:ascii="Symbol" w:hAnsi="Symbol"/>
    </w:rPr>
  </w:style>
  <w:style w:type="character" w:styleId="WW8Num2z0" w:customStyle="1">
    <w:name w:val="WW8Num2z0"/>
    <w:qFormat/>
    <w:rsid w:val="00283590"/>
    <w:rPr>
      <w:rFonts w:ascii="Symbol" w:hAnsi="Symbol"/>
    </w:rPr>
  </w:style>
  <w:style w:type="character" w:styleId="Hyperlink">
    <w:name w:val="Hyperlink"/>
    <w:rsid w:val="00283590"/>
    <w:rPr>
      <w:color w:val="0000FF"/>
      <w:u w:val="single"/>
    </w:rPr>
  </w:style>
  <w:style w:type="character" w:styleId="WW8Num3z0" w:customStyle="1">
    <w:name w:val="WW8Num3z0"/>
    <w:qFormat/>
    <w:rsid w:val="00283590"/>
    <w:rPr>
      <w:rFonts w:ascii="Symbol" w:hAnsi="Symbol"/>
    </w:rPr>
  </w:style>
  <w:style w:type="character" w:styleId="WW8Num3z1" w:customStyle="1">
    <w:name w:val="WW8Num3z1"/>
    <w:qFormat/>
    <w:rsid w:val="00283590"/>
    <w:rPr>
      <w:rFonts w:ascii="OpenSymbol" w:hAnsi="OpenSymbol" w:cs="OpenSymbol"/>
    </w:rPr>
  </w:style>
  <w:style w:type="character" w:styleId="FollowedHyperlink">
    <w:name w:val="FollowedHyperlink"/>
    <w:semiHidden/>
    <w:rsid w:val="00283590"/>
    <w:rPr>
      <w:color w:val="800080"/>
      <w:u w:val="single"/>
    </w:rPr>
  </w:style>
  <w:style w:type="character" w:styleId="2" w:customStyle="1">
    <w:name w:val="Основной текст 2 Знак"/>
    <w:link w:val="BodyText2"/>
    <w:semiHidden/>
    <w:qFormat/>
    <w:rsid w:val="00283590"/>
    <w:rPr>
      <w:sz w:val="22"/>
      <w:szCs w:val="24"/>
      <w:lang w:eastAsia="ar-SA"/>
    </w:rPr>
  </w:style>
  <w:style w:type="character" w:styleId="FontStyle13" w:customStyle="1">
    <w:name w:val="Font Style13"/>
    <w:qFormat/>
    <w:rsid w:val="00283590"/>
    <w:rPr>
      <w:rFonts w:ascii="Times New Roman" w:hAnsi="Times New Roman" w:cs="Times New Roman"/>
      <w:b/>
      <w:bCs/>
      <w:sz w:val="28"/>
      <w:szCs w:val="28"/>
    </w:rPr>
  </w:style>
  <w:style w:type="character" w:styleId="FontStyle14" w:customStyle="1">
    <w:name w:val="Font Style14"/>
    <w:qFormat/>
    <w:rsid w:val="00283590"/>
    <w:rPr>
      <w:rFonts w:ascii="Times New Roman" w:hAnsi="Times New Roman" w:cs="Times New Roman"/>
      <w:sz w:val="26"/>
      <w:szCs w:val="26"/>
    </w:rPr>
  </w:style>
  <w:style w:type="character" w:styleId="Style11" w:customStyle="1">
    <w:name w:val="Неразрешенное упоминание"/>
    <w:uiPriority w:val="99"/>
    <w:semiHidden/>
    <w:unhideWhenUsed/>
    <w:qFormat/>
    <w:rsid w:val="00283590"/>
    <w:rPr>
      <w:color w:val="605E5C"/>
      <w:shd w:fill="E1DFDD" w:val="clear"/>
    </w:rPr>
  </w:style>
  <w:style w:type="character" w:styleId="Style12" w:customStyle="1">
    <w:name w:val="Верхний колонтитул Знак"/>
    <w:uiPriority w:val="99"/>
    <w:qFormat/>
    <w:rsid w:val="00283590"/>
    <w:rPr>
      <w:sz w:val="24"/>
      <w:szCs w:val="24"/>
      <w:lang w:eastAsia="ar-SA"/>
    </w:rPr>
  </w:style>
  <w:style w:type="character" w:styleId="Style13" w:customStyle="1">
    <w:name w:val="Нижний колонтитул Знак"/>
    <w:uiPriority w:val="99"/>
    <w:qFormat/>
    <w:rsid w:val="00283590"/>
    <w:rPr>
      <w:sz w:val="24"/>
      <w:szCs w:val="24"/>
      <w:lang w:eastAsia="ar-SA"/>
    </w:rPr>
  </w:style>
  <w:style w:type="character" w:styleId="Style14" w:customStyle="1">
    <w:name w:val="Название Знак"/>
    <w:basedOn w:val="DefaultParagraphFont"/>
    <w:qFormat/>
    <w:locked/>
    <w:rsid w:val="009d48ab"/>
    <w:rPr>
      <w:i/>
      <w:iCs/>
      <w:sz w:val="24"/>
      <w:szCs w:val="24"/>
      <w:lang w:eastAsia="ar-SA"/>
    </w:rPr>
  </w:style>
  <w:style w:type="character" w:styleId="Extended-textfull" w:customStyle="1">
    <w:name w:val="extended-text__full"/>
    <w:basedOn w:val="DefaultParagraphFont"/>
    <w:qFormat/>
    <w:rsid w:val="001d5d52"/>
    <w:rPr/>
  </w:style>
  <w:style w:type="character" w:styleId="FontStyle24" w:customStyle="1">
    <w:name w:val="Font Style24"/>
    <w:uiPriority w:val="99"/>
    <w:qFormat/>
    <w:rsid w:val="008903b7"/>
    <w:rPr>
      <w:rFonts w:ascii="Times New Roman" w:hAnsi="Times New Roman" w:cs="Times New Roman"/>
      <w:sz w:val="20"/>
      <w:szCs w:val="20"/>
    </w:rPr>
  </w:style>
  <w:style w:type="paragraph" w:styleId="Style15" w:customStyle="1">
    <w:name w:val="Заголовок"/>
    <w:basedOn w:val="Normal"/>
    <w:next w:val="BodyText"/>
    <w:qFormat/>
    <w:rsid w:val="00283590"/>
    <w:pPr>
      <w:keepNext w:val="true"/>
      <w:spacing w:before="240" w:after="120"/>
    </w:pPr>
    <w:rPr>
      <w:rFonts w:ascii="Liberation Sans" w:hAnsi="Liberation Sans" w:eastAsia="DejaVu Sans" w:cs="DejaVu Sans"/>
      <w:sz w:val="28"/>
      <w:szCs w:val="28"/>
    </w:rPr>
  </w:style>
  <w:style w:type="paragraph" w:styleId="BodyText">
    <w:name w:val="Body Text"/>
    <w:basedOn w:val="Normal"/>
    <w:semiHidden/>
    <w:rsid w:val="00283590"/>
    <w:pPr>
      <w:jc w:val="center"/>
    </w:pPr>
    <w:rPr>
      <w:b/>
    </w:rPr>
  </w:style>
  <w:style w:type="paragraph" w:styleId="List">
    <w:name w:val="List"/>
    <w:basedOn w:val="BodyText"/>
    <w:semiHidden/>
    <w:rsid w:val="00283590"/>
    <w:pPr/>
    <w:rPr/>
  </w:style>
  <w:style w:type="paragraph" w:styleId="Caption">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Title">
    <w:name w:val="Title"/>
    <w:basedOn w:val="Normal"/>
    <w:link w:val="Style14"/>
    <w:qFormat/>
    <w:rsid w:val="00283590"/>
    <w:pPr>
      <w:suppressLineNumbers/>
      <w:spacing w:before="120" w:after="120"/>
    </w:pPr>
    <w:rPr>
      <w:i/>
      <w:iCs/>
    </w:rPr>
  </w:style>
  <w:style w:type="paragraph" w:styleId="Indexheading">
    <w:name w:val="index heading"/>
    <w:basedOn w:val="Normal"/>
    <w:semiHidden/>
    <w:qFormat/>
    <w:rsid w:val="00283590"/>
    <w:pPr>
      <w:suppressLineNumbers/>
    </w:pPr>
    <w:rPr/>
  </w:style>
  <w:style w:type="paragraph" w:styleId="BalloonText">
    <w:name w:val="Balloon Text"/>
    <w:basedOn w:val="Normal"/>
    <w:qFormat/>
    <w:rsid w:val="00283590"/>
    <w:pPr/>
    <w:rPr>
      <w:rFonts w:ascii="Tahoma" w:hAnsi="Tahoma" w:cs="Tahoma"/>
      <w:sz w:val="16"/>
      <w:szCs w:val="16"/>
    </w:rPr>
  </w:style>
  <w:style w:type="paragraph" w:styleId="BodyTextIndent">
    <w:name w:val="Body Text Indent"/>
    <w:basedOn w:val="Normal"/>
    <w:semiHidden/>
    <w:rsid w:val="00283590"/>
    <w:pPr>
      <w:ind w:firstLine="360"/>
    </w:pPr>
    <w:rPr>
      <w:sz w:val="22"/>
    </w:rPr>
  </w:style>
  <w:style w:type="paragraph" w:styleId="BodyTextIndent2">
    <w:name w:val="Body Text Indent 2"/>
    <w:basedOn w:val="Normal"/>
    <w:semiHidden/>
    <w:qFormat/>
    <w:rsid w:val="00283590"/>
    <w:pPr>
      <w:ind w:firstLine="360" w:left="360"/>
      <w:jc w:val="both"/>
    </w:pPr>
    <w:rPr>
      <w:b/>
      <w:i/>
      <w:sz w:val="22"/>
    </w:rPr>
  </w:style>
  <w:style w:type="paragraph" w:styleId="BodyTextIndent3">
    <w:name w:val="Body Text Indent 3"/>
    <w:basedOn w:val="Normal"/>
    <w:semiHidden/>
    <w:qFormat/>
    <w:rsid w:val="00283590"/>
    <w:pPr>
      <w:ind w:firstLine="708"/>
      <w:jc w:val="both"/>
    </w:pPr>
    <w:rPr>
      <w:b/>
      <w:i/>
      <w:sz w:val="22"/>
    </w:rPr>
  </w:style>
  <w:style w:type="paragraph" w:styleId="BodyText2">
    <w:name w:val="Body Text 2"/>
    <w:basedOn w:val="Normal"/>
    <w:link w:val="2"/>
    <w:semiHidden/>
    <w:qFormat/>
    <w:rsid w:val="00283590"/>
    <w:pPr>
      <w:jc w:val="both"/>
    </w:pPr>
    <w:rPr>
      <w:sz w:val="22"/>
    </w:rPr>
  </w:style>
  <w:style w:type="paragraph" w:styleId="Style17" w:customStyle="1">
    <w:name w:val="Содержимое таблицы"/>
    <w:basedOn w:val="Normal"/>
    <w:qFormat/>
    <w:rsid w:val="00283590"/>
    <w:pPr>
      <w:suppressLineNumbers/>
    </w:pPr>
    <w:rPr/>
  </w:style>
  <w:style w:type="paragraph" w:styleId="Style18" w:customStyle="1">
    <w:name w:val="Заголовок таблицы"/>
    <w:basedOn w:val="Style17"/>
    <w:qFormat/>
    <w:rsid w:val="00283590"/>
    <w:pPr>
      <w:jc w:val="center"/>
    </w:pPr>
    <w:rPr>
      <w:b/>
      <w:bCs/>
    </w:rPr>
  </w:style>
  <w:style w:type="paragraph" w:styleId="Style51" w:customStyle="1">
    <w:name w:val="Style5"/>
    <w:basedOn w:val="Normal"/>
    <w:qFormat/>
    <w:rsid w:val="00283590"/>
    <w:pPr>
      <w:widowControl w:val="false"/>
      <w:suppressAutoHyphens w:val="false"/>
      <w:spacing w:lineRule="exact" w:line="317"/>
      <w:jc w:val="center"/>
    </w:pPr>
    <w:rPr>
      <w:lang w:eastAsia="ru-RU"/>
    </w:rPr>
  </w:style>
  <w:style w:type="paragraph" w:styleId="Style71" w:customStyle="1">
    <w:name w:val="Style7"/>
    <w:basedOn w:val="Normal"/>
    <w:qFormat/>
    <w:rsid w:val="00283590"/>
    <w:pPr>
      <w:widowControl w:val="false"/>
      <w:suppressAutoHyphens w:val="false"/>
      <w:spacing w:lineRule="exact" w:line="319"/>
      <w:ind w:firstLine="691"/>
      <w:jc w:val="both"/>
    </w:pPr>
    <w:rPr>
      <w:lang w:eastAsia="ru-RU"/>
    </w:rPr>
  </w:style>
  <w:style w:type="paragraph" w:styleId="ConsPlusNormal" w:customStyle="1">
    <w:name w:val="ConsPlusNormal"/>
    <w:qFormat/>
    <w:rsid w:val="00283590"/>
    <w:pPr>
      <w:widowControl w:val="false"/>
      <w:bidi w:val="0"/>
      <w:spacing w:before="0" w:after="0"/>
      <w:jc w:val="left"/>
    </w:pPr>
    <w:rPr>
      <w:rFonts w:ascii="Calibri" w:hAnsi="Calibri" w:cs="Calibri" w:eastAsia="Times New Roman"/>
      <w:color w:val="auto"/>
      <w:kern w:val="0"/>
      <w:sz w:val="22"/>
      <w:szCs w:val="20"/>
      <w:lang w:val="ru-RU" w:eastAsia="ru-RU" w:bidi="ar-SA"/>
    </w:rPr>
  </w:style>
  <w:style w:type="paragraph" w:styleId="Style19">
    <w:name w:val="Колонтитул"/>
    <w:basedOn w:val="Normal"/>
    <w:qFormat/>
    <w:pPr/>
    <w:rPr/>
  </w:style>
  <w:style w:type="paragraph" w:styleId="Header">
    <w:name w:val="Header"/>
    <w:basedOn w:val="Normal"/>
    <w:link w:val="Style12"/>
    <w:uiPriority w:val="99"/>
    <w:unhideWhenUsed/>
    <w:rsid w:val="00283590"/>
    <w:pPr>
      <w:tabs>
        <w:tab w:val="clear" w:pos="708"/>
        <w:tab w:val="center" w:pos="4677" w:leader="none"/>
        <w:tab w:val="right" w:pos="9355" w:leader="none"/>
      </w:tabs>
    </w:pPr>
    <w:rPr/>
  </w:style>
  <w:style w:type="paragraph" w:styleId="Footer">
    <w:name w:val="Footer"/>
    <w:basedOn w:val="Normal"/>
    <w:link w:val="Style13"/>
    <w:uiPriority w:val="99"/>
    <w:unhideWhenUsed/>
    <w:rsid w:val="00283590"/>
    <w:pPr>
      <w:tabs>
        <w:tab w:val="clear" w:pos="708"/>
        <w:tab w:val="center" w:pos="4677" w:leader="none"/>
        <w:tab w:val="right" w:pos="9355" w:leader="none"/>
      </w:tabs>
    </w:pPr>
    <w:rPr/>
  </w:style>
  <w:style w:type="paragraph" w:styleId="0" w:customStyle="1">
    <w:name w:val="0.договор"/>
    <w:basedOn w:val="Normal"/>
    <w:qFormat/>
    <w:rsid w:val="00283590"/>
    <w:pPr>
      <w:keepNext w:val="true"/>
      <w:suppressAutoHyphens w:val="false"/>
      <w:spacing w:lineRule="auto" w:line="276" w:before="280" w:after="280"/>
      <w:jc w:val="center"/>
    </w:pPr>
    <w:rPr>
      <w:rFonts w:ascii="Arial" w:hAnsi="Arial" w:cs="Arial"/>
      <w:b/>
      <w:szCs w:val="28"/>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rsid w:val="0028359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35.csmrst.ru/" TargetMode="External"/><Relationship Id="rId3" Type="http://schemas.openxmlformats.org/officeDocument/2006/relationships/hyperlink" Target="https://35.csmrst.ru/" TargetMode="External"/><Relationship Id="rId4" Type="http://schemas.openxmlformats.org/officeDocument/2006/relationships/hyperlink" Target="https://35.csmrst.ru/" TargetMode="External"/><Relationship Id="rId5" Type="http://schemas.openxmlformats.org/officeDocument/2006/relationships/hyperlink" Target="http://www.bus.gov.ru/" TargetMode="External"/><Relationship Id="rId6" Type="http://schemas.openxmlformats.org/officeDocument/2006/relationships/hyperlink" Target="https://35.csmrst.ru/" TargetMode="External"/><Relationship Id="rId7" Type="http://schemas.openxmlformats.org/officeDocument/2006/relationships/hyperlink" Target="mailto:mail@vologdacsm.ru" TargetMode="External"/><Relationship Id="rId8" Type="http://schemas.openxmlformats.org/officeDocument/2006/relationships/hyperlink" Target="mailto:golubev_gp@volgo-balt.ru"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F263-19B8-44A5-8B7A-1DDAF8390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LibreOffice/7.6.6.3$Linux_X86_64 LibreOffice_project/d97b2716a9a4a2ce1391dee1765565ea469b0ae7</Application>
  <AppVersion>15.0000</AppVersion>
  <Pages>7</Pages>
  <Words>4573</Words>
  <Characters>26068</Characters>
  <CharactersWithSpaces>30580</CharactersWithSpaces>
  <Paragraphs>61</Paragraphs>
  <Company>ФГУ "Тульский ЦСМ"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2026-07-15T10:36:00Z</dcterms:created>
  <dc:creator>Сергей</dc:creator>
  <dc:description/>
  <dc:language>ru-RU</dc:language>
  <cp:lastModifiedBy/>
  <cp:lastPrinted>2024-06-11T05:57:00Z</cp:lastPrinted>
  <dcterms:modified xsi:type="dcterms:W3CDTF">2026-07-20T11:51:30Z</dcterms:modified>
  <cp:revision>8</cp:revision>
  <dc:subject/>
  <dc:title>(Бюджетные организации)</dc:title>
</cp:coreProperties>
</file>

<file path=docProps/custom.xml><?xml version="1.0" encoding="utf-8"?>
<Properties xmlns="http://schemas.openxmlformats.org/officeDocument/2006/custom-properties" xmlns:vt="http://schemas.openxmlformats.org/officeDocument/2006/docPropsVTypes"/>
</file>