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Государственный контракт №__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на информационно-консультационное обслуживание программного продукта «Конфигурация для учреждений ФСИН для 1С:Предприятие 8»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________                                                                                          </w:t>
      </w:r>
      <w:r>
        <w:rPr>
          <w:sz w:val="22"/>
          <w:szCs w:val="22"/>
        </w:rPr>
        <w:t xml:space="preserve">          «__»__________ 20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 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______________________________________________именуемое в дальнейшем «Государственный заказчик», в лице ____________________, действующего на основании Устава, с одной стороны, и Обществ</w:t>
      </w:r>
      <w:r>
        <w:rPr>
          <w:sz w:val="22"/>
          <w:szCs w:val="22"/>
        </w:rPr>
        <w:t xml:space="preserve">о с ограниченной ответственностью «Бухучет сервис» (далее — ООО «Бухучет сервис»), именуемое в дальнейшем «Исполнитель», в лице генерального директора Корлыханова Александра Геннадьевича, действующего на основании Устава, с другой стороны, в дальнейшем при</w:t>
      </w:r>
      <w:r>
        <w:rPr>
          <w:sz w:val="22"/>
          <w:szCs w:val="22"/>
        </w:rPr>
        <w:t xml:space="preserve"> совместном упоминании именуемые «С</w:t>
      </w:r>
      <w:r>
        <w:rPr>
          <w:sz w:val="22"/>
          <w:szCs w:val="22"/>
        </w:rPr>
        <w:t xml:space="preserve">тороны», а по отдельности</w:t>
      </w:r>
      <w:r>
        <w:rPr>
          <w:sz w:val="22"/>
          <w:szCs w:val="22"/>
        </w:rPr>
        <w:t xml:space="preserve">  - Сторона, на основании п.4 ч.1 ст. 93 Федерального закона от 05.04.2013  № 44-ФЗ «О контрактной системе в сфере закупок товаров, услуг для обеспечения государственных и муниципальных нужд» заключили настоящий Контракт (далее – Контракт)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tabs>
          <w:tab w:val="left" w:leader="none" w:pos="720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Предмет контракта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before="0"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По настоящему Контракту Исполнитель обязуется оказать услуги по информационно-консультационному обслуживанию программного продукта «Конфигурация для учреждений ФСИН для 1С:Предприятие 8» (далее – ПП) в с</w:t>
      </w:r>
      <w:r>
        <w:rPr>
          <w:sz w:val="22"/>
          <w:szCs w:val="22"/>
        </w:rPr>
        <w:t xml:space="preserve">оответствии с Техническим заданием </w:t>
      </w:r>
      <w:r>
        <w:rPr>
          <w:i/>
          <w:iCs/>
          <w:sz w:val="22"/>
          <w:szCs w:val="22"/>
        </w:rPr>
        <w:t xml:space="preserve">(Приложение № 1 к настоящему Контракту) </w:t>
      </w:r>
      <w:r>
        <w:rPr>
          <w:sz w:val="22"/>
          <w:szCs w:val="22"/>
        </w:rPr>
        <w:t xml:space="preserve">в объеме, указанном в Техническом задании, а Государственный заказчик обязуется принять и оплатить оказанные Исполнителем услуги.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5"/>
        <w:pBdr/>
        <w:spacing w:before="0"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Сроки и порядок оказания услуг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.1.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Исполнитель</w:t>
      </w:r>
      <w:r>
        <w:rPr>
          <w:sz w:val="22"/>
          <w:szCs w:val="22"/>
        </w:rPr>
        <w:t xml:space="preserve">» обязуется </w:t>
      </w:r>
      <w:r>
        <w:rPr>
          <w:sz w:val="22"/>
          <w:szCs w:val="22"/>
        </w:rPr>
        <w:t xml:space="preserve">оказать услуги </w:t>
      </w:r>
      <w:r>
        <w:rPr>
          <w:sz w:val="22"/>
          <w:szCs w:val="22"/>
        </w:rPr>
        <w:t xml:space="preserve">по настоящему контракту </w:t>
      </w:r>
      <w:r>
        <w:rPr>
          <w:sz w:val="22"/>
          <w:szCs w:val="22"/>
        </w:rPr>
        <w:t xml:space="preserve"> дистанционно.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«Исполнитель» оказывает услуги с момента подписания  Контракта  до ____________г.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tabs>
          <w:tab w:val="left" w:leader="none" w:pos="1134"/>
        </w:tabs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3. Цена контракта и порядок расчетов.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</w:rPr>
        <w:t xml:space="preserve">3.1.</w:t>
      </w:r>
      <w:r>
        <w:rPr>
          <w:color w:val="000000"/>
          <w:spacing w:val="-5"/>
          <w:sz w:val="22"/>
          <w:szCs w:val="22"/>
          <w:highlight w:val="white"/>
        </w:rPr>
        <w:t xml:space="preserve">Сумма Контракта составляет   (__________________)</w:t>
      </w:r>
      <w:r>
        <w:rPr>
          <w:b/>
          <w:spacing w:val="-5"/>
          <w:sz w:val="22"/>
          <w:szCs w:val="22"/>
          <w:highlight w:val="white"/>
        </w:rPr>
        <w:t xml:space="preserve"> </w:t>
      </w:r>
      <w:r>
        <w:rPr>
          <w:color w:val="000000"/>
          <w:spacing w:val="-5"/>
          <w:sz w:val="22"/>
          <w:szCs w:val="22"/>
          <w:highlight w:val="white"/>
        </w:rPr>
        <w:t xml:space="preserve">рублей 0</w:t>
      </w:r>
      <w:r>
        <w:rPr>
          <w:color w:val="000000"/>
          <w:spacing w:val="-5"/>
          <w:sz w:val="22"/>
          <w:szCs w:val="22"/>
          <w:highlight w:val="white"/>
        </w:rPr>
        <w:t xml:space="preserve">0</w:t>
      </w:r>
      <w:r>
        <w:rPr>
          <w:b/>
          <w:color w:val="000000"/>
          <w:spacing w:val="-5"/>
          <w:sz w:val="22"/>
          <w:szCs w:val="22"/>
          <w:highlight w:val="white"/>
        </w:rPr>
        <w:t xml:space="preserve"> </w:t>
      </w:r>
      <w:r>
        <w:rPr>
          <w:color w:val="000000"/>
          <w:spacing w:val="-5"/>
          <w:sz w:val="22"/>
          <w:szCs w:val="22"/>
          <w:highlight w:val="white"/>
        </w:rPr>
        <w:t xml:space="preserve">копеек,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white"/>
        </w:rPr>
        <w:t xml:space="preserve">в т.ч. 5% НДС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, п. 8 ст. 164 НК РФ</w:t>
      </w:r>
      <w:r>
        <w:rPr>
          <w:sz w:val="22"/>
          <w:szCs w:val="22"/>
          <w:highlight w:val="white"/>
        </w:rPr>
        <w:t xml:space="preserve">.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22"/>
        <w:widowControl w:val="false"/>
        <w:pBdr/>
        <w:spacing w:line="200" w:lineRule="atLeast"/>
        <w:ind/>
        <w:jc w:val="both"/>
        <w:rPr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3.2.Цена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3.3. Цена Контракта включает в себя все расходы Исполнителя по предмету Контракта, в т.ч.: расходы на сопровождение ПП,  удаленную консультацию, </w:t>
      </w:r>
      <w:r>
        <w:rPr>
          <w:sz w:val="22"/>
          <w:szCs w:val="22"/>
        </w:rPr>
        <w:t xml:space="preserve">расходы на транспортировку</w:t>
      </w:r>
      <w:r>
        <w:rPr>
          <w:bCs/>
          <w:sz w:val="22"/>
          <w:szCs w:val="22"/>
        </w:rPr>
        <w:t xml:space="preserve">, страхование, уплату таможенных пошлин, </w:t>
      </w:r>
      <w:r>
        <w:rPr>
          <w:sz w:val="22"/>
          <w:szCs w:val="22"/>
        </w:rPr>
        <w:t xml:space="preserve">а также уплату налогов,</w:t>
      </w:r>
      <w:r>
        <w:rPr>
          <w:sz w:val="22"/>
          <w:szCs w:val="22"/>
        </w:rPr>
        <w:t xml:space="preserve"> сборов и других обязательных платежей, предусмотренных действующим законодательством.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3.4.Источник финансирования настоящего Контракта: __________________________________.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pacing w:val="5"/>
          <w:sz w:val="22"/>
          <w:szCs w:val="22"/>
        </w:rPr>
        <w:t xml:space="preserve">3.5.Оплата оказанных услуг производится Государственным заказчиком </w:t>
      </w:r>
      <w:r>
        <w:rPr>
          <w:spacing w:val="4"/>
          <w:sz w:val="22"/>
          <w:szCs w:val="22"/>
        </w:rPr>
        <w:t xml:space="preserve">путем безналичного перечислени</w:t>
      </w:r>
      <w:r>
        <w:rPr>
          <w:spacing w:val="4"/>
          <w:sz w:val="22"/>
          <w:szCs w:val="22"/>
        </w:rPr>
        <w:t xml:space="preserve">я </w:t>
      </w:r>
      <w:r>
        <w:rPr>
          <w:spacing w:val="1"/>
          <w:sz w:val="22"/>
          <w:szCs w:val="22"/>
        </w:rPr>
        <w:t xml:space="preserve">денежных средств </w:t>
      </w:r>
      <w:r>
        <w:rPr>
          <w:spacing w:val="4"/>
          <w:sz w:val="22"/>
          <w:szCs w:val="22"/>
        </w:rPr>
        <w:t xml:space="preserve">на расчетный счет </w:t>
      </w:r>
      <w:r>
        <w:rPr>
          <w:spacing w:val="1"/>
          <w:sz w:val="22"/>
          <w:szCs w:val="22"/>
        </w:rPr>
        <w:t xml:space="preserve">Исполнителя в течение 10 (десяти) банковских дней с момента подписания первичных документов (УПД либо, при необходимости, Акт об оказании услуг (далее — Акт) 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 xml:space="preserve">3.6. Если Государственный заказчик в течени</w:t>
      </w:r>
      <w:r>
        <w:rPr>
          <w:spacing w:val="1"/>
          <w:sz w:val="22"/>
          <w:szCs w:val="22"/>
        </w:rPr>
        <w:t xml:space="preserve">е 30 дней не вернул подписанный УПД (Акт) и не предъявил в письменном виде претензии, услуга считается оказанной, дальнейшие претензии не принимаются.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  <w:r>
        <w:rPr>
          <w:spacing w:val="1"/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4. Обязанности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4.1. Исполнитель обязуется: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4.1.1. Оказать услуги в объеме согласно Техническому заданию,  в предусмотренный настоящим Контрактом срок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4.1.2. Согласовать с Государственным заказчиком время оказания услуг;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4.1.3.  </w:t>
      </w:r>
      <w:r>
        <w:rPr>
          <w:sz w:val="22"/>
          <w:szCs w:val="22"/>
        </w:rPr>
        <w:t xml:space="preserve">Предоставить Универсальный передаточный документ (УПД) и счет на оплату (при необходимости Акт и счет-фактуру) в адрес Госу</w:t>
      </w:r>
      <w:r>
        <w:rPr>
          <w:sz w:val="22"/>
          <w:szCs w:val="22"/>
        </w:rPr>
        <w:t xml:space="preserve">дарственного заказчика;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4.1.4. Выполнять требования Контракта о порядке, сроках, количеству, ассортименту, качеству и цене.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iCs/>
          <w:sz w:val="22"/>
          <w:szCs w:val="22"/>
        </w:rPr>
        <w:t xml:space="preserve">4.2. Государственный заказчик обязуется: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4.2.1. Принять оказанные Исполнителем услуги путем подписания УПД (Акта);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4.2.2. Оплатить услуги в порядке и</w:t>
      </w:r>
      <w:r>
        <w:rPr>
          <w:sz w:val="22"/>
          <w:szCs w:val="22"/>
        </w:rPr>
        <w:t xml:space="preserve"> сроки, предусмотренные настоящим Контрактом;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  <w:t xml:space="preserve">4.2.3 Не копировать, не модифицировать, не переводить, не декомпилировать, не дизассемблировать, не переконструировать или каким-либо другим способом не предпринимать попытки переводить объектн</w:t>
      </w:r>
      <w:r>
        <w:rPr>
          <w:sz w:val="22"/>
          <w:szCs w:val="22"/>
        </w:rPr>
        <w:t xml:space="preserve">ый код ПП в ф</w:t>
      </w:r>
      <w:r>
        <w:rPr>
          <w:sz w:val="22"/>
          <w:szCs w:val="22"/>
        </w:rPr>
        <w:t xml:space="preserve">орму, понятную человеку, или производить какие-либо производные действия, а также не позволять никому (как постороннему, так и своим сотрудникам) делать вышеозначенное, кроме случаев прямо предусмотренных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96"/>
        <w:pBdr/>
        <w:spacing w:line="200" w:lineRule="atLeast"/>
        <w:ind w:right="74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5.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3"/>
        <w:pBdr/>
        <w:shd w:val="clear" w:color="auto" w:fill="auto"/>
        <w:spacing w:line="240" w:lineRule="auto"/>
        <w:ind/>
        <w:rPr/>
      </w:pPr>
      <w:r>
        <w:t xml:space="preserve">5.1.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</w:t>
      </w:r>
      <w:r>
        <w:t xml:space="preserve">.</w:t>
      </w:r>
      <w:r/>
    </w:p>
    <w:p>
      <w:pPr>
        <w:pStyle w:val="1003"/>
        <w:pBdr/>
        <w:shd w:val="clear" w:color="auto" w:fill="auto"/>
        <w:tabs>
          <w:tab w:val="left" w:leader="none" w:pos="709"/>
        </w:tabs>
        <w:spacing w:line="240" w:lineRule="auto"/>
        <w:ind/>
        <w:rPr/>
      </w:pPr>
      <w:r>
        <w:t xml:space="preserve">5.2.</w:t>
        <w:tab/>
        <w:t xml:space="preserve"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 неисполнения или ненадлежащего исполнения поставщиком (подрядчиком, исполнителем) обяза</w:t>
      </w:r>
      <w:r>
        <w:t xml:space="preserve">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</w:t>
      </w:r>
      <w:r>
        <w:t xml:space="preserve">, предусмотренного контрактом, утвержденными Постановлением Правительства РФ от 30 августа 2017 г. № 1042:</w:t>
      </w:r>
      <w:r/>
    </w:p>
    <w:p>
      <w:pPr>
        <w:pStyle w:val="1003"/>
        <w:pBdr/>
        <w:shd w:val="clear" w:color="auto" w:fill="auto"/>
        <w:tabs>
          <w:tab w:val="left" w:leader="none" w:pos="709"/>
        </w:tabs>
        <w:spacing w:line="240" w:lineRule="auto"/>
        <w:ind/>
        <w:rPr/>
      </w:pPr>
      <w:r>
        <w:t xml:space="preserve">- размера штрафа в виде фиксированной суммы, начисляемого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контрактом;</w:t>
      </w:r>
      <w:r/>
    </w:p>
    <w:p>
      <w:pPr>
        <w:pStyle w:val="1003"/>
        <w:pBdr/>
        <w:shd w:val="clear" w:color="auto" w:fill="auto"/>
        <w:tabs>
          <w:tab w:val="left" w:leader="none" w:pos="254"/>
          <w:tab w:val="left" w:leader="none" w:pos="709"/>
        </w:tabs>
        <w:spacing w:line="240" w:lineRule="auto"/>
        <w:ind/>
        <w:rPr/>
      </w:pPr>
      <w:r>
        <w:t xml:space="preserve">- размера штрафа в виде фиксированной суммы, начисляемого за неисполнение или ненадлежащее исполнение поставщиком (подрядчиком, исполнителем) обязательств, предусмотренных контрактом, за ис</w:t>
      </w:r>
      <w:r>
        <w:t xml:space="preserve">ключением просрочки исполнения обязательств (в том числе гарантийного обязательства), предусмотренных контрактом;</w:t>
      </w:r>
      <w:r/>
    </w:p>
    <w:p>
      <w:pPr>
        <w:pStyle w:val="1003"/>
        <w:pBdr/>
        <w:shd w:val="clear" w:color="auto" w:fill="auto"/>
        <w:tabs>
          <w:tab w:val="left" w:leader="none" w:pos="278"/>
          <w:tab w:val="left" w:leader="none" w:pos="709"/>
        </w:tabs>
        <w:spacing w:line="240" w:lineRule="auto"/>
        <w:ind/>
        <w:rPr/>
      </w:pPr>
      <w:r>
        <w:t xml:space="preserve">- размера пени, начисляемой </w:t>
      </w:r>
      <w:r>
        <w:t xml:space="preserve">за каждый день просрочки исполнения поставщиком (подрядчиком, исполнителем) обязательства, предусмотренного контрактом, начиная со дня следующего после дня истечения установленного контрактом срока исполнения указанного обязательства (далее соответственно </w:t>
      </w:r>
      <w:r>
        <w:t xml:space="preserve">- штраф, пеня).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268"/>
        </w:tabs>
        <w:spacing w:line="240" w:lineRule="auto"/>
        <w:ind/>
        <w:rPr/>
      </w:pPr>
      <w:r>
        <w:t xml:space="preserve">Размер штрафа устанавливается контрактом в порядке, установленном Постановлением Правительства РФ </w:t>
      </w:r>
      <w:r>
        <w:t xml:space="preserve">от 30 августа 2017</w:t>
      </w:r>
      <w:r>
        <w:t xml:space="preserve"> г. № 1042 настоящих Правил, в виде фиксированной суммы,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(этапа)).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412"/>
        </w:tabs>
        <w:spacing w:line="240" w:lineRule="auto"/>
        <w:ind/>
        <w:rPr/>
      </w:pPr>
      <w:r>
        <w:t xml:space="preserve"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</w:t>
      </w:r>
      <w:r>
        <w:t xml:space="preserve">отренных контрактом, размер штрафа устанавливается в виде фиксированной суммы, определяемой в следующем порядке: 10 процентов цены контракта (этапа) </w:t>
      </w:r>
      <w:r>
        <w:rPr>
          <w:rStyle w:val="971"/>
          <w:color w:val="000000"/>
        </w:rPr>
        <w:t xml:space="preserve">________ рублей __ коп.</w:t>
      </w:r>
      <w:r>
        <w:rPr>
          <w:rStyle w:val="971"/>
        </w:rPr>
        <w:t xml:space="preserve"> </w:t>
      </w:r>
      <w:r>
        <w:t xml:space="preserve">в случае, если цена контракта (этапа) не превышает 3 млн. рублей;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445"/>
        </w:tabs>
        <w:spacing w:line="240" w:lineRule="auto"/>
        <w:ind/>
        <w:rPr/>
      </w:pPr>
      <w:r>
        <w:t xml:space="preserve">За каждый факт неисполнения или не</w:t>
      </w:r>
      <w:r>
        <w:t xml:space="preserve">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</w:t>
      </w:r>
      <w:r>
        <w:t xml:space="preserve">нной суммы, определяемой в следующем порядке:</w:t>
      </w:r>
      <w:r/>
    </w:p>
    <w:p>
      <w:pPr>
        <w:pStyle w:val="1003"/>
        <w:pBdr/>
        <w:shd w:val="clear" w:color="auto" w:fill="auto"/>
        <w:tabs>
          <w:tab w:val="left" w:leader="none" w:pos="709"/>
          <w:tab w:val="left" w:leader="none" w:pos="1445"/>
        </w:tabs>
        <w:spacing w:line="240" w:lineRule="auto"/>
        <w:ind/>
        <w:rPr/>
      </w:pPr>
      <w:r>
        <w:t xml:space="preserve">1000 рублей, если цена контракта не превышает 3 млн. рублей;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/>
      </w:pPr>
      <w: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  <w:r/>
    </w:p>
    <w:p>
      <w:pPr>
        <w:pStyle w:val="1003"/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/>
      </w:pPr>
      <w:r>
        <w:t xml:space="preserve">1000 рублей, если цена контракта не превышает 3 млн. рублей (включительно);</w:t>
      </w:r>
      <w:r/>
    </w:p>
    <w:p>
      <w:pPr>
        <w:pStyle w:val="1003"/>
        <w:pBdr/>
        <w:shd w:val="clear" w:color="auto" w:fill="auto"/>
        <w:tabs>
          <w:tab w:val="left" w:leader="none" w:pos="709"/>
          <w:tab w:val="left" w:leader="none" w:pos="1272"/>
        </w:tabs>
        <w:spacing w:line="240" w:lineRule="auto"/>
        <w:ind/>
        <w:rPr/>
      </w:pPr>
      <w:r>
        <w:t xml:space="preserve">поставщиком (подрядчиком, исполнителем) обязательства, предусмотренного контра</w:t>
      </w:r>
      <w:r>
        <w:t xml:space="preserve">ктом, в размере одной трехсотой действующей на дату уплаты пени </w:t>
      </w:r>
      <w:r>
        <w:t xml:space="preserve">ключевой </w:t>
      </w:r>
      <w:r>
        <w:t xml:space="preserve">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402"/>
        </w:tabs>
        <w:spacing w:line="240" w:lineRule="auto"/>
        <w:ind/>
        <w:rPr/>
      </w:pPr>
      <w:r>
        <w:t xml:space="preserve"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  <w:r/>
    </w:p>
    <w:p>
      <w:pPr>
        <w:pStyle w:val="1003"/>
        <w:numPr>
          <w:ilvl w:val="0"/>
          <w:numId w:val="2"/>
        </w:numPr>
        <w:pBdr/>
        <w:shd w:val="clear" w:color="auto" w:fill="auto"/>
        <w:tabs>
          <w:tab w:val="left" w:leader="none" w:pos="709"/>
          <w:tab w:val="left" w:leader="none" w:pos="1243"/>
        </w:tabs>
        <w:spacing w:line="240" w:lineRule="auto"/>
        <w:ind/>
        <w:rPr/>
      </w:pPr>
      <w:r>
        <w:t xml:space="preserve">Общая сум</w:t>
      </w:r>
      <w:r>
        <w:t xml:space="preserve">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  <w:r/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5.9</w:t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6. Форс-мажорные 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</w:t>
      </w:r>
      <w:r>
        <w:rPr>
          <w:sz w:val="22"/>
          <w:szCs w:val="22"/>
        </w:rPr>
        <w:t xml:space="preserve">о настоящему Контракту, если такое неисполнение является следствием обстоятельств непреодолимой силы,</w:t>
      </w:r>
      <w:r>
        <w:rPr>
          <w:sz w:val="22"/>
          <w:szCs w:val="22"/>
        </w:rPr>
        <w:t xml:space="preserve">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</w:t>
      </w:r>
      <w:r>
        <w:rPr>
          <w:sz w:val="22"/>
          <w:szCs w:val="22"/>
        </w:rPr>
        <w:t xml:space="preserve">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.2. При наступлении обстоятельств непреодолимой силы Сторона должна без промедления известить о </w:t>
      </w:r>
      <w:r>
        <w:rPr>
          <w:sz w:val="22"/>
          <w:szCs w:val="22"/>
        </w:rPr>
        <w:t xml:space="preserve">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</w:t>
      </w:r>
      <w:r>
        <w:rPr>
          <w:sz w:val="22"/>
          <w:szCs w:val="22"/>
        </w:rPr>
        <w:t xml:space="preserve">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.5. В случае наступления форс-мажорных обстоятельств срок исполнения Ст</w:t>
      </w:r>
      <w:r>
        <w:rPr>
          <w:sz w:val="22"/>
          <w:szCs w:val="22"/>
        </w:rPr>
        <w:t xml:space="preserve">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.6. Если форс-мажорные обстоятельства и их последствия продолжают действовать более 6 (шести) месяцев или они или их последствия будут действовать более этого срока,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По</w:t>
      </w:r>
      <w:r>
        <w:rPr>
          <w:sz w:val="22"/>
          <w:szCs w:val="22"/>
        </w:rPr>
        <w:t xml:space="preserve">рядок разрешения споров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Все споры, возникающие в процессе заключения и исполнения Контракта, </w:t>
      </w:r>
      <w:r>
        <w:rPr>
          <w:sz w:val="22"/>
          <w:szCs w:val="22"/>
        </w:rPr>
        <w:t xml:space="preserve">решаются Сторонами в добровольном порядке. Все возможные претензии по настоящему контракту должны быть рассмотрены сторонами в течение 30 дней с момента получения претензии. При недостижении соглашения Сторон спор подлежит разрешению в Арбитражном суде по </w:t>
      </w:r>
      <w:r>
        <w:rPr>
          <w:sz w:val="22"/>
          <w:szCs w:val="22"/>
        </w:rPr>
        <w:t xml:space="preserve">месту нахождения ответчика.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Ни одна из сторон не вправе передавать свои права и обязанности по настоящему контракту </w:t>
      </w:r>
      <w:r>
        <w:rPr>
          <w:sz w:val="22"/>
          <w:szCs w:val="22"/>
        </w:rPr>
        <w:t xml:space="preserve">третьей</w:t>
      </w:r>
      <w:r>
        <w:rPr>
          <w:sz w:val="22"/>
          <w:szCs w:val="22"/>
        </w:rPr>
        <w:t xml:space="preserve"> стороне без письменного согла</w:t>
      </w:r>
      <w:r>
        <w:rPr>
          <w:sz w:val="22"/>
          <w:szCs w:val="22"/>
        </w:rPr>
        <w:t xml:space="preserve">сования другой стороны.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8. Конфиденциальность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8.1.  Любая информация, касающаяся деятельности Заказчика включая его финансовое положение, информация о активах, пассивах, персональные и иные данные полученные Исполнителем или доступные Исполнителю в ходе исполнения обязательств по </w:t>
      </w:r>
      <w:r>
        <w:rPr>
          <w:sz w:val="22"/>
          <w:szCs w:val="22"/>
        </w:rPr>
        <w:t xml:space="preserve">Контракту</w:t>
      </w:r>
      <w:r>
        <w:rPr>
          <w:sz w:val="22"/>
          <w:szCs w:val="22"/>
        </w:rPr>
        <w:t xml:space="preserve"> являются конфиденциальными и не подлежащими разглашению третьим лицам.</w:t>
        <w:tab/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8.2. Исполнитель несет ответственность перед Заказчиком за неисполнение вышеуказанных условий о конфиденциальности в размере причиненн</w:t>
      </w:r>
      <w:r>
        <w:rPr>
          <w:sz w:val="22"/>
          <w:szCs w:val="22"/>
        </w:rPr>
        <w:t xml:space="preserve">ых этим убытков,  а также в рамках иной ответственности предусмотренной законодательством РФ.</w:t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9. Прочие 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Настоящий Контракт составлен в двух подлинных экземплярах по одному для каждой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После подписания настоящего Контракта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Контракта, теряют юридическую силу.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 В случае изменения юридических адресов, банковских и отгрузочных рек</w:t>
      </w:r>
      <w:r>
        <w:rPr>
          <w:sz w:val="22"/>
          <w:szCs w:val="22"/>
        </w:rPr>
        <w:t xml:space="preserve">визитов Сторона обязана сообщить об этом другой Стороне в течение десятидневного срока в письменном виде.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В случаях, не предусмотренных настоящим контрактом, стороны руководствуются действующим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9.5. Стороны пришли к соглашению, что факсимильный экземпляр контракта имеет одинаковую силу с оригиналом. Контракт признаётся подписанным Сторонами при использовании факсимильного воспроизведения подписи с помощью средств копирования – передачи факса.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10. Расторжение гос</w:t>
      </w:r>
      <w:r>
        <w:rPr>
          <w:sz w:val="22"/>
          <w:szCs w:val="22"/>
        </w:rPr>
        <w:t xml:space="preserve">ударственного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10.2.</w:t>
      </w:r>
      <w:r>
        <w:rPr>
          <w:sz w:val="22"/>
          <w:szCs w:val="22"/>
        </w:rPr>
        <w:t xml:space="preserve">Все изменения к Контракту действительны, если они оформлены в виде дополнительного соглашения к Контракту и подписаны Сторонами.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00"/>
        <w:pBdr/>
        <w:spacing/>
        <w:ind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10.3.Расторжение Контракта допускается по соглашению сторон, по решению суда, в связи с односторонним отказом Сторо</w:t>
      </w:r>
      <w:r>
        <w:rPr>
          <w:rFonts w:ascii="Times New Roman" w:hAnsi="Times New Roman" w:cs="Times New Roman"/>
          <w:sz w:val="22"/>
          <w:szCs w:val="22"/>
        </w:rPr>
        <w:t xml:space="preserve">ны от исполнения контракта в соответствии с гражданским законодательством РФ, в порядке, предусмотренном ст. 95 Федерального закона от 05.04.2013 № 44-ФЗ.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10.4В случае </w:t>
      </w:r>
      <w:r>
        <w:rPr>
          <w:sz w:val="22"/>
          <w:szCs w:val="22"/>
        </w:rPr>
        <w:t xml:space="preserve">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соответствующего требованиям Государственного заказчика, фактически выполненных на момент расторжения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11. Срок действия Контракта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11.1. Настоящий контракт вступает в силу с момента подписан</w:t>
      </w:r>
      <w:r>
        <w:rPr>
          <w:sz w:val="22"/>
          <w:szCs w:val="22"/>
        </w:rPr>
        <w:t xml:space="preserve">ия и действует до</w:t>
      </w:r>
      <w:r>
        <w:rPr>
          <w:sz w:val="22"/>
          <w:szCs w:val="22"/>
        </w:rPr>
        <w:t xml:space="preserve"> 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 w:line="200" w:lineRule="atLeast"/>
        <w:ind w:right="7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12. Юридические адреса, банковские реквизиты Сторон на момент заключения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Ind w:w="207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788"/>
        <w:gridCol w:w="5470"/>
      </w:tblGrid>
      <w:tr>
        <w:trPr>
          <w:trHeight w:val="4740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8" w:type="dxa"/>
            <w:vAlign w:val="top"/>
            <w:textDirection w:val="lrTb"/>
            <w:noWrap w:val="false"/>
          </w:tcPr>
          <w:p>
            <w:pPr>
              <w:pStyle w:val="926"/>
              <w:pBdr/>
              <w:spacing w:after="0" w:before="0" w:line="200" w:lineRule="atLeast"/>
              <w:ind w:right="74" w:firstLine="0" w:left="0"/>
              <w:jc w:val="center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«Государственный заказчик»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«___» ___________ 20__г.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470" w:type="dxa"/>
            <w:vAlign w:val="top"/>
            <w:textDirection w:val="lrTb"/>
            <w:noWrap w:val="false"/>
          </w:tcPr>
          <w:p>
            <w:pPr>
              <w:pStyle w:val="922"/>
              <w:pBdr/>
              <w:spacing w:line="200" w:lineRule="atLeast"/>
              <w:ind w:right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«Исполнитель»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85"/>
              <w:pBdr/>
              <w:tabs>
                <w:tab w:val="left" w:leader="none" w:pos="180"/>
              </w:tabs>
              <w:spacing w:after="0" w:line="2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 с ограниченной ответственностью «Бухучет сервис»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85"/>
              <w:pBdr/>
              <w:tabs>
                <w:tab w:val="left" w:leader="none" w:pos="180"/>
              </w:tabs>
              <w:spacing w:after="0" w:line="200" w:lineRule="atLeas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428033, Чувашская Республика - Чувашия, Чебоксары г, Б.С.Маркова ул, дом № 14, помещение 10, офис 9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 2127023323/213001001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р/сч 40702810875000000438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банке КИРОВСКОЕ ОТДЕЛЕНИЕ № 8612 ПАО СБЕРБАНК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043304609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к/сч  30101810500000000609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75697786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1052128046189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ОКТМО 97701000001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ОКОГУ 4210014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ОКОПФ 12300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Тел: 8 (800) 222 97 93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Электронная почта: ov@bs21.ru, </w:t>
            </w:r>
            <w:hyperlink r:id="rId11" w:tooltip="http://op@bs21.ru" w:history="1">
              <w:r>
                <w:rPr>
                  <w:rStyle w:val="968"/>
                  <w:sz w:val="22"/>
                  <w:szCs w:val="22"/>
                </w:rPr>
                <w:t xml:space="preserve">op@bs21.ru</w:t>
              </w:r>
              <w:r>
                <w:rPr>
                  <w:rStyle w:val="968"/>
                  <w:sz w:val="22"/>
                  <w:szCs w:val="22"/>
                </w:rPr>
              </w:r>
              <w:r>
                <w:rPr>
                  <w:rStyle w:val="968"/>
                  <w:sz w:val="22"/>
                  <w:szCs w:val="22"/>
                </w:rPr>
              </w:r>
              <w:r>
                <w:rPr>
                  <w:rStyle w:val="968"/>
                  <w:sz w:val="22"/>
                  <w:szCs w:val="22"/>
                </w:rPr>
              </w:r>
              <w:r>
                <w:rPr>
                  <w:rStyle w:val="968"/>
                  <w:sz w:val="22"/>
                  <w:szCs w:val="22"/>
                </w:rPr>
              </w:r>
            </w:hyperlink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tabs>
                <w:tab w:val="left" w:leader="none" w:pos="180"/>
              </w:tabs>
              <w:spacing w:line="200" w:lineRule="atLeast"/>
              <w:ind w:right="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Генеральный директор: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А.Г. Корлыханов                __________________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2"/>
              <w:pBdr/>
              <w:spacing w:line="200" w:lineRule="atLeast"/>
              <w:ind w:righ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«__»</w:t>
            </w:r>
            <w:r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_____20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 г.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sectPr>
      <w:footerReference w:type="default" r:id="rId9"/>
      <w:footerReference w:type="first" r:id="rId10"/>
      <w:footnotePr/>
      <w:endnotePr/>
      <w:type w:val="nextPage"/>
      <w:pgSz w:h="16838" w:orient="portrait" w:w="11906"/>
      <w:pgMar w:top="851" w:right="731" w:bottom="987" w:left="126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SimSun">
    <w:panose1 w:val="02010600030101010101"/>
  </w:font>
  <w:font w:name="Tahoma">
    <w:panose1 w:val="020B0604030504040204"/>
  </w:font>
  <w:font w:name="Times New Roman">
    <w:panose1 w:val="02020603050405020304"/>
  </w:font>
  <w:font w:name="Courier New">
    <w:panose1 w:val="02070309020205020404"/>
  </w:font>
  <w:font w:name="Open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2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1002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432" w:left="432"/>
      </w:pPr>
      <w:pStyle w:val="923"/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576" w:left="576"/>
      </w:pPr>
      <w:pStyle w:val="924"/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720" w:left="720"/>
      </w:pPr>
      <w:pStyle w:val="925"/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864" w:left="864"/>
      </w:pPr>
      <w:pStyle w:val="926"/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008" w:left="1008"/>
      </w:pPr>
      <w:pStyle w:val="927"/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152" w:left="1152"/>
      </w:pPr>
      <w:pStyle w:val="928"/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296" w:left="1296"/>
      </w:pPr>
      <w:pStyle w:val="929"/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0"/>
        </w:tabs>
        <w:spacing/>
        <w:ind w:hanging="1440" w:left="1440"/>
      </w:pPr>
      <w:pStyle w:val="930"/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5.%1"/>
      <w:numFmt w:val="decimal"/>
      <w:pPr>
        <w:pBdr/>
        <w:tabs>
          <w:tab w:val="num" w:leader="none" w:pos="0"/>
        </w:tabs>
        <w:spacing/>
        <w:ind w:firstLine="0" w:left="0"/>
      </w:pPr>
      <w:rPr>
        <w:b w:val="0"/>
        <w:bCs w:val="0"/>
        <w:i w:val="0"/>
        <w:iCs w:val="0"/>
        <w:caps w:val="0"/>
        <w:smallCaps w:val="0"/>
        <w:strike w:val="0"/>
        <w:color w:val="000000"/>
        <w:spacing w:val="-1"/>
        <w:position w:val="0"/>
        <w:sz w:val="23"/>
        <w:szCs w:val="23"/>
        <w:u w:val="none"/>
        <w:vertAlign w:val="baseline"/>
        <w:lang w:val="ru-RU"/>
      </w:rPr>
      <w:start w:val="3"/>
      <w:suff w:val="tab"/>
    </w:lvl>
    <w:lvl w:ilvl="1">
      <w:isLgl w:val="false"/>
      <w:lvlJc w:val="left"/>
      <w:lvlText w:val="%2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2">
      <w:isLgl w:val="false"/>
      <w:lvlJc w:val="left"/>
      <w:lvlText w:val="%3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4">
      <w:isLgl w:val="false"/>
      <w:lvlJc w:val="left"/>
      <w:lvlText w:val="%5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5">
      <w:isLgl w:val="false"/>
      <w:lvlJc w:val="left"/>
      <w:lvlText w:val="%6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7">
      <w:isLgl w:val="false"/>
      <w:lvlJc w:val="left"/>
      <w:lvlText w:val="%8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  <w:lvl w:ilvl="8">
      <w:isLgl w:val="false"/>
      <w:lvlJc w:val="left"/>
      <w:lvlText w:val="%9"/>
      <w:numFmt w:val="decimal"/>
      <w:pPr>
        <w:pBdr/>
        <w:tabs>
          <w:tab w:val="num" w:leader="none" w:pos="0"/>
        </w:tabs>
        <w:spacing/>
        <w:ind w:firstLine="0" w:left="0"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Heading 1"/>
    <w:basedOn w:val="922"/>
    <w:next w:val="922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1">
    <w:name w:val="Heading 2"/>
    <w:basedOn w:val="922"/>
    <w:next w:val="922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22"/>
    <w:next w:val="92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22"/>
    <w:next w:val="922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22"/>
    <w:next w:val="92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22"/>
    <w:next w:val="922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22"/>
    <w:next w:val="92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22"/>
    <w:next w:val="922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22"/>
    <w:next w:val="922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22"/>
    <w:next w:val="922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86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22"/>
    <w:next w:val="922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86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22"/>
    <w:next w:val="922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86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6">
    <w:name w:val="List Paragraph"/>
    <w:basedOn w:val="922"/>
    <w:uiPriority w:val="34"/>
    <w:qFormat/>
    <w:pPr>
      <w:pBdr/>
      <w:spacing/>
      <w:ind w:left="720"/>
      <w:contextualSpacing w:val="true"/>
    </w:pPr>
  </w:style>
  <w:style w:type="character" w:styleId="887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22"/>
    <w:next w:val="922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869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22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922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Header Char"/>
    <w:basedOn w:val="869"/>
    <w:link w:val="897"/>
    <w:uiPriority w:val="99"/>
    <w:pPr>
      <w:pBdr/>
      <w:spacing/>
      <w:ind/>
    </w:pPr>
  </w:style>
  <w:style w:type="paragraph" w:styleId="899">
    <w:name w:val="Footer"/>
    <w:basedOn w:val="92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Footer Char"/>
    <w:basedOn w:val="869"/>
    <w:link w:val="899"/>
    <w:uiPriority w:val="99"/>
    <w:pPr>
      <w:pBdr/>
      <w:spacing/>
      <w:ind/>
    </w:pPr>
  </w:style>
  <w:style w:type="paragraph" w:styleId="901">
    <w:name w:val="Caption"/>
    <w:basedOn w:val="922"/>
    <w:next w:val="9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2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86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2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86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1"/>
    <w:basedOn w:val="922"/>
    <w:next w:val="922"/>
    <w:uiPriority w:val="39"/>
    <w:unhideWhenUsed/>
    <w:pPr>
      <w:pBdr/>
      <w:spacing w:after="100"/>
      <w:ind/>
    </w:pPr>
  </w:style>
  <w:style w:type="paragraph" w:styleId="911">
    <w:name w:val="toc 2"/>
    <w:basedOn w:val="922"/>
    <w:next w:val="922"/>
    <w:uiPriority w:val="39"/>
    <w:unhideWhenUsed/>
    <w:pPr>
      <w:pBdr/>
      <w:spacing w:after="100"/>
      <w:ind w:left="220"/>
    </w:pPr>
  </w:style>
  <w:style w:type="paragraph" w:styleId="912">
    <w:name w:val="toc 3"/>
    <w:basedOn w:val="922"/>
    <w:next w:val="922"/>
    <w:uiPriority w:val="39"/>
    <w:unhideWhenUsed/>
    <w:pPr>
      <w:pBdr/>
      <w:spacing w:after="100"/>
      <w:ind w:left="440"/>
    </w:pPr>
  </w:style>
  <w:style w:type="paragraph" w:styleId="913">
    <w:name w:val="toc 4"/>
    <w:basedOn w:val="922"/>
    <w:next w:val="922"/>
    <w:uiPriority w:val="39"/>
    <w:unhideWhenUsed/>
    <w:pPr>
      <w:pBdr/>
      <w:spacing w:after="100"/>
      <w:ind w:left="660"/>
    </w:pPr>
  </w:style>
  <w:style w:type="paragraph" w:styleId="914">
    <w:name w:val="toc 5"/>
    <w:basedOn w:val="922"/>
    <w:next w:val="922"/>
    <w:uiPriority w:val="39"/>
    <w:unhideWhenUsed/>
    <w:pPr>
      <w:pBdr/>
      <w:spacing w:after="100"/>
      <w:ind w:left="880"/>
    </w:pPr>
  </w:style>
  <w:style w:type="paragraph" w:styleId="915">
    <w:name w:val="toc 6"/>
    <w:basedOn w:val="922"/>
    <w:next w:val="922"/>
    <w:uiPriority w:val="39"/>
    <w:unhideWhenUsed/>
    <w:pPr>
      <w:pBdr/>
      <w:spacing w:after="100"/>
      <w:ind w:left="1100"/>
    </w:pPr>
  </w:style>
  <w:style w:type="paragraph" w:styleId="916">
    <w:name w:val="toc 7"/>
    <w:basedOn w:val="922"/>
    <w:next w:val="922"/>
    <w:uiPriority w:val="39"/>
    <w:unhideWhenUsed/>
    <w:pPr>
      <w:pBdr/>
      <w:spacing w:after="100"/>
      <w:ind w:left="1320"/>
    </w:pPr>
  </w:style>
  <w:style w:type="paragraph" w:styleId="917">
    <w:name w:val="toc 8"/>
    <w:basedOn w:val="922"/>
    <w:next w:val="922"/>
    <w:uiPriority w:val="39"/>
    <w:unhideWhenUsed/>
    <w:pPr>
      <w:pBdr/>
      <w:spacing w:after="100"/>
      <w:ind w:left="1540"/>
    </w:pPr>
  </w:style>
  <w:style w:type="paragraph" w:styleId="918">
    <w:name w:val="toc 9"/>
    <w:basedOn w:val="922"/>
    <w:next w:val="922"/>
    <w:uiPriority w:val="39"/>
    <w:unhideWhenUsed/>
    <w:pPr>
      <w:pBdr/>
      <w:spacing w:after="100"/>
      <w:ind w:left="1760"/>
    </w:pPr>
  </w:style>
  <w:style w:type="character" w:styleId="919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920">
    <w:name w:val="TOC Heading"/>
    <w:uiPriority w:val="39"/>
    <w:unhideWhenUsed/>
    <w:pPr>
      <w:pBdr/>
      <w:spacing/>
      <w:ind/>
    </w:pPr>
  </w:style>
  <w:style w:type="paragraph" w:styleId="921">
    <w:name w:val="table of figures"/>
    <w:basedOn w:val="922"/>
    <w:next w:val="922"/>
    <w:uiPriority w:val="99"/>
    <w:unhideWhenUsed/>
    <w:pPr>
      <w:pBdr/>
      <w:spacing w:after="0" w:afterAutospacing="0"/>
      <w:ind/>
    </w:pPr>
  </w:style>
  <w:style w:type="paragraph" w:styleId="922" w:default="1">
    <w:name w:val="Normal"/>
    <w:next w:val="922"/>
    <w:link w:val="922"/>
    <w:qFormat/>
    <w:pPr>
      <w:pBdr/>
      <w:spacing/>
      <w:ind/>
    </w:pPr>
    <w:rPr>
      <w:lang w:val="ru-RU" w:eastAsia="zh-CN" w:bidi="ar-SA"/>
    </w:rPr>
  </w:style>
  <w:style w:type="paragraph" w:styleId="923">
    <w:name w:val="Заголовок 1"/>
    <w:basedOn w:val="922"/>
    <w:next w:val="922"/>
    <w:link w:val="922"/>
    <w:qFormat/>
    <w:pPr>
      <w:keepNext w:val="true"/>
      <w:numPr>
        <w:ilvl w:val="0"/>
        <w:numId w:val="1"/>
      </w:numPr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924">
    <w:name w:val="Заголовок 2"/>
    <w:basedOn w:val="922"/>
    <w:next w:val="922"/>
    <w:link w:val="922"/>
    <w:qFormat/>
    <w:pPr>
      <w:keepNext w:val="true"/>
      <w:numPr>
        <w:ilvl w:val="1"/>
        <w:numId w:val="1"/>
      </w:numPr>
      <w:pBdr/>
      <w:spacing/>
      <w:ind/>
      <w:jc w:val="center"/>
      <w:outlineLvl w:val="1"/>
    </w:pPr>
    <w:rPr>
      <w:b/>
      <w:bCs/>
    </w:rPr>
  </w:style>
  <w:style w:type="paragraph" w:styleId="925">
    <w:name w:val="Заголовок 3"/>
    <w:basedOn w:val="922"/>
    <w:next w:val="922"/>
    <w:link w:val="922"/>
    <w:qFormat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926">
    <w:name w:val="Заголовок 4"/>
    <w:basedOn w:val="922"/>
    <w:next w:val="922"/>
    <w:link w:val="922"/>
    <w:qFormat/>
    <w:pPr>
      <w:keepNext w:val="true"/>
      <w:numPr>
        <w:ilvl w:val="3"/>
        <w:numId w:val="1"/>
      </w:numPr>
      <w:pBdr/>
      <w:spacing w:after="60" w:before="240"/>
      <w:ind/>
      <w:outlineLvl w:val="3"/>
    </w:pPr>
    <w:rPr>
      <w:b/>
      <w:bCs/>
      <w:sz w:val="28"/>
      <w:szCs w:val="28"/>
    </w:rPr>
  </w:style>
  <w:style w:type="paragraph" w:styleId="927">
    <w:name w:val="Заголовок 5"/>
    <w:basedOn w:val="922"/>
    <w:next w:val="922"/>
    <w:link w:val="922"/>
    <w:qFormat/>
    <w:pPr>
      <w:keepNext w:val="true"/>
      <w:numPr>
        <w:ilvl w:val="4"/>
        <w:numId w:val="1"/>
      </w:numPr>
      <w:pBdr/>
      <w:spacing/>
      <w:ind/>
      <w:jc w:val="right"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keepNext w:val="true"/>
      <w:numPr>
        <w:ilvl w:val="5"/>
        <w:numId w:val="1"/>
      </w:numPr>
      <w:pBdr/>
      <w:spacing/>
      <w:ind/>
      <w:jc w:val="center"/>
      <w:outlineLvl w:val="5"/>
    </w:pPr>
    <w:rPr>
      <w:sz w:val="24"/>
    </w:rPr>
  </w:style>
  <w:style w:type="paragraph" w:styleId="929">
    <w:name w:val="Заголовок 7"/>
    <w:basedOn w:val="922"/>
    <w:next w:val="922"/>
    <w:link w:val="922"/>
    <w:qFormat/>
    <w:pPr>
      <w:keepNext w:val="true"/>
      <w:numPr>
        <w:ilvl w:val="6"/>
        <w:numId w:val="1"/>
      </w:numPr>
      <w:pBdr/>
      <w:spacing/>
      <w:ind/>
      <w:outlineLvl w:val="6"/>
    </w:pPr>
    <w:rPr>
      <w:sz w:val="24"/>
    </w:rPr>
  </w:style>
  <w:style w:type="paragraph" w:styleId="930">
    <w:name w:val="Заголовок 8"/>
    <w:basedOn w:val="922"/>
    <w:next w:val="922"/>
    <w:link w:val="922"/>
    <w:qFormat/>
    <w:pPr>
      <w:keepNext w:val="true"/>
      <w:numPr>
        <w:ilvl w:val="7"/>
        <w:numId w:val="1"/>
      </w:numPr>
      <w:pBdr/>
      <w:spacing/>
      <w:ind w:right="-71" w:firstLine="0" w:left="0"/>
      <w:jc w:val="right"/>
      <w:outlineLvl w:val="7"/>
    </w:pPr>
    <w:rPr>
      <w:sz w:val="24"/>
      <w:szCs w:val="24"/>
    </w:rPr>
  </w:style>
  <w:style w:type="character" w:styleId="931">
    <w:name w:val="Основной шрифт абзаца"/>
    <w:next w:val="931"/>
    <w:link w:val="922"/>
    <w:uiPriority w:val="1"/>
    <w:semiHidden/>
    <w:unhideWhenUsed/>
    <w:pPr>
      <w:pBdr/>
      <w:spacing/>
      <w:ind/>
    </w:pPr>
  </w:style>
  <w:style w:type="table" w:styleId="932">
    <w:name w:val="Обычная таблица"/>
    <w:next w:val="932"/>
    <w:link w:val="922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3">
    <w:name w:val="Нет списка"/>
    <w:next w:val="933"/>
    <w:link w:val="922"/>
    <w:uiPriority w:val="99"/>
    <w:semiHidden/>
    <w:unhideWhenUsed/>
    <w:pPr>
      <w:pBdr/>
      <w:spacing/>
      <w:ind/>
    </w:pPr>
  </w:style>
  <w:style w:type="character" w:styleId="934">
    <w:name w:val="WW8Num1z0"/>
    <w:next w:val="934"/>
    <w:link w:val="922"/>
    <w:pPr>
      <w:pBdr/>
      <w:spacing/>
      <w:ind/>
    </w:pPr>
  </w:style>
  <w:style w:type="character" w:styleId="935">
    <w:name w:val="WW8Num1z1"/>
    <w:next w:val="935"/>
    <w:link w:val="922"/>
    <w:pPr>
      <w:pBdr/>
      <w:spacing/>
      <w:ind/>
    </w:pPr>
  </w:style>
  <w:style w:type="character" w:styleId="936">
    <w:name w:val="WW8Num1z2"/>
    <w:next w:val="936"/>
    <w:link w:val="922"/>
    <w:pPr>
      <w:pBdr/>
      <w:spacing/>
      <w:ind/>
    </w:pPr>
  </w:style>
  <w:style w:type="character" w:styleId="937">
    <w:name w:val="WW8Num1z3"/>
    <w:next w:val="937"/>
    <w:link w:val="922"/>
    <w:pPr>
      <w:pBdr/>
      <w:spacing/>
      <w:ind/>
    </w:pPr>
  </w:style>
  <w:style w:type="character" w:styleId="938">
    <w:name w:val="WW8Num1z4"/>
    <w:next w:val="938"/>
    <w:link w:val="922"/>
    <w:pPr>
      <w:pBdr/>
      <w:spacing/>
      <w:ind/>
    </w:pPr>
  </w:style>
  <w:style w:type="character" w:styleId="939">
    <w:name w:val="WW8Num1z5"/>
    <w:next w:val="939"/>
    <w:link w:val="922"/>
    <w:pPr>
      <w:pBdr/>
      <w:spacing/>
      <w:ind/>
    </w:pPr>
  </w:style>
  <w:style w:type="character" w:styleId="940">
    <w:name w:val="WW8Num1z6"/>
    <w:next w:val="940"/>
    <w:link w:val="922"/>
    <w:pPr>
      <w:pBdr/>
      <w:spacing/>
      <w:ind/>
    </w:pPr>
  </w:style>
  <w:style w:type="character" w:styleId="941">
    <w:name w:val="WW8Num1z7"/>
    <w:next w:val="941"/>
    <w:link w:val="922"/>
    <w:pPr>
      <w:pBdr/>
      <w:spacing/>
      <w:ind/>
    </w:pPr>
  </w:style>
  <w:style w:type="character" w:styleId="942">
    <w:name w:val="WW8Num1z8"/>
    <w:next w:val="942"/>
    <w:link w:val="922"/>
    <w:pPr>
      <w:pBdr/>
      <w:spacing/>
      <w:ind/>
    </w:pPr>
  </w:style>
  <w:style w:type="character" w:styleId="943">
    <w:name w:val="WW8Num2z0"/>
    <w:next w:val="943"/>
    <w:link w:val="922"/>
    <w:pPr>
      <w:pBdr/>
      <w:spacing/>
      <w:ind/>
    </w:pPr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styleId="944">
    <w:name w:val="WW8Num2z1"/>
    <w:next w:val="944"/>
    <w:link w:val="922"/>
    <w:pPr>
      <w:pBdr/>
      <w:spacing/>
      <w:ind/>
    </w:pPr>
  </w:style>
  <w:style w:type="character" w:styleId="945">
    <w:name w:val="WW8Num2z2"/>
    <w:next w:val="945"/>
    <w:link w:val="922"/>
    <w:pPr>
      <w:pBdr/>
      <w:spacing/>
      <w:ind/>
    </w:pPr>
  </w:style>
  <w:style w:type="character" w:styleId="946">
    <w:name w:val="WW8Num2z3"/>
    <w:next w:val="946"/>
    <w:link w:val="922"/>
    <w:pPr>
      <w:pBdr/>
      <w:spacing/>
      <w:ind/>
    </w:pPr>
  </w:style>
  <w:style w:type="character" w:styleId="947">
    <w:name w:val="WW8Num2z4"/>
    <w:next w:val="947"/>
    <w:link w:val="922"/>
    <w:pPr>
      <w:pBdr/>
      <w:spacing/>
      <w:ind/>
    </w:pPr>
  </w:style>
  <w:style w:type="character" w:styleId="948">
    <w:name w:val="WW8Num2z5"/>
    <w:next w:val="948"/>
    <w:link w:val="922"/>
    <w:pPr>
      <w:pBdr/>
      <w:spacing/>
      <w:ind/>
    </w:pPr>
  </w:style>
  <w:style w:type="character" w:styleId="949">
    <w:name w:val="WW8Num2z6"/>
    <w:next w:val="949"/>
    <w:link w:val="922"/>
    <w:pPr>
      <w:pBdr/>
      <w:spacing/>
      <w:ind/>
    </w:pPr>
  </w:style>
  <w:style w:type="character" w:styleId="950">
    <w:name w:val="WW8Num2z7"/>
    <w:next w:val="950"/>
    <w:link w:val="922"/>
    <w:pPr>
      <w:pBdr/>
      <w:spacing/>
      <w:ind/>
    </w:pPr>
  </w:style>
  <w:style w:type="character" w:styleId="951">
    <w:name w:val="WW8Num2z8"/>
    <w:next w:val="951"/>
    <w:link w:val="922"/>
    <w:pPr>
      <w:pBdr/>
      <w:spacing/>
      <w:ind/>
    </w:pPr>
  </w:style>
  <w:style w:type="character" w:styleId="952">
    <w:name w:val="WW8Num3z0"/>
    <w:next w:val="952"/>
    <w:link w:val="922"/>
    <w:pPr>
      <w:pBdr/>
      <w:spacing/>
      <w:ind/>
    </w:pPr>
    <w:rPr>
      <w:b w:val="0"/>
      <w:bCs w:val="0"/>
      <w:i w:val="0"/>
      <w:iCs w:val="0"/>
      <w:caps w:val="0"/>
      <w:smallCaps w:val="0"/>
      <w:strike w:val="0"/>
      <w:color w:val="000000"/>
      <w:spacing w:val="-1"/>
      <w:position w:val="0"/>
      <w:sz w:val="23"/>
      <w:szCs w:val="23"/>
      <w:u w:val="none"/>
      <w:vertAlign w:val="baseline"/>
      <w:lang w:val="ru-RU"/>
    </w:rPr>
  </w:style>
  <w:style w:type="character" w:styleId="953">
    <w:name w:val="WW8Num3z1"/>
    <w:next w:val="953"/>
    <w:link w:val="922"/>
    <w:pPr>
      <w:pBdr/>
      <w:spacing/>
      <w:ind/>
    </w:pPr>
  </w:style>
  <w:style w:type="character" w:styleId="954">
    <w:name w:val="WW8Num3z2"/>
    <w:next w:val="954"/>
    <w:link w:val="922"/>
    <w:pPr>
      <w:pBdr/>
      <w:spacing/>
      <w:ind/>
    </w:pPr>
  </w:style>
  <w:style w:type="character" w:styleId="955">
    <w:name w:val="WW8Num3z3"/>
    <w:next w:val="955"/>
    <w:link w:val="922"/>
    <w:pPr>
      <w:pBdr/>
      <w:spacing/>
      <w:ind/>
    </w:pPr>
  </w:style>
  <w:style w:type="character" w:styleId="956">
    <w:name w:val="WW8Num3z4"/>
    <w:next w:val="956"/>
    <w:link w:val="922"/>
    <w:pPr>
      <w:pBdr/>
      <w:spacing/>
      <w:ind/>
    </w:pPr>
  </w:style>
  <w:style w:type="character" w:styleId="957">
    <w:name w:val="WW8Num3z5"/>
    <w:next w:val="957"/>
    <w:link w:val="922"/>
    <w:pPr>
      <w:pBdr/>
      <w:spacing/>
      <w:ind/>
    </w:pPr>
  </w:style>
  <w:style w:type="character" w:styleId="958">
    <w:name w:val="WW8Num3z6"/>
    <w:next w:val="958"/>
    <w:link w:val="922"/>
    <w:pPr>
      <w:pBdr/>
      <w:spacing/>
      <w:ind/>
    </w:pPr>
  </w:style>
  <w:style w:type="character" w:styleId="959">
    <w:name w:val="WW8Num3z7"/>
    <w:next w:val="959"/>
    <w:link w:val="922"/>
    <w:pPr>
      <w:pBdr/>
      <w:spacing/>
      <w:ind/>
    </w:pPr>
  </w:style>
  <w:style w:type="character" w:styleId="960">
    <w:name w:val="WW8Num3z8"/>
    <w:next w:val="960"/>
    <w:link w:val="922"/>
    <w:pPr>
      <w:pBdr/>
      <w:spacing/>
      <w:ind/>
    </w:pPr>
  </w:style>
  <w:style w:type="character" w:styleId="961">
    <w:name w:val="Основной шрифт абзаца4"/>
    <w:next w:val="961"/>
    <w:link w:val="922"/>
    <w:pPr>
      <w:pBdr/>
      <w:spacing/>
      <w:ind/>
    </w:pPr>
  </w:style>
  <w:style w:type="character" w:styleId="962">
    <w:name w:val="Absatz-Standardschriftart"/>
    <w:next w:val="962"/>
    <w:link w:val="922"/>
    <w:pPr>
      <w:pBdr/>
      <w:spacing/>
      <w:ind/>
    </w:pPr>
  </w:style>
  <w:style w:type="character" w:styleId="963">
    <w:name w:val="Основной шрифт абзаца3"/>
    <w:next w:val="963"/>
    <w:link w:val="922"/>
    <w:pPr>
      <w:pBdr/>
      <w:spacing/>
      <w:ind/>
    </w:pPr>
  </w:style>
  <w:style w:type="character" w:styleId="964">
    <w:name w:val="Основной шрифт абзаца2"/>
    <w:next w:val="964"/>
    <w:link w:val="922"/>
    <w:pPr>
      <w:pBdr/>
      <w:spacing/>
      <w:ind/>
    </w:pPr>
  </w:style>
  <w:style w:type="character" w:styleId="965">
    <w:name w:val="Основной шрифт абзаца1"/>
    <w:next w:val="965"/>
    <w:link w:val="922"/>
    <w:pPr>
      <w:pBdr/>
      <w:spacing/>
      <w:ind/>
    </w:pPr>
  </w:style>
  <w:style w:type="character" w:styleId="966">
    <w:name w:val="Символ нумерации"/>
    <w:next w:val="966"/>
    <w:link w:val="922"/>
    <w:pPr>
      <w:pBdr/>
      <w:spacing/>
      <w:ind/>
    </w:pPr>
  </w:style>
  <w:style w:type="character" w:styleId="967">
    <w:name w:val="Маркеры списка"/>
    <w:next w:val="967"/>
    <w:link w:val="922"/>
    <w:pPr>
      <w:pBdr/>
      <w:spacing/>
      <w:ind/>
    </w:pPr>
    <w:rPr>
      <w:rFonts w:ascii="OpenSymbol" w:hAnsi="OpenSymbol" w:eastAsia="OpenSymbol" w:cs="OpenSymbol"/>
    </w:rPr>
  </w:style>
  <w:style w:type="character" w:styleId="968">
    <w:name w:val="Гиперссылка"/>
    <w:next w:val="968"/>
    <w:link w:val="922"/>
    <w:pPr>
      <w:pBdr/>
      <w:spacing/>
      <w:ind/>
    </w:pPr>
    <w:rPr>
      <w:color w:val="000080"/>
      <w:u w:val="single"/>
      <w:lang w:val="en-US" w:bidi="en-US"/>
    </w:rPr>
  </w:style>
  <w:style w:type="character" w:styleId="969">
    <w:name w:val="Верхний колонтитул Знак"/>
    <w:next w:val="969"/>
    <w:link w:val="922"/>
    <w:pPr>
      <w:pBdr/>
      <w:spacing/>
      <w:ind/>
    </w:pPr>
  </w:style>
  <w:style w:type="character" w:styleId="970">
    <w:name w:val="Нижний колонтитул Знак"/>
    <w:next w:val="970"/>
    <w:link w:val="922"/>
    <w:pPr>
      <w:pBdr/>
      <w:spacing/>
      <w:ind/>
    </w:pPr>
  </w:style>
  <w:style w:type="character" w:styleId="971">
    <w:name w:val="Основной текст + Полужирный"/>
    <w:next w:val="971"/>
    <w:link w:val="922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-1"/>
      <w:position w:val="0"/>
      <w:sz w:val="22"/>
      <w:szCs w:val="22"/>
      <w:u w:val="none"/>
      <w:shd w:val="clear" w:color="auto" w:fill="ffffff"/>
      <w:vertAlign w:val="baseline"/>
      <w:lang w:val="ru-RU"/>
    </w:rPr>
  </w:style>
  <w:style w:type="paragraph" w:styleId="972">
    <w:name w:val="Заголовок1"/>
    <w:basedOn w:val="922"/>
    <w:next w:val="973"/>
    <w:link w:val="922"/>
    <w:pPr>
      <w:keepNext w:val="true"/>
      <w:pBdr/>
      <w:spacing w:after="120" w:before="240"/>
      <w:ind/>
    </w:pPr>
    <w:rPr>
      <w:rFonts w:ascii="Arial" w:hAnsi="Arial" w:eastAsia="SimSun" w:cs="Tahoma"/>
      <w:sz w:val="28"/>
      <w:szCs w:val="28"/>
    </w:rPr>
  </w:style>
  <w:style w:type="paragraph" w:styleId="973">
    <w:name w:val="Основной текст"/>
    <w:basedOn w:val="922"/>
    <w:next w:val="973"/>
    <w:link w:val="922"/>
    <w:pPr>
      <w:pBdr/>
      <w:spacing w:after="120" w:before="0"/>
      <w:ind/>
      <w:jc w:val="both"/>
    </w:pPr>
    <w:rPr>
      <w:sz w:val="24"/>
    </w:rPr>
  </w:style>
  <w:style w:type="paragraph" w:styleId="974">
    <w:name w:val="Список"/>
    <w:basedOn w:val="973"/>
    <w:next w:val="974"/>
    <w:link w:val="922"/>
    <w:pPr>
      <w:pBdr/>
      <w:spacing/>
      <w:ind/>
    </w:pPr>
    <w:rPr>
      <w:rFonts w:cs="Tahoma"/>
    </w:rPr>
  </w:style>
  <w:style w:type="paragraph" w:styleId="975">
    <w:name w:val="Название объекта"/>
    <w:basedOn w:val="922"/>
    <w:next w:val="975"/>
    <w:link w:val="922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76">
    <w:name w:val="Указатель4"/>
    <w:basedOn w:val="922"/>
    <w:next w:val="976"/>
    <w:link w:val="922"/>
    <w:pPr>
      <w:suppressLineNumbers w:val="true"/>
      <w:pBdr/>
      <w:spacing/>
      <w:ind/>
    </w:pPr>
    <w:rPr>
      <w:rFonts w:cs="Arial"/>
    </w:rPr>
  </w:style>
  <w:style w:type="paragraph" w:styleId="977">
    <w:name w:val="Название3"/>
    <w:basedOn w:val="922"/>
    <w:next w:val="977"/>
    <w:link w:val="922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78">
    <w:name w:val="Указатель3"/>
    <w:basedOn w:val="922"/>
    <w:next w:val="978"/>
    <w:link w:val="922"/>
    <w:pPr>
      <w:suppressLineNumbers w:val="true"/>
      <w:pBdr/>
      <w:spacing/>
      <w:ind/>
    </w:pPr>
    <w:rPr>
      <w:rFonts w:cs="Tahoma"/>
    </w:rPr>
  </w:style>
  <w:style w:type="paragraph" w:styleId="979">
    <w:name w:val="Название2"/>
    <w:basedOn w:val="922"/>
    <w:next w:val="979"/>
    <w:link w:val="922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80">
    <w:name w:val="Указатель2"/>
    <w:basedOn w:val="922"/>
    <w:next w:val="980"/>
    <w:link w:val="922"/>
    <w:pPr>
      <w:suppressLineNumbers w:val="true"/>
      <w:pBdr/>
      <w:spacing/>
      <w:ind/>
    </w:pPr>
    <w:rPr>
      <w:rFonts w:cs="Tahoma"/>
    </w:rPr>
  </w:style>
  <w:style w:type="paragraph" w:styleId="981">
    <w:name w:val="Название1"/>
    <w:basedOn w:val="922"/>
    <w:next w:val="981"/>
    <w:link w:val="922"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982">
    <w:name w:val="Указатель1"/>
    <w:basedOn w:val="922"/>
    <w:next w:val="982"/>
    <w:link w:val="922"/>
    <w:pPr>
      <w:suppressLineNumbers w:val="true"/>
      <w:pBdr/>
      <w:spacing/>
      <w:ind/>
    </w:pPr>
    <w:rPr>
      <w:rFonts w:cs="Tahoma"/>
    </w:rPr>
  </w:style>
  <w:style w:type="paragraph" w:styleId="983">
    <w:name w:val="Основной текст с отступом 21"/>
    <w:basedOn w:val="922"/>
    <w:next w:val="983"/>
    <w:link w:val="922"/>
    <w:pPr>
      <w:pBdr/>
      <w:spacing w:after="120" w:before="0" w:line="480" w:lineRule="auto"/>
      <w:ind w:right="0" w:firstLine="0" w:left="283"/>
      <w:jc w:val="both"/>
    </w:pPr>
    <w:rPr>
      <w:sz w:val="24"/>
    </w:rPr>
  </w:style>
  <w:style w:type="paragraph" w:styleId="984">
    <w:name w:val="FR1"/>
    <w:next w:val="984"/>
    <w:link w:val="922"/>
    <w:pPr>
      <w:widowControl w:val="false"/>
      <w:pBdr/>
      <w:spacing w:before="700"/>
      <w:ind/>
    </w:pPr>
    <w:rPr>
      <w:rFonts w:eastAsia="Arial"/>
      <w:b/>
      <w:sz w:val="28"/>
      <w:lang w:val="ru-RU" w:eastAsia="zh-CN" w:bidi="ar-SA"/>
    </w:rPr>
  </w:style>
  <w:style w:type="paragraph" w:styleId="985">
    <w:name w:val="Основной текст с отступом"/>
    <w:basedOn w:val="922"/>
    <w:next w:val="985"/>
    <w:link w:val="922"/>
    <w:pPr>
      <w:pBdr/>
      <w:spacing w:after="120" w:before="0"/>
      <w:ind w:right="0" w:firstLine="0" w:left="283"/>
    </w:pPr>
  </w:style>
  <w:style w:type="paragraph" w:styleId="986">
    <w:name w:val="Текст выноски"/>
    <w:basedOn w:val="922"/>
    <w:next w:val="986"/>
    <w:link w:val="922"/>
    <w:pPr>
      <w:pBdr/>
      <w:spacing/>
      <w:ind/>
    </w:pPr>
    <w:rPr>
      <w:rFonts w:ascii="Tahoma" w:hAnsi="Tahoma" w:cs="Tahoma"/>
      <w:sz w:val="16"/>
      <w:szCs w:val="16"/>
    </w:rPr>
  </w:style>
  <w:style w:type="paragraph" w:styleId="987">
    <w:name w:val="Основной текст 21"/>
    <w:basedOn w:val="922"/>
    <w:next w:val="987"/>
    <w:link w:val="922"/>
    <w:pPr>
      <w:pBdr/>
      <w:spacing/>
      <w:ind/>
    </w:pPr>
    <w:rPr>
      <w:sz w:val="24"/>
    </w:rPr>
  </w:style>
  <w:style w:type="paragraph" w:styleId="988">
    <w:name w:val="Основной текст с отступом 31"/>
    <w:basedOn w:val="922"/>
    <w:next w:val="988"/>
    <w:link w:val="922"/>
    <w:pPr>
      <w:pBdr/>
      <w:spacing/>
      <w:ind w:right="-71" w:firstLine="709" w:left="0"/>
    </w:pPr>
    <w:rPr>
      <w:b/>
      <w:bCs/>
      <w:sz w:val="24"/>
      <w:szCs w:val="24"/>
    </w:rPr>
  </w:style>
  <w:style w:type="paragraph" w:styleId="989">
    <w:name w:val="Основной текст 31"/>
    <w:basedOn w:val="922"/>
    <w:next w:val="989"/>
    <w:link w:val="922"/>
    <w:pPr>
      <w:pBdr/>
      <w:spacing/>
      <w:ind w:right="304" w:firstLine="0" w:left="0"/>
      <w:jc w:val="both"/>
    </w:pPr>
    <w:rPr>
      <w:sz w:val="24"/>
    </w:rPr>
  </w:style>
  <w:style w:type="paragraph" w:styleId="990">
    <w:name w:val="Содержимое таблицы"/>
    <w:basedOn w:val="922"/>
    <w:next w:val="990"/>
    <w:link w:val="922"/>
    <w:pPr>
      <w:suppressLineNumbers w:val="true"/>
      <w:pBdr/>
      <w:spacing/>
      <w:ind/>
    </w:pPr>
  </w:style>
  <w:style w:type="paragraph" w:styleId="991">
    <w:name w:val="Заголовок таблицы"/>
    <w:basedOn w:val="990"/>
    <w:next w:val="991"/>
    <w:link w:val="922"/>
    <w:pPr>
      <w:suppressLineNumbers w:val="true"/>
      <w:pBdr/>
      <w:spacing/>
      <w:ind/>
      <w:jc w:val="center"/>
    </w:pPr>
    <w:rPr>
      <w:b/>
      <w:bCs/>
    </w:rPr>
  </w:style>
  <w:style w:type="paragraph" w:styleId="992">
    <w:name w:val="Default Text"/>
    <w:next w:val="992"/>
    <w:link w:val="922"/>
    <w:pPr>
      <w:widowControl w:val="false"/>
      <w:pBdr/>
      <w:spacing/>
      <w:ind/>
    </w:pPr>
    <w:rPr>
      <w:rFonts w:eastAsia="Lucida Sans Unicode"/>
      <w:sz w:val="24"/>
      <w:szCs w:val="24"/>
      <w:lang w:val="en-US" w:eastAsia="zh-CN" w:bidi="ar-SA"/>
    </w:rPr>
  </w:style>
  <w:style w:type="paragraph" w:styleId="993">
    <w:name w:val="Текст в заданном формате"/>
    <w:basedOn w:val="922"/>
    <w:next w:val="993"/>
    <w:link w:val="922"/>
    <w:pPr>
      <w:pBdr/>
      <w:spacing w:after="0" w:before="0"/>
      <w:ind/>
    </w:pPr>
    <w:rPr>
      <w:rFonts w:ascii="Courier New" w:hAnsi="Courier New" w:eastAsia="Courier New" w:cs="Courier New"/>
      <w:sz w:val="20"/>
      <w:szCs w:val="20"/>
    </w:rPr>
  </w:style>
  <w:style w:type="paragraph" w:styleId="994">
    <w:name w:val="Body Text 3"/>
    <w:basedOn w:val="922"/>
    <w:next w:val="994"/>
    <w:link w:val="922"/>
    <w:pPr>
      <w:widowControl w:val="false"/>
      <w:pBdr/>
      <w:spacing w:line="300" w:lineRule="auto"/>
      <w:ind w:right="0" w:hanging="400" w:left="400"/>
      <w:jc w:val="both"/>
    </w:pPr>
    <w:rPr>
      <w:b/>
      <w:sz w:val="28"/>
      <w:szCs w:val="20"/>
    </w:rPr>
  </w:style>
  <w:style w:type="paragraph" w:styleId="995">
    <w:name w:val="Обычный (веб)"/>
    <w:basedOn w:val="922"/>
    <w:next w:val="995"/>
    <w:link w:val="922"/>
    <w:pPr>
      <w:pBdr/>
      <w:spacing w:after="0" w:before="100"/>
      <w:ind/>
    </w:pPr>
  </w:style>
  <w:style w:type="paragraph" w:styleId="996">
    <w:name w:val="АД_Текст отступ 3"/>
    <w:basedOn w:val="922"/>
    <w:next w:val="996"/>
    <w:link w:val="922"/>
    <w:pPr>
      <w:pBdr/>
      <w:spacing/>
      <w:ind w:right="0" w:firstLine="0" w:left="1418"/>
      <w:jc w:val="both"/>
    </w:pPr>
  </w:style>
  <w:style w:type="paragraph" w:styleId="997">
    <w:name w:val="Iau?iue"/>
    <w:next w:val="997"/>
    <w:link w:val="922"/>
    <w:pPr>
      <w:pBdr/>
      <w:spacing/>
      <w:ind/>
    </w:pPr>
    <w:rPr>
      <w:rFonts w:eastAsia="Arial"/>
      <w:lang w:val="en-US" w:eastAsia="zh-CN" w:bidi="ar-SA"/>
    </w:rPr>
  </w:style>
  <w:style w:type="paragraph" w:styleId="998">
    <w:name w:val="Стандартный HTML"/>
    <w:basedOn w:val="922"/>
    <w:next w:val="998"/>
    <w:link w:val="922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  <w:jc w:val="left"/>
    </w:pPr>
    <w:rPr>
      <w:rFonts w:ascii="Courier New" w:hAnsi="Courier New" w:cs="Courier New"/>
      <w:sz w:val="20"/>
      <w:szCs w:val="20"/>
    </w:rPr>
  </w:style>
  <w:style w:type="paragraph" w:styleId="999">
    <w:name w:val="ConsPlusNormal"/>
    <w:next w:val="999"/>
    <w:link w:val="922"/>
    <w:pPr>
      <w:pBdr/>
      <w:spacing/>
      <w:ind/>
    </w:pPr>
    <w:rPr>
      <w:rFonts w:ascii="Arial" w:hAnsi="Arial" w:eastAsia="Arial" w:cs="Arial"/>
      <w:lang w:val="ru-RU" w:eastAsia="zh-CN" w:bidi="ar-SA"/>
    </w:rPr>
  </w:style>
  <w:style w:type="paragraph" w:styleId="1000">
    <w:name w:val="Без интервала2"/>
    <w:next w:val="1000"/>
    <w:link w:val="922"/>
    <w:pPr>
      <w:pBdr/>
      <w:spacing w:line="100" w:lineRule="atLeast"/>
      <w:ind/>
    </w:pPr>
    <w:rPr>
      <w:rFonts w:ascii="Calibri" w:hAnsi="Calibri" w:eastAsia="Calibri" w:cs="Calibri"/>
      <w:sz w:val="24"/>
      <w:szCs w:val="24"/>
      <w:lang w:val="ru-RU" w:eastAsia="zh-CN" w:bidi="ar-SA"/>
    </w:rPr>
  </w:style>
  <w:style w:type="paragraph" w:styleId="1001">
    <w:name w:val="Верхний колонтитул"/>
    <w:basedOn w:val="922"/>
    <w:next w:val="1001"/>
    <w:link w:val="922"/>
    <w:pPr>
      <w:suppressLineNumbers w:val="true"/>
      <w:pBdr/>
      <w:tabs>
        <w:tab w:val="center" w:leader="none" w:pos="4677"/>
        <w:tab w:val="right" w:leader="none" w:pos="9355"/>
      </w:tabs>
      <w:spacing/>
      <w:ind/>
    </w:pPr>
  </w:style>
  <w:style w:type="paragraph" w:styleId="1002">
    <w:name w:val="Нижний колонтитул"/>
    <w:basedOn w:val="922"/>
    <w:next w:val="1002"/>
    <w:link w:val="922"/>
    <w:pPr>
      <w:suppressLineNumbers w:val="true"/>
      <w:pBdr/>
      <w:tabs>
        <w:tab w:val="center" w:leader="none" w:pos="4677"/>
        <w:tab w:val="right" w:leader="none" w:pos="9355"/>
      </w:tabs>
      <w:spacing/>
      <w:ind/>
    </w:pPr>
  </w:style>
  <w:style w:type="paragraph" w:styleId="1003">
    <w:name w:val="Основной текст2"/>
    <w:basedOn w:val="922"/>
    <w:next w:val="1003"/>
    <w:link w:val="922"/>
    <w:pPr>
      <w:widowControl w:val="false"/>
      <w:pBdr/>
      <w:shd w:val="clear" w:color="auto" w:fill="ffffff"/>
      <w:spacing w:line="293" w:lineRule="exact"/>
      <w:ind/>
      <w:jc w:val="both"/>
    </w:pPr>
    <w:rPr>
      <w:color w:val="000000"/>
      <w:spacing w:val="-1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http://op@bs21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Государственный контракт </dc:title>
  <dc:creator>Акелла</dc:creator>
  <cp:revision>11</cp:revision>
  <dcterms:created xsi:type="dcterms:W3CDTF">2010-12-09T11:03:00Z</dcterms:created>
  <dcterms:modified xsi:type="dcterms:W3CDTF">2026-05-25T09:55:59Z</dcterms:modified>
  <cp:version>1048576</cp:version>
</cp:coreProperties>
</file>